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9"/>
          <w:szCs w:val="19"/>
          <w:b w:val="1"/>
          <w:bCs w:val="1"/>
          <w:color w:val="auto"/>
        </w:rPr>
        <w:t>UNITED STATES</w:t>
      </w:r>
    </w:p>
    <w:p>
      <w:pPr>
        <w:spacing w:after="0" w:line="24" w:lineRule="exact"/>
        <w:rPr>
          <w:sz w:val="24"/>
          <w:szCs w:val="24"/>
          <w:color w:val="auto"/>
        </w:rPr>
      </w:pPr>
    </w:p>
    <w:p>
      <w:pPr>
        <w:jc w:val="center"/>
        <w:ind w:right="20"/>
        <w:spacing w:after="0"/>
        <w:rPr>
          <w:sz w:val="20"/>
          <w:szCs w:val="20"/>
          <w:color w:val="auto"/>
        </w:rPr>
      </w:pPr>
      <w:r>
        <w:rPr>
          <w:rFonts w:ascii="Arial" w:cs="Arial" w:eastAsia="Arial" w:hAnsi="Arial"/>
          <w:sz w:val="19"/>
          <w:szCs w:val="19"/>
          <w:b w:val="1"/>
          <w:bCs w:val="1"/>
          <w:color w:val="auto"/>
        </w:rPr>
        <w:t>SECURITIES AND EXCHANGE COMMISSION</w:t>
      </w:r>
    </w:p>
    <w:p>
      <w:pPr>
        <w:jc w:val="center"/>
        <w:ind w:right="20"/>
        <w:spacing w:after="0"/>
        <w:rPr>
          <w:sz w:val="20"/>
          <w:szCs w:val="20"/>
          <w:color w:val="auto"/>
        </w:rPr>
      </w:pPr>
      <w:r>
        <w:rPr>
          <w:rFonts w:ascii="Arial" w:cs="Arial" w:eastAsia="Arial" w:hAnsi="Arial"/>
          <w:sz w:val="19"/>
          <w:szCs w:val="19"/>
          <w:b w:val="1"/>
          <w:bCs w:val="1"/>
          <w:color w:val="auto"/>
        </w:rPr>
        <w:t>Washington, D.C. 20549</w:t>
      </w:r>
    </w:p>
    <w:p>
      <w:pPr>
        <w:spacing w:after="0" w:line="6" w:lineRule="exact"/>
        <w:rPr>
          <w:sz w:val="24"/>
          <w:szCs w:val="24"/>
          <w:color w:val="auto"/>
        </w:rPr>
      </w:pPr>
    </w:p>
    <w:p>
      <w:pPr>
        <w:ind w:left="3120"/>
        <w:spacing w:after="0"/>
        <w:rPr>
          <w:sz w:val="20"/>
          <w:szCs w:val="20"/>
          <w:color w:val="auto"/>
        </w:rPr>
      </w:pPr>
      <w:r>
        <w:rPr>
          <w:rFonts w:ascii="Arial" w:cs="Arial" w:eastAsia="Arial" w:hAnsi="Arial"/>
          <w:sz w:val="16"/>
          <w:szCs w:val="16"/>
          <w:b w:val="1"/>
          <w:bCs w:val="1"/>
          <w:color w:val="auto"/>
        </w:rPr>
        <w:t>______________________________________</w:t>
      </w:r>
    </w:p>
    <w:p>
      <w:pPr>
        <w:spacing w:after="0" w:line="115" w:lineRule="exact"/>
        <w:rPr>
          <w:sz w:val="24"/>
          <w:szCs w:val="24"/>
          <w:color w:val="auto"/>
        </w:rPr>
      </w:pPr>
    </w:p>
    <w:p>
      <w:pPr>
        <w:jc w:val="center"/>
        <w:ind w:right="20"/>
        <w:spacing w:after="0"/>
        <w:rPr>
          <w:sz w:val="20"/>
          <w:szCs w:val="20"/>
          <w:color w:val="auto"/>
        </w:rPr>
      </w:pPr>
      <w:r>
        <w:rPr>
          <w:rFonts w:ascii="Arial" w:cs="Arial" w:eastAsia="Arial" w:hAnsi="Arial"/>
          <w:sz w:val="19"/>
          <w:szCs w:val="19"/>
          <w:b w:val="1"/>
          <w:bCs w:val="1"/>
          <w:color w:val="auto"/>
        </w:rPr>
        <w:t>FORM 10-Q</w:t>
      </w:r>
    </w:p>
    <w:p>
      <w:pPr>
        <w:spacing w:after="0" w:line="190" w:lineRule="exact"/>
        <w:rPr>
          <w:sz w:val="24"/>
          <w:szCs w:val="24"/>
          <w:color w:val="auto"/>
        </w:rPr>
      </w:pPr>
    </w:p>
    <w:p>
      <w:pPr>
        <w:ind w:left="140"/>
        <w:spacing w:after="0"/>
        <w:rPr>
          <w:sz w:val="20"/>
          <w:szCs w:val="20"/>
          <w:color w:val="auto"/>
        </w:rPr>
      </w:pPr>
      <w:r>
        <w:rPr>
          <w:rFonts w:ascii="Arial" w:cs="Arial" w:eastAsia="Arial" w:hAnsi="Arial"/>
          <w:sz w:val="15"/>
          <w:szCs w:val="15"/>
          <w:color w:val="auto"/>
        </w:rPr>
        <w:t>(Mark One)</w:t>
      </w:r>
    </w:p>
    <w:p>
      <w:pPr>
        <w:spacing w:after="0" w:line="223" w:lineRule="exact"/>
        <w:rPr>
          <w:sz w:val="24"/>
          <w:szCs w:val="24"/>
          <w:color w:val="auto"/>
        </w:rPr>
      </w:pPr>
    </w:p>
    <w:p>
      <w:pPr>
        <w:ind w:left="520" w:hanging="338"/>
        <w:spacing w:after="0"/>
        <w:tabs>
          <w:tab w:leader="none" w:pos="520" w:val="left"/>
        </w:tabs>
        <w:numPr>
          <w:ilvl w:val="0"/>
          <w:numId w:val="1"/>
        </w:numPr>
        <w:rPr>
          <w:rFonts w:ascii="MS PGothic" w:cs="MS PGothic" w:eastAsia="MS PGothic" w:hAnsi="MS PGothic"/>
          <w:sz w:val="15"/>
          <w:szCs w:val="15"/>
          <w:color w:val="auto"/>
          <w:highlight w:val="black"/>
        </w:rPr>
      </w:pPr>
      <w:r>
        <w:rPr>
          <w:rFonts w:ascii="Arial" w:cs="Arial" w:eastAsia="Arial" w:hAnsi="Arial"/>
          <w:sz w:val="14"/>
          <w:szCs w:val="14"/>
          <w:b w:val="1"/>
          <w:bCs w:val="1"/>
          <w:color w:val="auto"/>
        </w:rPr>
        <w:t>QUARTERLY REPORT PURSUANT TO SECTION 13 OR 15(d) OF THE SECURITIES EXCHANGE ACT OF 1934</w:t>
      </w:r>
    </w:p>
    <w:p>
      <w:pPr>
        <w:spacing w:after="0" w:line="182" w:lineRule="exact"/>
        <w:rPr>
          <w:rFonts w:ascii="MS PGothic" w:cs="MS PGothic" w:eastAsia="MS PGothic" w:hAnsi="MS PGothic"/>
          <w:sz w:val="15"/>
          <w:szCs w:val="15"/>
          <w:color w:val="auto"/>
          <w:highlight w:val="black"/>
        </w:rPr>
      </w:pPr>
    </w:p>
    <w:p>
      <w:pPr>
        <w:ind w:left="3200"/>
        <w:spacing w:after="0"/>
        <w:rPr>
          <w:rFonts w:ascii="MS PGothic" w:cs="MS PGothic" w:eastAsia="MS PGothic" w:hAnsi="MS PGothic"/>
          <w:sz w:val="15"/>
          <w:szCs w:val="15"/>
          <w:color w:val="auto"/>
          <w:highlight w:val="black"/>
        </w:rPr>
      </w:pPr>
      <w:r>
        <w:rPr>
          <w:rFonts w:ascii="Arial" w:cs="Arial" w:eastAsia="Arial" w:hAnsi="Arial"/>
          <w:sz w:val="16"/>
          <w:szCs w:val="16"/>
          <w:color w:val="auto"/>
        </w:rPr>
        <w:t>For the quarterly period ended: April 29, 2017</w:t>
      </w:r>
    </w:p>
    <w:p>
      <w:pPr>
        <w:spacing w:after="0" w:line="144"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OR</w:t>
      </w:r>
    </w:p>
    <w:p>
      <w:pPr>
        <w:spacing w:after="0" w:line="129" w:lineRule="exact"/>
        <w:rPr>
          <w:sz w:val="24"/>
          <w:szCs w:val="24"/>
          <w:color w:val="auto"/>
        </w:rPr>
      </w:pPr>
    </w:p>
    <w:p>
      <w:pPr>
        <w:ind w:left="440" w:hanging="295"/>
        <w:spacing w:after="0"/>
        <w:tabs>
          <w:tab w:leader="none" w:pos="440" w:val="left"/>
        </w:tabs>
        <w:numPr>
          <w:ilvl w:val="0"/>
          <w:numId w:val="2"/>
        </w:numPr>
        <w:rPr>
          <w:rFonts w:ascii="MS PGothic" w:cs="MS PGothic" w:eastAsia="MS PGothic" w:hAnsi="MS PGothic"/>
          <w:sz w:val="15"/>
          <w:szCs w:val="15"/>
          <w:color w:val="auto"/>
          <w:highlight w:val="black"/>
        </w:rPr>
      </w:pPr>
      <w:r>
        <w:rPr>
          <w:rFonts w:ascii="Arial" w:cs="Arial" w:eastAsia="Arial" w:hAnsi="Arial"/>
          <w:sz w:val="14"/>
          <w:szCs w:val="14"/>
          <w:b w:val="1"/>
          <w:bCs w:val="1"/>
          <w:color w:val="auto"/>
        </w:rPr>
        <w:t>TRANSITION REPORT PURSUANT TO SECTION 13 OR 15(d) OF THE SECURITIES EXCHANGE ACT OF 1934</w:t>
      </w:r>
    </w:p>
    <w:p>
      <w:pPr>
        <w:spacing w:after="0" w:line="244" w:lineRule="exact"/>
        <w:rPr>
          <w:sz w:val="24"/>
          <w:szCs w:val="24"/>
          <w:color w:val="auto"/>
        </w:rPr>
      </w:pPr>
    </w:p>
    <w:p>
      <w:pPr>
        <w:ind w:left="2760"/>
        <w:spacing w:after="0"/>
        <w:rPr>
          <w:sz w:val="20"/>
          <w:szCs w:val="20"/>
          <w:color w:val="auto"/>
        </w:rPr>
      </w:pPr>
      <w:r>
        <w:rPr>
          <w:rFonts w:ascii="Arial" w:cs="Arial" w:eastAsia="Arial" w:hAnsi="Arial"/>
          <w:sz w:val="16"/>
          <w:szCs w:val="16"/>
          <w:color w:val="auto"/>
        </w:rPr>
        <w:t>For the transition period from __________ to __________</w:t>
      </w:r>
    </w:p>
    <w:p>
      <w:pPr>
        <w:spacing w:after="0" w:line="181"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Commission File Number: 1-10299</w:t>
      </w:r>
    </w:p>
    <w:p>
      <w:pPr>
        <w:spacing w:after="0" w:line="1" w:lineRule="exact"/>
        <w:rPr>
          <w:sz w:val="24"/>
          <w:szCs w:val="24"/>
          <w:color w:val="auto"/>
        </w:rPr>
      </w:pPr>
    </w:p>
    <w:p>
      <w:pPr>
        <w:ind w:left="3300"/>
        <w:spacing w:after="0"/>
        <w:rPr>
          <w:sz w:val="20"/>
          <w:szCs w:val="20"/>
          <w:color w:val="auto"/>
        </w:rPr>
      </w:pPr>
      <w:r>
        <w:rPr>
          <w:rFonts w:ascii="Arial" w:cs="Arial" w:eastAsia="Arial" w:hAnsi="Arial"/>
          <w:sz w:val="16"/>
          <w:szCs w:val="16"/>
          <w:b w:val="1"/>
          <w:bCs w:val="1"/>
          <w:color w:val="auto"/>
        </w:rPr>
        <w:t>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1972945</wp:posOffset>
            </wp:positionH>
            <wp:positionV relativeFrom="paragraph">
              <wp:posOffset>90805</wp:posOffset>
            </wp:positionV>
            <wp:extent cx="2193290" cy="254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93290" cy="254635"/>
                    </a:xfrm>
                    <a:prstGeom prst="rect">
                      <a:avLst/>
                    </a:prstGeom>
                    <a:noFill/>
                  </pic:spPr>
                </pic:pic>
              </a:graphicData>
            </a:graphic>
          </wp:anchor>
        </w:drawing>
      </w:r>
    </w:p>
    <w:p>
      <w:pPr>
        <w:spacing w:after="0" w:line="200" w:lineRule="exact"/>
        <w:rPr>
          <w:sz w:val="24"/>
          <w:szCs w:val="24"/>
          <w:color w:val="auto"/>
        </w:rPr>
      </w:pPr>
    </w:p>
    <w:p>
      <w:pPr>
        <w:spacing w:after="0" w:line="324" w:lineRule="exact"/>
        <w:rPr>
          <w:sz w:val="24"/>
          <w:szCs w:val="24"/>
          <w:color w:val="auto"/>
        </w:rPr>
      </w:pPr>
    </w:p>
    <w:p>
      <w:pPr>
        <w:jc w:val="center"/>
        <w:ind w:right="20"/>
        <w:spacing w:after="0"/>
        <w:rPr>
          <w:sz w:val="20"/>
          <w:szCs w:val="20"/>
          <w:color w:val="auto"/>
        </w:rPr>
      </w:pPr>
      <w:r>
        <w:rPr>
          <w:rFonts w:ascii="Arial" w:cs="Arial" w:eastAsia="Arial" w:hAnsi="Arial"/>
          <w:sz w:val="15"/>
          <w:szCs w:val="15"/>
          <w:color w:val="auto"/>
        </w:rPr>
        <w:t>(Exact name of registrant as specified in its charter)</w:t>
      </w:r>
    </w:p>
    <w:p>
      <w:pPr>
        <w:ind w:left="3300"/>
        <w:spacing w:after="0"/>
        <w:rPr>
          <w:sz w:val="20"/>
          <w:szCs w:val="20"/>
          <w:color w:val="auto"/>
        </w:rPr>
      </w:pPr>
      <w:r>
        <w:rPr>
          <w:rFonts w:ascii="Arial" w:cs="Arial" w:eastAsia="Arial" w:hAnsi="Arial"/>
          <w:sz w:val="16"/>
          <w:szCs w:val="16"/>
          <w:b w:val="1"/>
          <w:bCs w:val="1"/>
          <w:color w:val="auto"/>
        </w:rPr>
        <w:t>______________________________________</w:t>
      </w:r>
    </w:p>
    <w:p>
      <w:pPr>
        <w:sectPr>
          <w:pgSz w:w="11900" w:h="16838" w:orient="portrait"/>
          <w:cols w:equalWidth="0" w:num="1">
            <w:col w:w="9680"/>
          </w:cols>
          <w:pgMar w:left="1120" w:top="207" w:right="1099" w:bottom="1440" w:gutter="0" w:footer="0" w:header="0"/>
        </w:sectPr>
      </w:pPr>
    </w:p>
    <w:p>
      <w:pPr>
        <w:spacing w:after="0" w:line="192" w:lineRule="exact"/>
        <w:rPr>
          <w:sz w:val="24"/>
          <w:szCs w:val="24"/>
          <w:color w:val="auto"/>
        </w:rPr>
      </w:pPr>
    </w:p>
    <w:p>
      <w:pPr>
        <w:ind w:left="2060"/>
        <w:spacing w:after="0"/>
        <w:rPr>
          <w:sz w:val="20"/>
          <w:szCs w:val="20"/>
          <w:color w:val="auto"/>
        </w:rPr>
      </w:pPr>
      <w:r>
        <w:rPr>
          <w:rFonts w:ascii="Arial" w:cs="Arial" w:eastAsia="Arial" w:hAnsi="Arial"/>
          <w:sz w:val="15"/>
          <w:szCs w:val="15"/>
          <w:b w:val="1"/>
          <w:bCs w:val="1"/>
          <w:color w:val="auto"/>
        </w:rPr>
        <w:t>New York</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13-3513936</w:t>
      </w:r>
    </w:p>
    <w:p>
      <w:pPr>
        <w:spacing w:after="0" w:line="29" w:lineRule="exact"/>
        <w:rPr>
          <w:sz w:val="24"/>
          <w:szCs w:val="24"/>
          <w:color w:val="auto"/>
        </w:rPr>
      </w:pPr>
    </w:p>
    <w:p>
      <w:pPr>
        <w:sectPr>
          <w:pgSz w:w="11900" w:h="16838" w:orient="portrait"/>
          <w:cols w:equalWidth="0" w:num="2">
            <w:col w:w="6120" w:space="720"/>
            <w:col w:w="2840"/>
          </w:cols>
          <w:pgMar w:left="1120" w:top="207" w:right="1099" w:bottom="1440" w:gutter="0" w:footer="0" w:header="0"/>
          <w:type w:val="continuous"/>
        </w:sectPr>
      </w:pPr>
    </w:p>
    <w:p>
      <w:pPr>
        <w:ind w:left="420"/>
        <w:spacing w:after="0"/>
        <w:rPr>
          <w:sz w:val="20"/>
          <w:szCs w:val="20"/>
          <w:color w:val="auto"/>
        </w:rPr>
      </w:pPr>
      <w:r>
        <w:rPr>
          <w:rFonts w:ascii="Arial" w:cs="Arial" w:eastAsia="Arial" w:hAnsi="Arial"/>
          <w:sz w:val="15"/>
          <w:szCs w:val="15"/>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(I.R.S. Employer Identification No.)</w:t>
      </w:r>
    </w:p>
    <w:p>
      <w:pPr>
        <w:spacing w:after="0" w:line="101" w:lineRule="exact"/>
        <w:rPr>
          <w:sz w:val="24"/>
          <w:szCs w:val="24"/>
          <w:color w:val="auto"/>
        </w:rPr>
      </w:pPr>
    </w:p>
    <w:p>
      <w:pPr>
        <w:sectPr>
          <w:pgSz w:w="11900" w:h="16838" w:orient="portrait"/>
          <w:cols w:equalWidth="0" w:num="2">
            <w:col w:w="5340" w:space="720"/>
            <w:col w:w="3620"/>
          </w:cols>
          <w:pgMar w:left="1120" w:top="207" w:right="1099" w:bottom="1440" w:gutter="0" w:footer="0" w:header="0"/>
          <w:type w:val="continuous"/>
        </w:sectPr>
      </w:pPr>
    </w:p>
    <w:p>
      <w:pPr>
        <w:ind w:left="3100"/>
        <w:spacing w:after="0"/>
        <w:rPr>
          <w:sz w:val="20"/>
          <w:szCs w:val="20"/>
          <w:color w:val="auto"/>
        </w:rPr>
      </w:pPr>
      <w:r>
        <w:rPr>
          <w:rFonts w:ascii="Arial" w:cs="Arial" w:eastAsia="Arial" w:hAnsi="Arial"/>
          <w:sz w:val="15"/>
          <w:szCs w:val="15"/>
          <w:b w:val="1"/>
          <w:bCs w:val="1"/>
          <w:color w:val="auto"/>
        </w:rPr>
        <w:t>330 West 34</w:t>
      </w:r>
      <w:r>
        <w:rPr>
          <w:rFonts w:ascii="Arial" w:cs="Arial" w:eastAsia="Arial" w:hAnsi="Arial"/>
          <w:sz w:val="8"/>
          <w:szCs w:val="8"/>
          <w:b w:val="1"/>
          <w:bCs w:val="1"/>
          <w:color w:val="auto"/>
        </w:rPr>
        <w:t>th</w:t>
      </w:r>
      <w:r>
        <w:rPr>
          <w:rFonts w:ascii="Arial" w:cs="Arial" w:eastAsia="Arial" w:hAnsi="Arial"/>
          <w:sz w:val="15"/>
          <w:szCs w:val="15"/>
          <w:b w:val="1"/>
          <w:bCs w:val="1"/>
          <w:color w:val="auto"/>
        </w:rPr>
        <w:t xml:space="preserve"> Street, New York, New York 10001</w:t>
      </w:r>
    </w:p>
    <w:p>
      <w:pPr>
        <w:spacing w:after="0" w:line="14" w:lineRule="exact"/>
        <w:rPr>
          <w:sz w:val="24"/>
          <w:szCs w:val="24"/>
          <w:color w:val="auto"/>
        </w:rPr>
      </w:pPr>
    </w:p>
    <w:p>
      <w:pPr>
        <w:ind w:left="3160"/>
        <w:spacing w:after="0"/>
        <w:rPr>
          <w:sz w:val="20"/>
          <w:szCs w:val="20"/>
          <w:color w:val="auto"/>
        </w:rPr>
      </w:pPr>
      <w:r>
        <w:rPr>
          <w:rFonts w:ascii="Arial" w:cs="Arial" w:eastAsia="Arial" w:hAnsi="Arial"/>
          <w:sz w:val="15"/>
          <w:szCs w:val="15"/>
          <w:color w:val="auto"/>
        </w:rPr>
        <w:t>(Address of principal executive offices, Zip Code)</w:t>
      </w:r>
    </w:p>
    <w:p>
      <w:pPr>
        <w:jc w:val="center"/>
        <w:spacing w:after="0" w:line="236" w:lineRule="auto"/>
        <w:rPr>
          <w:sz w:val="20"/>
          <w:szCs w:val="20"/>
          <w:color w:val="auto"/>
        </w:rPr>
      </w:pPr>
      <w:r>
        <w:rPr>
          <w:rFonts w:ascii="Arial" w:cs="Arial" w:eastAsia="Arial" w:hAnsi="Arial"/>
          <w:sz w:val="15"/>
          <w:szCs w:val="15"/>
          <w:b w:val="1"/>
          <w:bCs w:val="1"/>
          <w:color w:val="auto"/>
        </w:rPr>
        <w:t>(212-720-3700)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(Registrant’s telephone number, including area code)</w:t>
      </w:r>
    </w:p>
    <w:p>
      <w:pPr>
        <w:spacing w:after="0" w:line="224" w:lineRule="exact"/>
        <w:rPr>
          <w:sz w:val="24"/>
          <w:szCs w:val="24"/>
          <w:color w:val="auto"/>
        </w:rPr>
      </w:pPr>
    </w:p>
    <w:p>
      <w:pPr>
        <w:jc w:val="both"/>
        <w:spacing w:after="0" w:line="183" w:lineRule="exact"/>
        <w:rPr>
          <w:sz w:val="20"/>
          <w:szCs w:val="20"/>
          <w:color w:val="auto"/>
        </w:rPr>
      </w:pPr>
      <w:r>
        <w:rPr>
          <w:rFonts w:ascii="Arial" w:cs="Arial" w:eastAsia="Arial" w:hAnsi="Arial"/>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5"/>
          <w:szCs w:val="15"/>
          <w:color w:val="auto"/>
        </w:rPr>
        <w:t xml:space="preserve"> No </w:t>
      </w:r>
      <w:r>
        <w:rPr>
          <w:rFonts w:ascii="MS PGothic" w:cs="MS PGothic" w:eastAsia="MS PGothic" w:hAnsi="MS PGothic"/>
          <w:sz w:val="16"/>
          <w:szCs w:val="16"/>
          <w:color w:val="auto"/>
        </w:rPr>
        <w:t>☐</w:t>
      </w:r>
    </w:p>
    <w:p>
      <w:pPr>
        <w:spacing w:after="0" w:line="11" w:lineRule="exact"/>
        <w:rPr>
          <w:sz w:val="24"/>
          <w:szCs w:val="24"/>
          <w:color w:val="auto"/>
        </w:rPr>
      </w:pPr>
    </w:p>
    <w:p>
      <w:pPr>
        <w:jc w:val="both"/>
        <w:spacing w:after="0" w:line="176" w:lineRule="exact"/>
        <w:rPr>
          <w:sz w:val="20"/>
          <w:szCs w:val="20"/>
          <w:color w:val="auto"/>
        </w:rPr>
      </w:pPr>
      <w:r>
        <w:rPr>
          <w:rFonts w:ascii="Arial" w:cs="Arial" w:eastAsia="Arial" w:hAnsi="Arial"/>
          <w:sz w:val="15"/>
          <w:szCs w:val="15"/>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5"/>
          <w:szCs w:val="15"/>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jc w:val="both"/>
        <w:spacing w:after="0" w:line="245"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p>
      <w:pPr>
        <w:ind w:right="400"/>
        <w:spacing w:after="0" w:line="237" w:lineRule="exact"/>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5"/>
          <w:szCs w:val="15"/>
          <w:color w:val="auto"/>
        </w:rPr>
        <w:t xml:space="preserve"> Accelerated filer </w:t>
      </w:r>
      <w:r>
        <w:rPr>
          <w:rFonts w:ascii="MS PGothic" w:cs="MS PGothic" w:eastAsia="MS PGothic" w:hAnsi="MS PGothic"/>
          <w:sz w:val="16"/>
          <w:szCs w:val="16"/>
          <w:color w:val="auto"/>
        </w:rPr>
        <w:t>☐</w:t>
      </w:r>
      <w:r>
        <w:rPr>
          <w:rFonts w:ascii="Arial" w:cs="Arial" w:eastAsia="Arial" w:hAnsi="Arial"/>
          <w:sz w:val="15"/>
          <w:szCs w:val="15"/>
          <w:color w:val="auto"/>
        </w:rPr>
        <w:t xml:space="preserve"> Non-accelerated filer </w:t>
      </w:r>
      <w:r>
        <w:rPr>
          <w:rFonts w:ascii="MS PGothic" w:cs="MS PGothic" w:eastAsia="MS PGothic" w:hAnsi="MS PGothic"/>
          <w:sz w:val="16"/>
          <w:szCs w:val="16"/>
          <w:color w:val="auto"/>
        </w:rPr>
        <w:t>☐</w:t>
      </w:r>
      <w:r>
        <w:rPr>
          <w:rFonts w:ascii="Arial" w:cs="Arial" w:eastAsia="Arial" w:hAnsi="Arial"/>
          <w:sz w:val="15"/>
          <w:szCs w:val="15"/>
          <w:color w:val="auto"/>
        </w:rPr>
        <w:t xml:space="preserve"> Smaller reporting company </w:t>
      </w:r>
      <w:r>
        <w:rPr>
          <w:rFonts w:ascii="MS PGothic" w:cs="MS PGothic" w:eastAsia="MS PGothic" w:hAnsi="MS PGothic"/>
          <w:sz w:val="16"/>
          <w:szCs w:val="16"/>
          <w:color w:val="auto"/>
        </w:rPr>
        <w:t>☐</w:t>
      </w:r>
      <w:r>
        <w:rPr>
          <w:rFonts w:ascii="Arial" w:cs="Arial" w:eastAsia="Arial" w:hAnsi="Arial"/>
          <w:sz w:val="15"/>
          <w:szCs w:val="15"/>
          <w:color w:val="auto"/>
        </w:rPr>
        <w:t xml:space="preserve"> Emerging growth company </w:t>
      </w:r>
      <w:r>
        <w:rPr>
          <w:rFonts w:ascii="MS PGothic" w:cs="MS PGothic" w:eastAsia="MS PGothic" w:hAnsi="MS PGothic"/>
          <w:sz w:val="16"/>
          <w:szCs w:val="16"/>
          <w:color w:val="auto"/>
        </w:rPr>
        <w:t>☐</w:t>
      </w:r>
    </w:p>
    <w:p>
      <w:pPr>
        <w:spacing w:after="0" w:line="348" w:lineRule="exact"/>
        <w:rPr>
          <w:sz w:val="24"/>
          <w:szCs w:val="24"/>
          <w:color w:val="auto"/>
        </w:rPr>
      </w:pPr>
    </w:p>
    <w:p>
      <w:pPr>
        <w:spacing w:after="0" w:line="194"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47" w:lineRule="exact"/>
        <w:rPr>
          <w:sz w:val="24"/>
          <w:szCs w:val="24"/>
          <w:color w:val="auto"/>
        </w:rPr>
      </w:pPr>
    </w:p>
    <w:p>
      <w:pPr>
        <w:spacing w:after="0" w:line="184"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5"/>
          <w:szCs w:val="15"/>
          <w:color w:val="auto"/>
        </w:rPr>
        <w:t xml:space="preserve"> No  </w:t>
      </w:r>
      <w:r>
        <w:rPr>
          <w:rFonts w:ascii="MS PGothic" w:cs="MS PGothic" w:eastAsia="MS PGothic" w:hAnsi="MS PGothic"/>
          <w:sz w:val="16"/>
          <w:szCs w:val="16"/>
          <w:color w:val="auto"/>
        </w:rPr>
        <w:t>☑</w:t>
      </w:r>
    </w:p>
    <w:p>
      <w:pPr>
        <w:spacing w:after="0" w:line="242" w:lineRule="exact"/>
        <w:rPr>
          <w:sz w:val="24"/>
          <w:szCs w:val="24"/>
          <w:color w:val="auto"/>
        </w:rPr>
      </w:pPr>
    </w:p>
    <w:p>
      <w:pPr>
        <w:spacing w:after="0"/>
        <w:rPr>
          <w:sz w:val="20"/>
          <w:szCs w:val="20"/>
          <w:color w:val="auto"/>
        </w:rPr>
      </w:pPr>
      <w:r>
        <w:rPr>
          <w:rFonts w:ascii="Arial" w:cs="Arial" w:eastAsia="Arial" w:hAnsi="Arial"/>
          <w:sz w:val="15"/>
          <w:szCs w:val="15"/>
          <w:color w:val="auto"/>
        </w:rPr>
        <w:t>Number of shares of Common Stock outstanding as of May 26, 2017: 131,303,334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708025</wp:posOffset>
            </wp:positionV>
            <wp:extent cx="6188710" cy="482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8710" cy="48260"/>
                    </a:xfrm>
                    <a:prstGeom prst="rect">
                      <a:avLst/>
                    </a:prstGeom>
                    <a:noFill/>
                  </pic:spPr>
                </pic:pic>
              </a:graphicData>
            </a:graphic>
          </wp:anchor>
        </w:drawing>
      </w:r>
    </w:p>
    <w:p>
      <w:pPr>
        <w:sectPr>
          <w:pgSz w:w="11900" w:h="16838" w:orient="portrait"/>
          <w:cols w:equalWidth="0" w:num="1">
            <w:col w:w="9680"/>
          </w:cols>
          <w:pgMar w:left="1120" w:top="207" w:right="109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5"/>
          <w:szCs w:val="15"/>
          <w:b w:val="1"/>
          <w:bCs w:val="1"/>
          <w:color w:val="auto"/>
        </w:rPr>
        <w:t>FOOT LOCKER, INC.</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TABLE OF CONTENTS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5"/>
                <w:szCs w:val="15"/>
                <w:color w:val="auto"/>
              </w:rPr>
              <w:t>Page</w:t>
            </w:r>
          </w:p>
        </w:tc>
      </w:tr>
      <w:tr>
        <w:trPr>
          <w:trHeight w:val="153"/>
        </w:trPr>
        <w:tc>
          <w:tcPr>
            <w:tcW w:w="100" w:type="dxa"/>
            <w:vAlign w:val="bottom"/>
            <w:shd w:val="clear" w:color="auto" w:fill="CCEEFF"/>
          </w:tcPr>
          <w:p>
            <w:pPr>
              <w:spacing w:after="0"/>
              <w:rPr>
                <w:sz w:val="13"/>
                <w:szCs w:val="13"/>
                <w:color w:val="auto"/>
              </w:rPr>
            </w:pPr>
          </w:p>
        </w:tc>
        <w:tc>
          <w:tcPr>
            <w:tcW w:w="1040" w:type="dxa"/>
            <w:vAlign w:val="bottom"/>
            <w:gridSpan w:val="4"/>
            <w:shd w:val="clear" w:color="auto" w:fill="CCEEFF"/>
          </w:tcPr>
          <w:p>
            <w:pPr>
              <w:spacing w:after="0" w:line="154" w:lineRule="exact"/>
              <w:rPr>
                <w:rFonts w:ascii="Arial" w:cs="Arial" w:eastAsia="Arial" w:hAnsi="Arial"/>
                <w:sz w:val="15"/>
                <w:szCs w:val="15"/>
                <w:color w:val="0000EE"/>
              </w:rPr>
            </w:pPr>
            <w:hyperlink w:anchor="page3">
              <w:r>
                <w:rPr>
                  <w:rFonts w:ascii="Arial" w:cs="Arial" w:eastAsia="Arial" w:hAnsi="Arial"/>
                  <w:sz w:val="15"/>
                  <w:szCs w:val="15"/>
                  <w:color w:val="0000EE"/>
                </w:rPr>
                <w:t>PART I.</w:t>
              </w:r>
            </w:hyperlink>
          </w:p>
        </w:tc>
        <w:tc>
          <w:tcPr>
            <w:tcW w:w="7480" w:type="dxa"/>
            <w:vAlign w:val="bottom"/>
            <w:gridSpan w:val="20"/>
            <w:shd w:val="clear" w:color="auto" w:fill="CCEEFF"/>
          </w:tcPr>
          <w:p>
            <w:pPr>
              <w:ind w:left="180"/>
              <w:spacing w:after="0" w:line="154" w:lineRule="exact"/>
              <w:rPr>
                <w:rFonts w:ascii="Arial" w:cs="Arial" w:eastAsia="Arial" w:hAnsi="Arial"/>
                <w:sz w:val="15"/>
                <w:szCs w:val="15"/>
                <w:color w:val="0000EE"/>
              </w:rPr>
            </w:pPr>
            <w:hyperlink w:anchor="page3">
              <w:r>
                <w:rPr>
                  <w:rFonts w:ascii="Arial" w:cs="Arial" w:eastAsia="Arial" w:hAnsi="Arial"/>
                  <w:sz w:val="15"/>
                  <w:szCs w:val="15"/>
                  <w:color w:val="0000EE"/>
                </w:rPr>
                <w:t>FINANCIAL INFORMATION</w:t>
              </w:r>
            </w:hyperlink>
          </w:p>
        </w:tc>
        <w:tc>
          <w:tcPr>
            <w:tcW w:w="7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r>
      <w:tr>
        <w:trPr>
          <w:trHeight w:val="29"/>
        </w:trPr>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7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r>
      <w:tr>
        <w:trPr>
          <w:trHeight w:val="146"/>
        </w:trPr>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6"/>
          </w:tcPr>
          <w:p>
            <w:pPr>
              <w:ind w:left="180"/>
              <w:spacing w:after="0" w:line="146" w:lineRule="exact"/>
              <w:rPr>
                <w:rFonts w:ascii="Arial" w:cs="Arial" w:eastAsia="Arial" w:hAnsi="Arial"/>
                <w:sz w:val="15"/>
                <w:szCs w:val="15"/>
                <w:color w:val="0000EE"/>
              </w:rPr>
            </w:pPr>
            <w:hyperlink w:anchor="page3">
              <w:r>
                <w:rPr>
                  <w:rFonts w:ascii="Arial" w:cs="Arial" w:eastAsia="Arial" w:hAnsi="Arial"/>
                  <w:sz w:val="15"/>
                  <w:szCs w:val="15"/>
                  <w:color w:val="0000EE"/>
                </w:rPr>
                <w:t>Item 1.</w:t>
              </w:r>
            </w:hyperlink>
          </w:p>
        </w:tc>
        <w:tc>
          <w:tcPr>
            <w:tcW w:w="6080" w:type="dxa"/>
            <w:vAlign w:val="bottom"/>
            <w:gridSpan w:val="14"/>
          </w:tcPr>
          <w:p>
            <w:pPr>
              <w:spacing w:after="0" w:line="146" w:lineRule="exact"/>
              <w:rPr>
                <w:rFonts w:ascii="Arial" w:cs="Arial" w:eastAsia="Arial" w:hAnsi="Arial"/>
                <w:sz w:val="15"/>
                <w:szCs w:val="15"/>
                <w:color w:val="0000EE"/>
              </w:rPr>
            </w:pPr>
            <w:hyperlink w:anchor="page3">
              <w:r>
                <w:rPr>
                  <w:rFonts w:ascii="Arial" w:cs="Arial" w:eastAsia="Arial" w:hAnsi="Arial"/>
                  <w:sz w:val="15"/>
                  <w:szCs w:val="15"/>
                  <w:color w:val="0000EE"/>
                </w:rPr>
                <w:t>Financial Statements</w:t>
              </w:r>
            </w:hyperlink>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28"/>
        </w:trPr>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183"/>
        </w:trPr>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2880" w:type="dxa"/>
            <w:vAlign w:val="bottom"/>
            <w:tcBorders>
              <w:bottom w:val="single" w:sz="8" w:color="0000EE"/>
            </w:tcBorders>
            <w:gridSpan w:val="8"/>
            <w:shd w:val="clear" w:color="auto" w:fill="CCEEFF"/>
          </w:tcPr>
          <w:p>
            <w:pPr>
              <w:spacing w:after="0" w:line="154" w:lineRule="exact"/>
              <w:rPr>
                <w:rFonts w:ascii="Arial" w:cs="Arial" w:eastAsia="Arial" w:hAnsi="Arial"/>
                <w:sz w:val="15"/>
                <w:szCs w:val="15"/>
                <w:color w:val="0000EE"/>
              </w:rPr>
            </w:pPr>
            <w:hyperlink w:anchor="page3">
              <w:r>
                <w:rPr>
                  <w:rFonts w:ascii="Arial" w:cs="Arial" w:eastAsia="Arial" w:hAnsi="Arial"/>
                  <w:sz w:val="15"/>
                  <w:szCs w:val="15"/>
                  <w:color w:val="0000EE"/>
                </w:rPr>
                <w:t>Condensed Consolidated Balance Sheets</w:t>
              </w:r>
            </w:hyperlink>
          </w:p>
        </w:tc>
        <w:tc>
          <w:tcPr>
            <w:tcW w:w="3200" w:type="dxa"/>
            <w:vAlign w:val="bottom"/>
            <w:tcBorders>
              <w:bottom w:val="single" w:sz="8" w:color="CCEEFF"/>
            </w:tcBorders>
            <w:gridSpan w:val="6"/>
            <w:shd w:val="clear" w:color="auto" w:fill="CCEEFF"/>
          </w:tcPr>
          <w:p>
            <w:pPr>
              <w:spacing w:after="0"/>
              <w:rPr>
                <w:sz w:val="15"/>
                <w:szCs w:val="15"/>
                <w:color w:val="auto"/>
              </w:rPr>
            </w:pPr>
          </w:p>
        </w:tc>
        <w:tc>
          <w:tcPr>
            <w:tcW w:w="1060" w:type="dxa"/>
            <w:vAlign w:val="bottom"/>
            <w:tcBorders>
              <w:bottom w:val="single" w:sz="8" w:color="CCEEFF"/>
            </w:tcBorders>
            <w:gridSpan w:val="2"/>
            <w:shd w:val="clear" w:color="auto" w:fill="CCEEFF"/>
          </w:tcPr>
          <w:p>
            <w:pPr>
              <w:jc w:val="right"/>
              <w:ind w:right="40"/>
              <w:spacing w:after="0" w:line="154" w:lineRule="exact"/>
              <w:rPr>
                <w:sz w:val="20"/>
                <w:szCs w:val="20"/>
                <w:color w:val="auto"/>
              </w:rPr>
            </w:pPr>
            <w:r>
              <w:rPr>
                <w:rFonts w:ascii="Arial" w:cs="Arial" w:eastAsia="Arial" w:hAnsi="Arial"/>
                <w:sz w:val="15"/>
                <w:szCs w:val="15"/>
                <w:color w:val="auto"/>
              </w:rPr>
              <w:t>1</w:t>
            </w:r>
          </w:p>
        </w:tc>
      </w:tr>
      <w:tr>
        <w:trPr>
          <w:trHeight w:val="146"/>
        </w:trPr>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80" w:type="dxa"/>
            <w:vAlign w:val="bottom"/>
            <w:gridSpan w:val="14"/>
          </w:tcPr>
          <w:p>
            <w:pPr>
              <w:spacing w:after="0" w:line="146" w:lineRule="exact"/>
              <w:rPr>
                <w:rFonts w:ascii="Arial" w:cs="Arial" w:eastAsia="Arial" w:hAnsi="Arial"/>
                <w:sz w:val="15"/>
                <w:szCs w:val="15"/>
                <w:color w:val="0000EE"/>
              </w:rPr>
            </w:pPr>
            <w:hyperlink w:anchor="page4">
              <w:r>
                <w:rPr>
                  <w:rFonts w:ascii="Arial" w:cs="Arial" w:eastAsia="Arial" w:hAnsi="Arial"/>
                  <w:sz w:val="15"/>
                  <w:szCs w:val="15"/>
                  <w:color w:val="0000EE"/>
                </w:rPr>
                <w:t>Condensed Consolidated Statements of Operations</w:t>
              </w:r>
            </w:hyperlink>
          </w:p>
        </w:tc>
        <w:tc>
          <w:tcPr>
            <w:tcW w:w="1060" w:type="dxa"/>
            <w:vAlign w:val="bottom"/>
            <w:gridSpan w:val="2"/>
          </w:tcPr>
          <w:p>
            <w:pPr>
              <w:jc w:val="right"/>
              <w:ind w:right="40"/>
              <w:spacing w:after="0" w:line="146" w:lineRule="exact"/>
              <w:rPr>
                <w:sz w:val="20"/>
                <w:szCs w:val="20"/>
                <w:color w:val="auto"/>
              </w:rPr>
            </w:pPr>
            <w:r>
              <w:rPr>
                <w:rFonts w:ascii="Arial" w:cs="Arial" w:eastAsia="Arial" w:hAnsi="Arial"/>
                <w:sz w:val="15"/>
                <w:szCs w:val="15"/>
                <w:color w:val="auto"/>
              </w:rPr>
              <w:t>2</w:t>
            </w:r>
          </w:p>
        </w:tc>
      </w:tr>
      <w:tr>
        <w:trPr>
          <w:trHeight w:val="29"/>
        </w:trPr>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140" w:type="dxa"/>
            <w:vAlign w:val="bottom"/>
            <w:tcBorders>
              <w:top w:val="single" w:sz="8" w:color="0000EE"/>
            </w:tcBorders>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175"/>
        </w:trPr>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80" w:type="dxa"/>
            <w:vAlign w:val="bottom"/>
            <w:gridSpan w:val="14"/>
            <w:shd w:val="clear" w:color="auto" w:fill="CCEEFF"/>
          </w:tcPr>
          <w:p>
            <w:pPr>
              <w:spacing w:after="0" w:line="146" w:lineRule="exact"/>
              <w:rPr>
                <w:rFonts w:ascii="Arial" w:cs="Arial" w:eastAsia="Arial" w:hAnsi="Arial"/>
                <w:sz w:val="15"/>
                <w:szCs w:val="15"/>
                <w:color w:val="0000EE"/>
              </w:rPr>
            </w:pPr>
            <w:hyperlink w:anchor="page5">
              <w:r>
                <w:rPr>
                  <w:rFonts w:ascii="Arial" w:cs="Arial" w:eastAsia="Arial" w:hAnsi="Arial"/>
                  <w:sz w:val="15"/>
                  <w:szCs w:val="15"/>
                  <w:color w:val="0000EE"/>
                </w:rPr>
                <w:t>Condensed Consolidated Statements of Comprehensive Income</w:t>
              </w:r>
            </w:hyperlink>
          </w:p>
        </w:tc>
        <w:tc>
          <w:tcPr>
            <w:tcW w:w="106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5"/>
                <w:szCs w:val="15"/>
                <w:color w:val="auto"/>
              </w:rPr>
              <w:t>3</w:t>
            </w:r>
          </w:p>
        </w:tc>
      </w:tr>
      <w:tr>
        <w:trPr>
          <w:trHeight w:val="146"/>
        </w:trPr>
        <w:tc>
          <w:tcPr>
            <w:tcW w:w="10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340" w:type="dxa"/>
            <w:vAlign w:val="bottom"/>
            <w:tcBorders>
              <w:top w:val="single" w:sz="8" w:color="CCEEFF"/>
            </w:tcBorders>
          </w:tcPr>
          <w:p>
            <w:pPr>
              <w:spacing w:after="0"/>
              <w:rPr>
                <w:sz w:val="12"/>
                <w:szCs w:val="12"/>
                <w:color w:val="auto"/>
              </w:rPr>
            </w:pPr>
          </w:p>
        </w:tc>
        <w:tc>
          <w:tcPr>
            <w:tcW w:w="36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60" w:type="dxa"/>
            <w:vAlign w:val="bottom"/>
            <w:tcBorders>
              <w:top w:val="single" w:sz="8" w:color="CCEEFF"/>
            </w:tcBorders>
          </w:tcPr>
          <w:p>
            <w:pPr>
              <w:spacing w:after="0"/>
              <w:rPr>
                <w:sz w:val="12"/>
                <w:szCs w:val="12"/>
                <w:color w:val="auto"/>
              </w:rPr>
            </w:pPr>
          </w:p>
        </w:tc>
        <w:tc>
          <w:tcPr>
            <w:tcW w:w="4380" w:type="dxa"/>
            <w:vAlign w:val="bottom"/>
            <w:tcBorders>
              <w:top w:val="single" w:sz="8" w:color="0000EE"/>
            </w:tcBorders>
            <w:gridSpan w:val="13"/>
          </w:tcPr>
          <w:p>
            <w:pPr>
              <w:spacing w:after="0" w:line="146" w:lineRule="exact"/>
              <w:rPr>
                <w:rFonts w:ascii="Arial" w:cs="Arial" w:eastAsia="Arial" w:hAnsi="Arial"/>
                <w:sz w:val="15"/>
                <w:szCs w:val="15"/>
                <w:color w:val="0000EE"/>
              </w:rPr>
            </w:pPr>
            <w:hyperlink w:anchor="page6">
              <w:r>
                <w:rPr>
                  <w:rFonts w:ascii="Arial" w:cs="Arial" w:eastAsia="Arial" w:hAnsi="Arial"/>
                  <w:sz w:val="15"/>
                  <w:szCs w:val="15"/>
                  <w:color w:val="0000EE"/>
                </w:rPr>
                <w:t>Condensed Consolidated Statements of Cash Flows</w:t>
              </w:r>
            </w:hyperlink>
          </w:p>
        </w:tc>
        <w:tc>
          <w:tcPr>
            <w:tcW w:w="1700" w:type="dxa"/>
            <w:vAlign w:val="bottom"/>
            <w:tcBorders>
              <w:top w:val="single" w:sz="8" w:color="CCEEFF"/>
            </w:tcBorders>
          </w:tcPr>
          <w:p>
            <w:pPr>
              <w:spacing w:after="0"/>
              <w:rPr>
                <w:sz w:val="12"/>
                <w:szCs w:val="12"/>
                <w:color w:val="auto"/>
              </w:rPr>
            </w:pPr>
          </w:p>
        </w:tc>
        <w:tc>
          <w:tcPr>
            <w:tcW w:w="1060" w:type="dxa"/>
            <w:vAlign w:val="bottom"/>
            <w:tcBorders>
              <w:top w:val="single" w:sz="8" w:color="CCEEFF"/>
            </w:tcBorders>
            <w:gridSpan w:val="2"/>
          </w:tcPr>
          <w:p>
            <w:pPr>
              <w:jc w:val="right"/>
              <w:ind w:right="40"/>
              <w:spacing w:after="0" w:line="146" w:lineRule="exact"/>
              <w:rPr>
                <w:sz w:val="20"/>
                <w:szCs w:val="20"/>
                <w:color w:val="auto"/>
              </w:rPr>
            </w:pPr>
            <w:r>
              <w:rPr>
                <w:rFonts w:ascii="Arial" w:cs="Arial" w:eastAsia="Arial" w:hAnsi="Arial"/>
                <w:sz w:val="15"/>
                <w:szCs w:val="15"/>
                <w:color w:val="auto"/>
              </w:rPr>
              <w:t>4</w:t>
            </w:r>
          </w:p>
        </w:tc>
      </w:tr>
      <w:tr>
        <w:trPr>
          <w:trHeight w:val="29"/>
        </w:trPr>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140" w:type="dxa"/>
            <w:vAlign w:val="bottom"/>
            <w:tcBorders>
              <w:top w:val="single" w:sz="8" w:color="0000EE"/>
            </w:tcBorders>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175"/>
        </w:trPr>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3860" w:type="dxa"/>
            <w:vAlign w:val="bottom"/>
            <w:tcBorders>
              <w:bottom w:val="single" w:sz="8" w:color="0000EE"/>
            </w:tcBorders>
            <w:gridSpan w:val="11"/>
            <w:shd w:val="clear" w:color="auto" w:fill="CCEEFF"/>
          </w:tcPr>
          <w:p>
            <w:pPr>
              <w:spacing w:after="0" w:line="146" w:lineRule="exact"/>
              <w:rPr>
                <w:rFonts w:ascii="Arial" w:cs="Arial" w:eastAsia="Arial" w:hAnsi="Arial"/>
                <w:sz w:val="15"/>
                <w:szCs w:val="15"/>
                <w:color w:val="0000EE"/>
              </w:rPr>
            </w:pPr>
            <w:hyperlink w:anchor="page7">
              <w:r>
                <w:rPr>
                  <w:rFonts w:ascii="Arial" w:cs="Arial" w:eastAsia="Arial" w:hAnsi="Arial"/>
                  <w:sz w:val="15"/>
                  <w:szCs w:val="15"/>
                  <w:color w:val="0000EE"/>
                </w:rPr>
                <w:t>Notes to Condensed Consolidated Financial Statements</w:t>
              </w:r>
            </w:hyperlink>
          </w:p>
        </w:tc>
        <w:tc>
          <w:tcPr>
            <w:tcW w:w="2220" w:type="dxa"/>
            <w:vAlign w:val="bottom"/>
            <w:tcBorders>
              <w:bottom w:val="single" w:sz="8" w:color="CCEEFF"/>
            </w:tcBorders>
            <w:gridSpan w:val="3"/>
            <w:shd w:val="clear" w:color="auto" w:fill="CCEEFF"/>
          </w:tcPr>
          <w:p>
            <w:pPr>
              <w:spacing w:after="0"/>
              <w:rPr>
                <w:sz w:val="15"/>
                <w:szCs w:val="15"/>
                <w:color w:val="auto"/>
              </w:rPr>
            </w:pPr>
          </w:p>
        </w:tc>
        <w:tc>
          <w:tcPr>
            <w:tcW w:w="1060" w:type="dxa"/>
            <w:vAlign w:val="bottom"/>
            <w:tcBorders>
              <w:bottom w:val="single" w:sz="8" w:color="CCEEFF"/>
            </w:tcBorders>
            <w:gridSpan w:val="2"/>
            <w:shd w:val="clear" w:color="auto" w:fill="CCEEFF"/>
          </w:tcPr>
          <w:p>
            <w:pPr>
              <w:jc w:val="right"/>
              <w:ind w:right="40"/>
              <w:spacing w:after="0" w:line="146" w:lineRule="exact"/>
              <w:rPr>
                <w:sz w:val="20"/>
                <w:szCs w:val="20"/>
                <w:color w:val="auto"/>
              </w:rPr>
            </w:pPr>
            <w:r>
              <w:rPr>
                <w:rFonts w:ascii="Arial" w:cs="Arial" w:eastAsia="Arial" w:hAnsi="Arial"/>
                <w:sz w:val="15"/>
                <w:szCs w:val="15"/>
                <w:color w:val="auto"/>
              </w:rPr>
              <w:t>5</w:t>
            </w:r>
          </w:p>
        </w:tc>
      </w:tr>
      <w:tr>
        <w:trPr>
          <w:trHeight w:val="146"/>
        </w:trPr>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6"/>
          </w:tcPr>
          <w:p>
            <w:pPr>
              <w:ind w:left="180"/>
              <w:spacing w:after="0" w:line="146" w:lineRule="exact"/>
              <w:rPr>
                <w:rFonts w:ascii="Arial" w:cs="Arial" w:eastAsia="Arial" w:hAnsi="Arial"/>
                <w:sz w:val="15"/>
                <w:szCs w:val="15"/>
                <w:color w:val="0000EE"/>
              </w:rPr>
            </w:pPr>
            <w:hyperlink w:anchor="page18">
              <w:r>
                <w:rPr>
                  <w:rFonts w:ascii="Arial" w:cs="Arial" w:eastAsia="Arial" w:hAnsi="Arial"/>
                  <w:sz w:val="15"/>
                  <w:szCs w:val="15"/>
                  <w:color w:val="0000EE"/>
                </w:rPr>
                <w:t>Item 2.</w:t>
              </w:r>
            </w:hyperlink>
          </w:p>
        </w:tc>
        <w:tc>
          <w:tcPr>
            <w:tcW w:w="6080" w:type="dxa"/>
            <w:vAlign w:val="bottom"/>
            <w:gridSpan w:val="14"/>
          </w:tcPr>
          <w:p>
            <w:pPr>
              <w:spacing w:after="0" w:line="146" w:lineRule="exact"/>
              <w:rPr>
                <w:rFonts w:ascii="Arial" w:cs="Arial" w:eastAsia="Arial" w:hAnsi="Arial"/>
                <w:sz w:val="15"/>
                <w:szCs w:val="15"/>
                <w:color w:val="0000EE"/>
              </w:rPr>
            </w:pPr>
            <w:hyperlink w:anchor="page18">
              <w:r>
                <w:rPr>
                  <w:rFonts w:ascii="Arial" w:cs="Arial" w:eastAsia="Arial" w:hAnsi="Arial"/>
                  <w:sz w:val="15"/>
                  <w:szCs w:val="15"/>
                  <w:color w:val="0000EE"/>
                </w:rPr>
                <w:t>Management’s Discussion and Analysis of Financial Condition and Results of Operations</w:t>
              </w:r>
            </w:hyperlink>
          </w:p>
        </w:tc>
        <w:tc>
          <w:tcPr>
            <w:tcW w:w="1060" w:type="dxa"/>
            <w:vAlign w:val="bottom"/>
            <w:gridSpan w:val="2"/>
          </w:tcPr>
          <w:p>
            <w:pPr>
              <w:jc w:val="right"/>
              <w:ind w:right="40"/>
              <w:spacing w:after="0" w:line="146" w:lineRule="exact"/>
              <w:rPr>
                <w:sz w:val="20"/>
                <w:szCs w:val="20"/>
                <w:color w:val="auto"/>
              </w:rPr>
            </w:pPr>
            <w:r>
              <w:rPr>
                <w:rFonts w:ascii="Arial" w:cs="Arial" w:eastAsia="Arial" w:hAnsi="Arial"/>
                <w:sz w:val="15"/>
                <w:szCs w:val="15"/>
                <w:color w:val="auto"/>
              </w:rPr>
              <w:t>16</w:t>
            </w:r>
          </w:p>
        </w:tc>
      </w:tr>
      <w:tr>
        <w:trPr>
          <w:trHeight w:val="235"/>
        </w:trPr>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4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1140" w:type="dxa"/>
            <w:vAlign w:val="bottom"/>
            <w:tcBorders>
              <w:top w:val="single" w:sz="8" w:color="0000EE"/>
            </w:tcBorders>
          </w:tcPr>
          <w:p>
            <w:pPr>
              <w:spacing w:after="0"/>
              <w:rPr>
                <w:sz w:val="20"/>
                <w:szCs w:val="20"/>
                <w:color w:val="auto"/>
              </w:rPr>
            </w:pPr>
          </w:p>
        </w:tc>
        <w:tc>
          <w:tcPr>
            <w:tcW w:w="68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1700" w:type="dxa"/>
            <w:vAlign w:val="bottom"/>
            <w:tcBorders>
              <w:top w:val="single" w:sz="8" w:color="0000EE"/>
            </w:tcBorders>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175"/>
        </w:trPr>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gridSpan w:val="6"/>
            <w:shd w:val="clear" w:color="auto" w:fill="CCEEFF"/>
          </w:tcPr>
          <w:p>
            <w:pPr>
              <w:ind w:left="180"/>
              <w:spacing w:after="0" w:line="146" w:lineRule="exact"/>
              <w:rPr>
                <w:rFonts w:ascii="Arial" w:cs="Arial" w:eastAsia="Arial" w:hAnsi="Arial"/>
                <w:sz w:val="15"/>
                <w:szCs w:val="15"/>
                <w:color w:val="0000EE"/>
              </w:rPr>
            </w:pPr>
            <w:hyperlink w:anchor="page25">
              <w:r>
                <w:rPr>
                  <w:rFonts w:ascii="Arial" w:cs="Arial" w:eastAsia="Arial" w:hAnsi="Arial"/>
                  <w:sz w:val="15"/>
                  <w:szCs w:val="15"/>
                  <w:color w:val="0000EE"/>
                </w:rPr>
                <w:t>Item 4.</w:t>
              </w:r>
            </w:hyperlink>
          </w:p>
        </w:tc>
        <w:tc>
          <w:tcPr>
            <w:tcW w:w="6080" w:type="dxa"/>
            <w:vAlign w:val="bottom"/>
            <w:gridSpan w:val="14"/>
            <w:shd w:val="clear" w:color="auto" w:fill="CCEEFF"/>
          </w:tcPr>
          <w:p>
            <w:pPr>
              <w:spacing w:after="0" w:line="146" w:lineRule="exact"/>
              <w:rPr>
                <w:rFonts w:ascii="Arial" w:cs="Arial" w:eastAsia="Arial" w:hAnsi="Arial"/>
                <w:sz w:val="15"/>
                <w:szCs w:val="15"/>
                <w:color w:val="0000EE"/>
              </w:rPr>
            </w:pPr>
            <w:hyperlink w:anchor="page25">
              <w:r>
                <w:rPr>
                  <w:rFonts w:ascii="Arial" w:cs="Arial" w:eastAsia="Arial" w:hAnsi="Arial"/>
                  <w:sz w:val="15"/>
                  <w:szCs w:val="15"/>
                  <w:color w:val="0000EE"/>
                </w:rPr>
                <w:t>Controls and Procedures</w:t>
              </w:r>
            </w:hyperlink>
          </w:p>
        </w:tc>
        <w:tc>
          <w:tcPr>
            <w:tcW w:w="106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5"/>
                <w:szCs w:val="15"/>
                <w:color w:val="auto"/>
              </w:rPr>
              <w:t>23</w:t>
            </w:r>
          </w:p>
        </w:tc>
      </w:tr>
      <w:tr>
        <w:trPr>
          <w:trHeight w:val="195"/>
        </w:trPr>
        <w:tc>
          <w:tcPr>
            <w:tcW w:w="10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46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700" w:type="dxa"/>
            <w:vAlign w:val="bottom"/>
            <w:tcBorders>
              <w:top w:val="single" w:sz="8" w:color="CCEEFF"/>
            </w:tcBorders>
          </w:tcPr>
          <w:p>
            <w:pPr>
              <w:spacing w:after="0"/>
              <w:rPr>
                <w:sz w:val="16"/>
                <w:szCs w:val="16"/>
                <w:color w:val="auto"/>
              </w:rPr>
            </w:pPr>
          </w:p>
        </w:tc>
        <w:tc>
          <w:tcPr>
            <w:tcW w:w="78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r>
      <w:tr>
        <w:trPr>
          <w:trHeight w:val="146"/>
        </w:trPr>
        <w:tc>
          <w:tcPr>
            <w:tcW w:w="100" w:type="dxa"/>
            <w:vAlign w:val="bottom"/>
            <w:shd w:val="clear" w:color="auto" w:fill="CCEEFF"/>
          </w:tcPr>
          <w:p>
            <w:pPr>
              <w:spacing w:after="0"/>
              <w:rPr>
                <w:sz w:val="12"/>
                <w:szCs w:val="12"/>
                <w:color w:val="auto"/>
              </w:rPr>
            </w:pPr>
          </w:p>
        </w:tc>
        <w:tc>
          <w:tcPr>
            <w:tcW w:w="1040" w:type="dxa"/>
            <w:vAlign w:val="bottom"/>
            <w:gridSpan w:val="4"/>
            <w:shd w:val="clear" w:color="auto" w:fill="CCEEFF"/>
          </w:tcPr>
          <w:p>
            <w:pPr>
              <w:spacing w:after="0" w:line="146" w:lineRule="exact"/>
              <w:rPr>
                <w:rFonts w:ascii="Arial" w:cs="Arial" w:eastAsia="Arial" w:hAnsi="Arial"/>
                <w:sz w:val="15"/>
                <w:szCs w:val="15"/>
                <w:color w:val="0000EE"/>
              </w:rPr>
            </w:pPr>
            <w:hyperlink w:anchor="page25">
              <w:r>
                <w:rPr>
                  <w:rFonts w:ascii="Arial" w:cs="Arial" w:eastAsia="Arial" w:hAnsi="Arial"/>
                  <w:sz w:val="15"/>
                  <w:szCs w:val="15"/>
                  <w:color w:val="0000EE"/>
                </w:rPr>
                <w:t>PART II</w:t>
              </w:r>
            </w:hyperlink>
          </w:p>
        </w:tc>
        <w:tc>
          <w:tcPr>
            <w:tcW w:w="7480" w:type="dxa"/>
            <w:vAlign w:val="bottom"/>
            <w:gridSpan w:val="20"/>
            <w:shd w:val="clear" w:color="auto" w:fill="CCEEFF"/>
          </w:tcPr>
          <w:p>
            <w:pPr>
              <w:ind w:left="180"/>
              <w:spacing w:after="0" w:line="146" w:lineRule="exact"/>
              <w:rPr>
                <w:rFonts w:ascii="Arial" w:cs="Arial" w:eastAsia="Arial" w:hAnsi="Arial"/>
                <w:sz w:val="15"/>
                <w:szCs w:val="15"/>
                <w:color w:val="0000EE"/>
              </w:rPr>
            </w:pPr>
            <w:hyperlink w:anchor="page25">
              <w:r>
                <w:rPr>
                  <w:rFonts w:ascii="Arial" w:cs="Arial" w:eastAsia="Arial" w:hAnsi="Arial"/>
                  <w:sz w:val="15"/>
                  <w:szCs w:val="15"/>
                  <w:color w:val="0000EE"/>
                </w:rPr>
                <w:t>OTHER INFORMATION</w:t>
              </w:r>
            </w:hyperlink>
          </w:p>
        </w:tc>
        <w:tc>
          <w:tcPr>
            <w:tcW w:w="7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r>
      <w:tr>
        <w:trPr>
          <w:trHeight w:val="29"/>
        </w:trPr>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7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r>
      <w:tr>
        <w:trPr>
          <w:trHeight w:val="146"/>
        </w:trPr>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6"/>
          </w:tcPr>
          <w:p>
            <w:pPr>
              <w:ind w:left="180"/>
              <w:spacing w:after="0" w:line="146" w:lineRule="exact"/>
              <w:rPr>
                <w:rFonts w:ascii="Arial" w:cs="Arial" w:eastAsia="Arial" w:hAnsi="Arial"/>
                <w:sz w:val="15"/>
                <w:szCs w:val="15"/>
                <w:color w:val="0000EE"/>
              </w:rPr>
            </w:pPr>
            <w:hyperlink w:anchor="page25">
              <w:r>
                <w:rPr>
                  <w:rFonts w:ascii="Arial" w:cs="Arial" w:eastAsia="Arial" w:hAnsi="Arial"/>
                  <w:sz w:val="15"/>
                  <w:szCs w:val="15"/>
                  <w:color w:val="0000EE"/>
                </w:rPr>
                <w:t>Item 1.</w:t>
              </w:r>
            </w:hyperlink>
          </w:p>
        </w:tc>
        <w:tc>
          <w:tcPr>
            <w:tcW w:w="6080" w:type="dxa"/>
            <w:vAlign w:val="bottom"/>
            <w:gridSpan w:val="14"/>
          </w:tcPr>
          <w:p>
            <w:pPr>
              <w:spacing w:after="0" w:line="146" w:lineRule="exact"/>
              <w:rPr>
                <w:rFonts w:ascii="Arial" w:cs="Arial" w:eastAsia="Arial" w:hAnsi="Arial"/>
                <w:sz w:val="15"/>
                <w:szCs w:val="15"/>
                <w:color w:val="0000EE"/>
              </w:rPr>
            </w:pPr>
            <w:hyperlink w:anchor="page25">
              <w:r>
                <w:rPr>
                  <w:rFonts w:ascii="Arial" w:cs="Arial" w:eastAsia="Arial" w:hAnsi="Arial"/>
                  <w:sz w:val="15"/>
                  <w:szCs w:val="15"/>
                  <w:color w:val="0000EE"/>
                </w:rPr>
                <w:t>Legal Proceedings</w:t>
              </w:r>
            </w:hyperlink>
          </w:p>
        </w:tc>
        <w:tc>
          <w:tcPr>
            <w:tcW w:w="1060" w:type="dxa"/>
            <w:vAlign w:val="bottom"/>
            <w:gridSpan w:val="2"/>
          </w:tcPr>
          <w:p>
            <w:pPr>
              <w:jc w:val="right"/>
              <w:ind w:right="40"/>
              <w:spacing w:after="0" w:line="146" w:lineRule="exact"/>
              <w:rPr>
                <w:sz w:val="20"/>
                <w:szCs w:val="20"/>
                <w:color w:val="auto"/>
              </w:rPr>
            </w:pPr>
            <w:r>
              <w:rPr>
                <w:rFonts w:ascii="Arial" w:cs="Arial" w:eastAsia="Arial" w:hAnsi="Arial"/>
                <w:sz w:val="15"/>
                <w:szCs w:val="15"/>
                <w:color w:val="auto"/>
              </w:rPr>
              <w:t>23</w:t>
            </w:r>
          </w:p>
        </w:tc>
      </w:tr>
      <w:tr>
        <w:trPr>
          <w:trHeight w:val="29"/>
        </w:trPr>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146"/>
        </w:trPr>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0" w:type="dxa"/>
            <w:vAlign w:val="bottom"/>
            <w:gridSpan w:val="6"/>
            <w:shd w:val="clear" w:color="auto" w:fill="CCEEFF"/>
          </w:tcPr>
          <w:p>
            <w:pPr>
              <w:ind w:left="180"/>
              <w:spacing w:after="0" w:line="146" w:lineRule="exact"/>
              <w:rPr>
                <w:rFonts w:ascii="Arial" w:cs="Arial" w:eastAsia="Arial" w:hAnsi="Arial"/>
                <w:sz w:val="15"/>
                <w:szCs w:val="15"/>
                <w:color w:val="0000EE"/>
              </w:rPr>
            </w:pPr>
            <w:hyperlink w:anchor="page25">
              <w:r>
                <w:rPr>
                  <w:rFonts w:ascii="Arial" w:cs="Arial" w:eastAsia="Arial" w:hAnsi="Arial"/>
                  <w:sz w:val="15"/>
                  <w:szCs w:val="15"/>
                  <w:color w:val="0000EE"/>
                </w:rPr>
                <w:t>Item 1A.</w:t>
              </w:r>
            </w:hyperlink>
          </w:p>
        </w:tc>
        <w:tc>
          <w:tcPr>
            <w:tcW w:w="6080" w:type="dxa"/>
            <w:vAlign w:val="bottom"/>
            <w:gridSpan w:val="14"/>
            <w:shd w:val="clear" w:color="auto" w:fill="CCEEFF"/>
          </w:tcPr>
          <w:p>
            <w:pPr>
              <w:spacing w:after="0" w:line="146" w:lineRule="exact"/>
              <w:rPr>
                <w:rFonts w:ascii="Arial" w:cs="Arial" w:eastAsia="Arial" w:hAnsi="Arial"/>
                <w:sz w:val="15"/>
                <w:szCs w:val="15"/>
                <w:color w:val="0000EE"/>
              </w:rPr>
            </w:pPr>
            <w:hyperlink w:anchor="page25">
              <w:r>
                <w:rPr>
                  <w:rFonts w:ascii="Arial" w:cs="Arial" w:eastAsia="Arial" w:hAnsi="Arial"/>
                  <w:sz w:val="15"/>
                  <w:szCs w:val="15"/>
                  <w:color w:val="0000EE"/>
                </w:rPr>
                <w:t>Risk Factors</w:t>
              </w:r>
            </w:hyperlink>
          </w:p>
        </w:tc>
        <w:tc>
          <w:tcPr>
            <w:tcW w:w="106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5"/>
                <w:szCs w:val="15"/>
                <w:color w:val="auto"/>
              </w:rPr>
              <w:t>23</w:t>
            </w:r>
          </w:p>
        </w:tc>
      </w:tr>
      <w:tr>
        <w:trPr>
          <w:trHeight w:val="29"/>
        </w:trPr>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7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r>
      <w:tr>
        <w:trPr>
          <w:trHeight w:val="146"/>
        </w:trPr>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6"/>
          </w:tcPr>
          <w:p>
            <w:pPr>
              <w:ind w:left="180"/>
              <w:spacing w:after="0" w:line="146" w:lineRule="exact"/>
              <w:rPr>
                <w:rFonts w:ascii="Arial" w:cs="Arial" w:eastAsia="Arial" w:hAnsi="Arial"/>
                <w:sz w:val="15"/>
                <w:szCs w:val="15"/>
                <w:color w:val="0000EE"/>
              </w:rPr>
            </w:pPr>
            <w:hyperlink w:anchor="page25">
              <w:r>
                <w:rPr>
                  <w:rFonts w:ascii="Arial" w:cs="Arial" w:eastAsia="Arial" w:hAnsi="Arial"/>
                  <w:sz w:val="15"/>
                  <w:szCs w:val="15"/>
                  <w:color w:val="0000EE"/>
                </w:rPr>
                <w:t>Item 2.</w:t>
              </w:r>
            </w:hyperlink>
          </w:p>
        </w:tc>
        <w:tc>
          <w:tcPr>
            <w:tcW w:w="6080" w:type="dxa"/>
            <w:vAlign w:val="bottom"/>
            <w:gridSpan w:val="14"/>
          </w:tcPr>
          <w:p>
            <w:pPr>
              <w:spacing w:after="0" w:line="146" w:lineRule="exact"/>
              <w:rPr>
                <w:rFonts w:ascii="Arial" w:cs="Arial" w:eastAsia="Arial" w:hAnsi="Arial"/>
                <w:sz w:val="15"/>
                <w:szCs w:val="15"/>
                <w:color w:val="0000EE"/>
              </w:rPr>
            </w:pPr>
            <w:hyperlink w:anchor="page25">
              <w:r>
                <w:rPr>
                  <w:rFonts w:ascii="Arial" w:cs="Arial" w:eastAsia="Arial" w:hAnsi="Arial"/>
                  <w:sz w:val="15"/>
                  <w:szCs w:val="15"/>
                  <w:color w:val="0000EE"/>
                </w:rPr>
                <w:t>Unregistered Sales of Equity Securities and Use of Proceeds</w:t>
              </w:r>
            </w:hyperlink>
          </w:p>
        </w:tc>
        <w:tc>
          <w:tcPr>
            <w:tcW w:w="1060" w:type="dxa"/>
            <w:vAlign w:val="bottom"/>
            <w:gridSpan w:val="2"/>
          </w:tcPr>
          <w:p>
            <w:pPr>
              <w:jc w:val="right"/>
              <w:ind w:right="40"/>
              <w:spacing w:after="0" w:line="146" w:lineRule="exact"/>
              <w:rPr>
                <w:sz w:val="20"/>
                <w:szCs w:val="20"/>
                <w:color w:val="auto"/>
              </w:rPr>
            </w:pPr>
            <w:r>
              <w:rPr>
                <w:rFonts w:ascii="Arial" w:cs="Arial" w:eastAsia="Arial" w:hAnsi="Arial"/>
                <w:sz w:val="15"/>
                <w:szCs w:val="15"/>
                <w:color w:val="auto"/>
              </w:rPr>
              <w:t>23</w:t>
            </w:r>
          </w:p>
        </w:tc>
      </w:tr>
      <w:tr>
        <w:trPr>
          <w:trHeight w:val="29"/>
        </w:trPr>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140" w:type="dxa"/>
            <w:vAlign w:val="bottom"/>
            <w:tcBorders>
              <w:top w:val="single" w:sz="8" w:color="0000EE"/>
            </w:tcBorders>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175"/>
        </w:trPr>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gridSpan w:val="6"/>
            <w:shd w:val="clear" w:color="auto" w:fill="CCEEFF"/>
          </w:tcPr>
          <w:p>
            <w:pPr>
              <w:ind w:left="180"/>
              <w:spacing w:after="0" w:line="146" w:lineRule="exact"/>
              <w:rPr>
                <w:rFonts w:ascii="Arial" w:cs="Arial" w:eastAsia="Arial" w:hAnsi="Arial"/>
                <w:sz w:val="15"/>
                <w:szCs w:val="15"/>
                <w:color w:val="0000EE"/>
              </w:rPr>
            </w:pPr>
            <w:hyperlink w:anchor="page25">
              <w:r>
                <w:rPr>
                  <w:rFonts w:ascii="Arial" w:cs="Arial" w:eastAsia="Arial" w:hAnsi="Arial"/>
                  <w:sz w:val="15"/>
                  <w:szCs w:val="15"/>
                  <w:color w:val="0000EE"/>
                </w:rPr>
                <w:t>Item 6.</w:t>
              </w:r>
            </w:hyperlink>
          </w:p>
        </w:tc>
        <w:tc>
          <w:tcPr>
            <w:tcW w:w="6080" w:type="dxa"/>
            <w:vAlign w:val="bottom"/>
            <w:gridSpan w:val="14"/>
            <w:shd w:val="clear" w:color="auto" w:fill="CCEEFF"/>
          </w:tcPr>
          <w:p>
            <w:pPr>
              <w:spacing w:after="0" w:line="146" w:lineRule="exact"/>
              <w:rPr>
                <w:rFonts w:ascii="Arial" w:cs="Arial" w:eastAsia="Arial" w:hAnsi="Arial"/>
                <w:sz w:val="15"/>
                <w:szCs w:val="15"/>
                <w:color w:val="0000EE"/>
              </w:rPr>
            </w:pPr>
            <w:hyperlink w:anchor="page25">
              <w:r>
                <w:rPr>
                  <w:rFonts w:ascii="Arial" w:cs="Arial" w:eastAsia="Arial" w:hAnsi="Arial"/>
                  <w:sz w:val="15"/>
                  <w:szCs w:val="15"/>
                  <w:color w:val="0000EE"/>
                </w:rPr>
                <w:t>Exhibits</w:t>
              </w:r>
            </w:hyperlink>
          </w:p>
        </w:tc>
        <w:tc>
          <w:tcPr>
            <w:tcW w:w="106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5"/>
                <w:szCs w:val="15"/>
                <w:color w:val="auto"/>
              </w:rPr>
              <w:t>23</w:t>
            </w:r>
          </w:p>
        </w:tc>
      </w:tr>
      <w:tr>
        <w:trPr>
          <w:trHeight w:val="195"/>
        </w:trPr>
        <w:tc>
          <w:tcPr>
            <w:tcW w:w="10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46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700" w:type="dxa"/>
            <w:vAlign w:val="bottom"/>
            <w:tcBorders>
              <w:top w:val="single" w:sz="8" w:color="CCEEFF"/>
            </w:tcBorders>
          </w:tcPr>
          <w:p>
            <w:pPr>
              <w:spacing w:after="0"/>
              <w:rPr>
                <w:sz w:val="16"/>
                <w:szCs w:val="16"/>
                <w:color w:val="auto"/>
              </w:rPr>
            </w:pPr>
          </w:p>
        </w:tc>
        <w:tc>
          <w:tcPr>
            <w:tcW w:w="78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r>
      <w:tr>
        <w:trPr>
          <w:trHeight w:val="175"/>
        </w:trPr>
        <w:tc>
          <w:tcPr>
            <w:tcW w:w="100" w:type="dxa"/>
            <w:vAlign w:val="bottom"/>
            <w:shd w:val="clear" w:color="auto" w:fill="CCEEFF"/>
          </w:tcPr>
          <w:p>
            <w:pPr>
              <w:spacing w:after="0"/>
              <w:rPr>
                <w:sz w:val="15"/>
                <w:szCs w:val="15"/>
                <w:color w:val="auto"/>
              </w:rPr>
            </w:pPr>
          </w:p>
        </w:tc>
        <w:tc>
          <w:tcPr>
            <w:tcW w:w="1040" w:type="dxa"/>
            <w:vAlign w:val="bottom"/>
            <w:gridSpan w:val="4"/>
            <w:shd w:val="clear" w:color="auto" w:fill="CCEEFF"/>
          </w:tcPr>
          <w:p>
            <w:pPr>
              <w:spacing w:after="0" w:line="146" w:lineRule="exact"/>
              <w:rPr>
                <w:rFonts w:ascii="Arial" w:cs="Arial" w:eastAsia="Arial" w:hAnsi="Arial"/>
                <w:sz w:val="15"/>
                <w:szCs w:val="15"/>
                <w:color w:val="0000EE"/>
              </w:rPr>
            </w:pPr>
            <w:hyperlink w:anchor="page26">
              <w:r>
                <w:rPr>
                  <w:rFonts w:ascii="Arial" w:cs="Arial" w:eastAsia="Arial" w:hAnsi="Arial"/>
                  <w:sz w:val="15"/>
                  <w:szCs w:val="15"/>
                  <w:color w:val="0000EE"/>
                </w:rPr>
                <w:t>SIGNATURE</w:t>
              </w:r>
            </w:hyperlink>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5"/>
                <w:szCs w:val="15"/>
                <w:color w:val="auto"/>
              </w:rPr>
              <w:t>24</w:t>
            </w:r>
          </w:p>
        </w:tc>
      </w:tr>
      <w:tr>
        <w:trPr>
          <w:trHeight w:val="195"/>
        </w:trPr>
        <w:tc>
          <w:tcPr>
            <w:tcW w:w="100" w:type="dxa"/>
            <w:vAlign w:val="bottom"/>
            <w:tcBorders>
              <w:top w:val="single" w:sz="8" w:color="CCEEFF"/>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340" w:type="dxa"/>
            <w:vAlign w:val="bottom"/>
            <w:tcBorders>
              <w:top w:val="single" w:sz="8" w:color="0000EE"/>
            </w:tcBorders>
          </w:tcPr>
          <w:p>
            <w:pPr>
              <w:spacing w:after="0"/>
              <w:rPr>
                <w:sz w:val="16"/>
                <w:szCs w:val="16"/>
                <w:color w:val="auto"/>
              </w:rPr>
            </w:pPr>
          </w:p>
        </w:tc>
        <w:tc>
          <w:tcPr>
            <w:tcW w:w="360" w:type="dxa"/>
            <w:vAlign w:val="bottom"/>
            <w:tcBorders>
              <w:top w:val="single" w:sz="8" w:color="0000EE"/>
            </w:tcBorders>
          </w:tcPr>
          <w:p>
            <w:pPr>
              <w:spacing w:after="0"/>
              <w:rPr>
                <w:sz w:val="16"/>
                <w:szCs w:val="16"/>
                <w:color w:val="auto"/>
              </w:rPr>
            </w:pPr>
          </w:p>
        </w:tc>
        <w:tc>
          <w:tcPr>
            <w:tcW w:w="340" w:type="dxa"/>
            <w:vAlign w:val="bottom"/>
            <w:tcBorders>
              <w:top w:val="single" w:sz="8" w:color="CCEEFF"/>
            </w:tcBorders>
            <w:gridSpan w:val="2"/>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700" w:type="dxa"/>
            <w:vAlign w:val="bottom"/>
            <w:tcBorders>
              <w:top w:val="single" w:sz="8" w:color="CCEEFF"/>
            </w:tcBorders>
          </w:tcPr>
          <w:p>
            <w:pPr>
              <w:spacing w:after="0"/>
              <w:rPr>
                <w:sz w:val="16"/>
                <w:szCs w:val="16"/>
                <w:color w:val="auto"/>
              </w:rPr>
            </w:pPr>
          </w:p>
        </w:tc>
        <w:tc>
          <w:tcPr>
            <w:tcW w:w="78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r>
      <w:tr>
        <w:trPr>
          <w:trHeight w:val="175"/>
        </w:trPr>
        <w:tc>
          <w:tcPr>
            <w:tcW w:w="100" w:type="dxa"/>
            <w:vAlign w:val="bottom"/>
            <w:shd w:val="clear" w:color="auto" w:fill="CCEEFF"/>
          </w:tcPr>
          <w:p>
            <w:pPr>
              <w:spacing w:after="0"/>
              <w:rPr>
                <w:sz w:val="15"/>
                <w:szCs w:val="15"/>
                <w:color w:val="auto"/>
              </w:rPr>
            </w:pPr>
          </w:p>
        </w:tc>
        <w:tc>
          <w:tcPr>
            <w:tcW w:w="2440" w:type="dxa"/>
            <w:vAlign w:val="bottom"/>
            <w:gridSpan w:val="10"/>
            <w:shd w:val="clear" w:color="auto" w:fill="CCEEFF"/>
          </w:tcPr>
          <w:p>
            <w:pPr>
              <w:spacing w:after="0" w:line="146" w:lineRule="exact"/>
              <w:rPr>
                <w:rFonts w:ascii="Arial" w:cs="Arial" w:eastAsia="Arial" w:hAnsi="Arial"/>
                <w:sz w:val="15"/>
                <w:szCs w:val="15"/>
                <w:color w:val="0000EE"/>
              </w:rPr>
            </w:pPr>
            <w:hyperlink w:anchor="page27">
              <w:r>
                <w:rPr>
                  <w:rFonts w:ascii="Arial" w:cs="Arial" w:eastAsia="Arial" w:hAnsi="Arial"/>
                  <w:sz w:val="15"/>
                  <w:szCs w:val="15"/>
                  <w:color w:val="0000EE"/>
                </w:rPr>
                <w:t>INDEX OF EXHIBITS</w:t>
              </w:r>
            </w:hyperlink>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5"/>
                <w:szCs w:val="15"/>
                <w:color w:val="auto"/>
              </w:rPr>
              <w:t>25</w:t>
            </w:r>
          </w:p>
        </w:tc>
      </w:tr>
      <w:tr>
        <w:trPr>
          <w:trHeight w:val="1545"/>
        </w:trPr>
        <w:tc>
          <w:tcPr>
            <w:tcW w:w="100" w:type="dxa"/>
            <w:vAlign w:val="bottom"/>
            <w:tcBorders>
              <w:top w:val="single" w:sz="8" w:color="CCEEFF"/>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40" w:type="dxa"/>
            <w:vAlign w:val="bottom"/>
            <w:tcBorders>
              <w:top w:val="single" w:sz="8" w:color="0000EE"/>
              <w:bottom w:val="single" w:sz="8" w:color="9A9A9A"/>
            </w:tcBorders>
          </w:tcPr>
          <w:p>
            <w:pPr>
              <w:spacing w:after="0"/>
              <w:rPr>
                <w:sz w:val="24"/>
                <w:szCs w:val="24"/>
                <w:color w:val="auto"/>
              </w:rPr>
            </w:pPr>
          </w:p>
        </w:tc>
        <w:tc>
          <w:tcPr>
            <w:tcW w:w="360" w:type="dxa"/>
            <w:vAlign w:val="bottom"/>
            <w:tcBorders>
              <w:top w:val="single" w:sz="8" w:color="0000EE"/>
              <w:bottom w:val="single" w:sz="8" w:color="9A9A9A"/>
            </w:tcBorders>
          </w:tcPr>
          <w:p>
            <w:pPr>
              <w:spacing w:after="0"/>
              <w:rPr>
                <w:sz w:val="24"/>
                <w:szCs w:val="24"/>
                <w:color w:val="auto"/>
              </w:rPr>
            </w:pPr>
          </w:p>
        </w:tc>
        <w:tc>
          <w:tcPr>
            <w:tcW w:w="160" w:type="dxa"/>
            <w:vAlign w:val="bottom"/>
            <w:tcBorders>
              <w:top w:val="single" w:sz="8" w:color="0000EE"/>
              <w:bottom w:val="single" w:sz="8" w:color="9A9A9A"/>
            </w:tcBorders>
          </w:tcPr>
          <w:p>
            <w:pPr>
              <w:spacing w:after="0"/>
              <w:rPr>
                <w:sz w:val="24"/>
                <w:szCs w:val="24"/>
                <w:color w:val="auto"/>
              </w:rPr>
            </w:pPr>
          </w:p>
        </w:tc>
        <w:tc>
          <w:tcPr>
            <w:tcW w:w="180" w:type="dxa"/>
            <w:vAlign w:val="bottom"/>
            <w:tcBorders>
              <w:top w:val="single" w:sz="8" w:color="0000EE"/>
              <w:bottom w:val="single" w:sz="8" w:color="9A9A9A"/>
            </w:tcBorders>
          </w:tcPr>
          <w:p>
            <w:pPr>
              <w:spacing w:after="0"/>
              <w:rPr>
                <w:sz w:val="24"/>
                <w:szCs w:val="24"/>
                <w:color w:val="auto"/>
              </w:rPr>
            </w:pPr>
          </w:p>
        </w:tc>
        <w:tc>
          <w:tcPr>
            <w:tcW w:w="240" w:type="dxa"/>
            <w:vAlign w:val="bottom"/>
            <w:tcBorders>
              <w:top w:val="single" w:sz="8" w:color="0000EE"/>
              <w:bottom w:val="single" w:sz="8" w:color="9A9A9A"/>
            </w:tcBorders>
          </w:tcPr>
          <w:p>
            <w:pPr>
              <w:spacing w:after="0"/>
              <w:rPr>
                <w:sz w:val="24"/>
                <w:szCs w:val="24"/>
                <w:color w:val="auto"/>
              </w:rPr>
            </w:pPr>
          </w:p>
        </w:tc>
        <w:tc>
          <w:tcPr>
            <w:tcW w:w="22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60" w:type="dxa"/>
            <w:vAlign w:val="bottom"/>
            <w:tcBorders>
              <w:top w:val="single" w:sz="8" w:color="CCEEFF"/>
              <w:bottom w:val="single" w:sz="8" w:color="9A9A9A"/>
            </w:tcBorders>
          </w:tcPr>
          <w:p>
            <w:pPr>
              <w:spacing w:after="0"/>
              <w:rPr>
                <w:sz w:val="24"/>
                <w:szCs w:val="24"/>
                <w:color w:val="auto"/>
              </w:rPr>
            </w:pPr>
          </w:p>
        </w:tc>
        <w:tc>
          <w:tcPr>
            <w:tcW w:w="660" w:type="dxa"/>
            <w:vAlign w:val="bottom"/>
            <w:tcBorders>
              <w:top w:val="single" w:sz="8" w:color="CCEEFF"/>
              <w:bottom w:val="single" w:sz="8" w:color="9A9A9A"/>
            </w:tcBorders>
          </w:tcPr>
          <w:p>
            <w:pPr>
              <w:spacing w:after="0"/>
              <w:rPr>
                <w:sz w:val="24"/>
                <w:szCs w:val="24"/>
                <w:color w:val="auto"/>
              </w:rPr>
            </w:pPr>
          </w:p>
        </w:tc>
        <w:tc>
          <w:tcPr>
            <w:tcW w:w="460" w:type="dxa"/>
            <w:vAlign w:val="bottom"/>
            <w:tcBorders>
              <w:top w:val="single" w:sz="8" w:color="CCEEFF"/>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160" w:type="dxa"/>
            <w:vAlign w:val="bottom"/>
            <w:tcBorders>
              <w:top w:val="single" w:sz="8" w:color="CCEEFF"/>
              <w:bottom w:val="single" w:sz="8" w:color="9A9A9A"/>
            </w:tcBorders>
          </w:tcPr>
          <w:p>
            <w:pPr>
              <w:spacing w:after="0"/>
              <w:rPr>
                <w:sz w:val="24"/>
                <w:szCs w:val="24"/>
                <w:color w:val="auto"/>
              </w:rPr>
            </w:pPr>
          </w:p>
        </w:tc>
        <w:tc>
          <w:tcPr>
            <w:tcW w:w="140" w:type="dxa"/>
            <w:vAlign w:val="bottom"/>
            <w:tcBorders>
              <w:top w:val="single" w:sz="8" w:color="CCEEFF"/>
              <w:bottom w:val="single" w:sz="8" w:color="9A9A9A"/>
            </w:tcBorders>
          </w:tcPr>
          <w:p>
            <w:pPr>
              <w:spacing w:after="0"/>
              <w:rPr>
                <w:sz w:val="24"/>
                <w:szCs w:val="24"/>
                <w:color w:val="auto"/>
              </w:rPr>
            </w:pPr>
          </w:p>
        </w:tc>
        <w:tc>
          <w:tcPr>
            <w:tcW w:w="420" w:type="dxa"/>
            <w:vAlign w:val="bottom"/>
            <w:tcBorders>
              <w:top w:val="single" w:sz="8" w:color="CCEEFF"/>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320" w:type="dxa"/>
            <w:vAlign w:val="bottom"/>
            <w:tcBorders>
              <w:top w:val="single" w:sz="8" w:color="CCEEFF"/>
              <w:bottom w:val="single" w:sz="8" w:color="9A9A9A"/>
            </w:tcBorders>
          </w:tcPr>
          <w:p>
            <w:pPr>
              <w:spacing w:after="0"/>
              <w:rPr>
                <w:sz w:val="24"/>
                <w:szCs w:val="24"/>
                <w:color w:val="auto"/>
              </w:rPr>
            </w:pPr>
          </w:p>
        </w:tc>
        <w:tc>
          <w:tcPr>
            <w:tcW w:w="1140" w:type="dxa"/>
            <w:vAlign w:val="bottom"/>
            <w:tcBorders>
              <w:top w:val="single" w:sz="8" w:color="CCEEFF"/>
              <w:bottom w:val="single" w:sz="8" w:color="9A9A9A"/>
            </w:tcBorders>
          </w:tcPr>
          <w:p>
            <w:pPr>
              <w:spacing w:after="0"/>
              <w:rPr>
                <w:sz w:val="24"/>
                <w:szCs w:val="24"/>
                <w:color w:val="auto"/>
              </w:rPr>
            </w:pPr>
          </w:p>
        </w:tc>
        <w:tc>
          <w:tcPr>
            <w:tcW w:w="68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260" w:type="dxa"/>
            <w:vAlign w:val="bottom"/>
            <w:tcBorders>
              <w:top w:val="single" w:sz="8" w:color="CCEEFF"/>
              <w:bottom w:val="single" w:sz="8" w:color="9A9A9A"/>
            </w:tcBorders>
          </w:tcPr>
          <w:p>
            <w:pPr>
              <w:spacing w:after="0"/>
              <w:rPr>
                <w:sz w:val="24"/>
                <w:szCs w:val="24"/>
                <w:color w:val="auto"/>
              </w:rPr>
            </w:pPr>
          </w:p>
        </w:tc>
        <w:tc>
          <w:tcPr>
            <w:tcW w:w="320" w:type="dxa"/>
            <w:vAlign w:val="bottom"/>
            <w:tcBorders>
              <w:top w:val="single" w:sz="8" w:color="CCEEFF"/>
              <w:bottom w:val="single" w:sz="8" w:color="9A9A9A"/>
            </w:tcBorders>
          </w:tcPr>
          <w:p>
            <w:pPr>
              <w:spacing w:after="0"/>
              <w:rPr>
                <w:sz w:val="24"/>
                <w:szCs w:val="24"/>
                <w:color w:val="auto"/>
              </w:rPr>
            </w:pPr>
          </w:p>
        </w:tc>
        <w:tc>
          <w:tcPr>
            <w:tcW w:w="200" w:type="dxa"/>
            <w:vAlign w:val="bottom"/>
            <w:tcBorders>
              <w:top w:val="single" w:sz="8" w:color="CCEEFF"/>
              <w:bottom w:val="single" w:sz="8" w:color="9A9A9A"/>
            </w:tcBorders>
          </w:tcPr>
          <w:p>
            <w:pPr>
              <w:spacing w:after="0"/>
              <w:rPr>
                <w:sz w:val="24"/>
                <w:szCs w:val="24"/>
                <w:color w:val="auto"/>
              </w:rPr>
            </w:pPr>
          </w:p>
        </w:tc>
        <w:tc>
          <w:tcPr>
            <w:tcW w:w="1700" w:type="dxa"/>
            <w:vAlign w:val="bottom"/>
            <w:tcBorders>
              <w:top w:val="single" w:sz="8" w:color="CCEEFF"/>
              <w:bottom w:val="single" w:sz="8" w:color="9A9A9A"/>
            </w:tcBorders>
          </w:tcPr>
          <w:p>
            <w:pPr>
              <w:spacing w:after="0"/>
              <w:rPr>
                <w:sz w:val="24"/>
                <w:szCs w:val="24"/>
                <w:color w:val="auto"/>
              </w:rPr>
            </w:pPr>
          </w:p>
        </w:tc>
        <w:tc>
          <w:tcPr>
            <w:tcW w:w="780" w:type="dxa"/>
            <w:vAlign w:val="bottom"/>
            <w:tcBorders>
              <w:top w:val="single" w:sz="8" w:color="CCEEFF"/>
              <w:bottom w:val="single" w:sz="8" w:color="9A9A9A"/>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r>
      <w:tr>
        <w:trPr>
          <w:trHeight w:val="20"/>
        </w:trPr>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660" w:type="dxa"/>
            <w:vAlign w:val="bottom"/>
            <w:tcBorders>
              <w:bottom w:val="single" w:sz="8" w:color="EEEEEE"/>
            </w:tcBorders>
          </w:tcPr>
          <w:p>
            <w:pPr>
              <w:spacing w:after="0" w:line="20" w:lineRule="exact"/>
              <w:rPr>
                <w:sz w:val="1"/>
                <w:szCs w:val="1"/>
                <w:color w:val="auto"/>
              </w:rPr>
            </w:pPr>
          </w:p>
        </w:tc>
        <w:tc>
          <w:tcPr>
            <w:tcW w:w="4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1140" w:type="dxa"/>
            <w:vAlign w:val="bottom"/>
            <w:tcBorders>
              <w:bottom w:val="single" w:sz="8" w:color="EEEEEE"/>
            </w:tcBorders>
          </w:tcPr>
          <w:p>
            <w:pPr>
              <w:spacing w:after="0" w:line="20" w:lineRule="exact"/>
              <w:rPr>
                <w:sz w:val="1"/>
                <w:szCs w:val="1"/>
                <w:color w:val="auto"/>
              </w:rPr>
            </w:pPr>
          </w:p>
        </w:tc>
        <w:tc>
          <w:tcPr>
            <w:tcW w:w="68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170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5953125</wp:posOffset>
            </wp:positionH>
            <wp:positionV relativeFrom="paragraph">
              <wp:posOffset>-34925</wp:posOffset>
            </wp:positionV>
            <wp:extent cx="33020" cy="482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020" cy="48260"/>
                    </a:xfrm>
                    <a:prstGeom prst="rect">
                      <a:avLst/>
                    </a:prstGeom>
                    <a:noFill/>
                  </pic:spPr>
                </pic:pic>
              </a:graphicData>
            </a:graphic>
          </wp:anchor>
        </w:drawing>
        <w:drawing>
          <wp:anchor simplePos="0" relativeHeight="251657728" behindDoc="1" locked="0" layoutInCell="0" allowOverlap="1">
            <wp:simplePos x="0" y="0"/>
            <wp:positionH relativeFrom="column">
              <wp:posOffset>168275</wp:posOffset>
            </wp:positionH>
            <wp:positionV relativeFrom="paragraph">
              <wp:posOffset>-34925</wp:posOffset>
            </wp:positionV>
            <wp:extent cx="33020" cy="48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020" cy="48260"/>
                    </a:xfrm>
                    <a:prstGeom prst="rect">
                      <a:avLst/>
                    </a:prstGeom>
                    <a:noFill/>
                  </pic:spPr>
                </pic:pic>
              </a:graphicData>
            </a:graphic>
          </wp:anchor>
        </w:drawing>
      </w:r>
    </w:p>
    <w:p>
      <w:pPr>
        <w:sectPr>
          <w:pgSz w:w="11900" w:h="16838" w:orient="portrait"/>
          <w:cols w:equalWidth="0" w:num="1">
            <w:col w:w="9680"/>
          </w:cols>
          <w:pgMar w:left="1120" w:top="311" w:right="1099" w:bottom="1440" w:gutter="0" w:footer="0" w:header="0"/>
        </w:sectPr>
      </w:pPr>
    </w:p>
    <w:bookmarkStart w:id="2" w:name="page3"/>
    <w:bookmarkEnd w:id="2"/>
    <w:p>
      <w:pPr>
        <w:spacing w:after="0"/>
        <w:rPr>
          <w:sz w:val="20"/>
          <w:szCs w:val="20"/>
          <w:color w:val="auto"/>
        </w:rPr>
      </w:pPr>
      <w:r>
        <w:rPr>
          <w:rFonts w:ascii="Arial" w:cs="Arial" w:eastAsia="Arial" w:hAnsi="Arial"/>
          <w:sz w:val="15"/>
          <w:szCs w:val="15"/>
          <w:b w:val="1"/>
          <w:bCs w:val="1"/>
          <w:color w:val="auto"/>
        </w:rPr>
        <w:t>PART I - FINANCIAL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Item 1. Financial Statements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FOOT LOCKER,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CONDENSED CONSOLIDATED BALANCE SHEETS</w:t>
      </w:r>
    </w:p>
    <w:p>
      <w:pPr>
        <w:jc w:val="center"/>
        <w:spacing w:after="0"/>
        <w:rPr>
          <w:sz w:val="20"/>
          <w:szCs w:val="20"/>
          <w:color w:val="auto"/>
        </w:rPr>
      </w:pPr>
      <w:r>
        <w:rPr>
          <w:rFonts w:ascii="Arial" w:cs="Arial" w:eastAsia="Arial" w:hAnsi="Arial"/>
          <w:sz w:val="15"/>
          <w:szCs w:val="15"/>
          <w:color w:val="auto"/>
        </w:rPr>
        <w:t>($ in millions, except shares)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4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120" w:type="dxa"/>
            <w:vAlign w:val="bottom"/>
          </w:tcPr>
          <w:p>
            <w:pPr>
              <w:jc w:val="center"/>
              <w:ind w:right="363"/>
              <w:spacing w:after="0"/>
              <w:rPr>
                <w:sz w:val="20"/>
                <w:szCs w:val="20"/>
                <w:color w:val="auto"/>
              </w:rPr>
            </w:pPr>
            <w:r>
              <w:rPr>
                <w:rFonts w:ascii="Arial" w:cs="Arial" w:eastAsia="Arial" w:hAnsi="Arial"/>
                <w:sz w:val="15"/>
                <w:szCs w:val="15"/>
                <w:b w:val="1"/>
                <w:bCs w:val="1"/>
                <w:color w:val="auto"/>
              </w:rPr>
              <w:t>April 29,</w:t>
            </w:r>
          </w:p>
        </w:tc>
        <w:tc>
          <w:tcPr>
            <w:tcW w:w="320" w:type="dxa"/>
            <w:vAlign w:val="bottom"/>
          </w:tcPr>
          <w:p>
            <w:pPr>
              <w:spacing w:after="0"/>
              <w:rPr>
                <w:sz w:val="15"/>
                <w:szCs w:val="15"/>
                <w:color w:val="auto"/>
              </w:rPr>
            </w:pPr>
          </w:p>
        </w:tc>
        <w:tc>
          <w:tcPr>
            <w:tcW w:w="1120" w:type="dxa"/>
            <w:vAlign w:val="bottom"/>
          </w:tcPr>
          <w:p>
            <w:pPr>
              <w:jc w:val="center"/>
              <w:ind w:right="363"/>
              <w:spacing w:after="0"/>
              <w:rPr>
                <w:sz w:val="20"/>
                <w:szCs w:val="20"/>
                <w:color w:val="auto"/>
              </w:rPr>
            </w:pPr>
            <w:r>
              <w:rPr>
                <w:rFonts w:ascii="Arial" w:cs="Arial" w:eastAsia="Arial" w:hAnsi="Arial"/>
                <w:sz w:val="15"/>
                <w:szCs w:val="15"/>
                <w:b w:val="1"/>
                <w:bCs w:val="1"/>
                <w:color w:val="auto"/>
              </w:rPr>
              <w:t>April 30,</w:t>
            </w:r>
          </w:p>
        </w:tc>
        <w:tc>
          <w:tcPr>
            <w:tcW w:w="1260" w:type="dxa"/>
            <w:vAlign w:val="bottom"/>
            <w:gridSpan w:val="2"/>
          </w:tcPr>
          <w:p>
            <w:pPr>
              <w:jc w:val="right"/>
              <w:ind w:right="103"/>
              <w:spacing w:after="0"/>
              <w:rPr>
                <w:sz w:val="20"/>
                <w:szCs w:val="20"/>
                <w:color w:val="auto"/>
              </w:rPr>
            </w:pPr>
            <w:r>
              <w:rPr>
                <w:rFonts w:ascii="Arial" w:cs="Arial" w:eastAsia="Arial" w:hAnsi="Arial"/>
                <w:sz w:val="15"/>
                <w:szCs w:val="15"/>
                <w:b w:val="1"/>
                <w:bCs w:val="1"/>
                <w:color w:val="auto"/>
              </w:rPr>
              <w:t>January 28,</w:t>
            </w:r>
          </w:p>
        </w:tc>
        <w:tc>
          <w:tcPr>
            <w:tcW w:w="0" w:type="dxa"/>
            <w:vAlign w:val="bottom"/>
          </w:tcPr>
          <w:p>
            <w:pPr>
              <w:spacing w:after="0"/>
              <w:rPr>
                <w:sz w:val="1"/>
                <w:szCs w:val="1"/>
                <w:color w:val="auto"/>
              </w:rPr>
            </w:pPr>
          </w:p>
        </w:tc>
      </w:tr>
      <w:tr>
        <w:trPr>
          <w:trHeight w:val="194"/>
        </w:trPr>
        <w:tc>
          <w:tcPr>
            <w:tcW w:w="34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343"/>
              <w:spacing w:after="0"/>
              <w:rPr>
                <w:sz w:val="20"/>
                <w:szCs w:val="20"/>
                <w:color w:val="auto"/>
              </w:rPr>
            </w:pPr>
            <w:r>
              <w:rPr>
                <w:rFonts w:ascii="Arial" w:cs="Arial" w:eastAsia="Arial" w:hAnsi="Arial"/>
                <w:sz w:val="15"/>
                <w:szCs w:val="15"/>
                <w:b w:val="1"/>
                <w:bCs w:val="1"/>
                <w:color w:val="auto"/>
              </w:rPr>
              <w:t>2017</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363"/>
              <w:spacing w:after="0"/>
              <w:rPr>
                <w:sz w:val="20"/>
                <w:szCs w:val="20"/>
                <w:color w:val="auto"/>
              </w:rPr>
            </w:pPr>
            <w:r>
              <w:rPr>
                <w:rFonts w:ascii="Arial" w:cs="Arial" w:eastAsia="Arial" w:hAnsi="Arial"/>
                <w:sz w:val="15"/>
                <w:szCs w:val="15"/>
                <w:b w:val="1"/>
                <w:bCs w:val="1"/>
                <w:color w:val="auto"/>
              </w:rPr>
              <w:t>2016</w:t>
            </w: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63"/>
              <w:spacing w:after="0"/>
              <w:rPr>
                <w:sz w:val="20"/>
                <w:szCs w:val="20"/>
                <w:color w:val="auto"/>
              </w:rPr>
            </w:pPr>
            <w:r>
              <w:rPr>
                <w:rFonts w:ascii="Arial" w:cs="Arial" w:eastAsia="Arial" w:hAnsi="Arial"/>
                <w:sz w:val="15"/>
                <w:szCs w:val="15"/>
                <w:b w:val="1"/>
                <w:bCs w:val="1"/>
                <w:color w:val="auto"/>
              </w:rPr>
              <w:t>2017</w:t>
            </w:r>
          </w:p>
        </w:tc>
        <w:tc>
          <w:tcPr>
            <w:tcW w:w="0" w:type="dxa"/>
            <w:vAlign w:val="bottom"/>
          </w:tcPr>
          <w:p>
            <w:pPr>
              <w:spacing w:after="0"/>
              <w:rPr>
                <w:sz w:val="1"/>
                <w:szCs w:val="1"/>
                <w:color w:val="auto"/>
              </w:rPr>
            </w:pPr>
          </w:p>
        </w:tc>
      </w:tr>
      <w:tr>
        <w:trPr>
          <w:trHeight w:val="187"/>
        </w:trPr>
        <w:tc>
          <w:tcPr>
            <w:tcW w:w="3440" w:type="dxa"/>
            <w:vAlign w:val="bottom"/>
          </w:tcPr>
          <w:p>
            <w:pPr>
              <w:spacing w:after="0"/>
              <w:rPr>
                <w:sz w:val="16"/>
                <w:szCs w:val="16"/>
                <w:color w:val="auto"/>
              </w:rPr>
            </w:pPr>
          </w:p>
        </w:tc>
        <w:tc>
          <w:tcPr>
            <w:tcW w:w="2960" w:type="dxa"/>
            <w:vAlign w:val="bottom"/>
            <w:gridSpan w:val="2"/>
          </w:tcPr>
          <w:p>
            <w:pPr>
              <w:jc w:val="center"/>
              <w:ind w:left="1343"/>
              <w:spacing w:after="0"/>
              <w:rPr>
                <w:sz w:val="20"/>
                <w:szCs w:val="20"/>
                <w:color w:val="auto"/>
              </w:rPr>
            </w:pPr>
            <w:r>
              <w:rPr>
                <w:rFonts w:ascii="Arial" w:cs="Arial" w:eastAsia="Arial" w:hAnsi="Arial"/>
                <w:sz w:val="15"/>
                <w:szCs w:val="15"/>
                <w:b w:val="1"/>
                <w:bCs w:val="1"/>
                <w:color w:val="auto"/>
              </w:rPr>
              <w:t>(Unaudited)</w:t>
            </w:r>
          </w:p>
        </w:tc>
        <w:tc>
          <w:tcPr>
            <w:tcW w:w="1440" w:type="dxa"/>
            <w:vAlign w:val="bottom"/>
            <w:gridSpan w:val="2"/>
          </w:tcPr>
          <w:p>
            <w:pPr>
              <w:jc w:val="center"/>
              <w:ind w:right="43"/>
              <w:spacing w:after="0"/>
              <w:rPr>
                <w:sz w:val="20"/>
                <w:szCs w:val="20"/>
                <w:color w:val="auto"/>
              </w:rPr>
            </w:pPr>
            <w:r>
              <w:rPr>
                <w:rFonts w:ascii="Arial" w:cs="Arial" w:eastAsia="Arial" w:hAnsi="Arial"/>
                <w:sz w:val="15"/>
                <w:szCs w:val="15"/>
                <w:b w:val="1"/>
                <w:bCs w:val="1"/>
                <w:color w:val="auto"/>
              </w:rPr>
              <w:t>(Unaudited)</w:t>
            </w:r>
          </w:p>
        </w:tc>
        <w:tc>
          <w:tcPr>
            <w:tcW w:w="380" w:type="dxa"/>
            <w:vAlign w:val="bottom"/>
          </w:tcPr>
          <w:p>
            <w:pPr>
              <w:spacing w:after="0"/>
              <w:rPr>
                <w:sz w:val="16"/>
                <w:szCs w:val="16"/>
                <w:color w:val="auto"/>
              </w:rPr>
            </w:pPr>
          </w:p>
        </w:tc>
        <w:tc>
          <w:tcPr>
            <w:tcW w:w="880" w:type="dxa"/>
            <w:vAlign w:val="bottom"/>
          </w:tcPr>
          <w:p>
            <w:pPr>
              <w:jc w:val="right"/>
              <w:ind w:right="503"/>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07"/>
        </w:trPr>
        <w:tc>
          <w:tcPr>
            <w:tcW w:w="34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ASSETS</w:t>
            </w:r>
          </w:p>
        </w:tc>
        <w:tc>
          <w:tcPr>
            <w:tcW w:w="18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4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440" w:type="dxa"/>
            <w:vAlign w:val="bottom"/>
            <w:shd w:val="clear" w:color="auto" w:fill="CCEEFF"/>
          </w:tcPr>
          <w:p>
            <w:pPr>
              <w:spacing w:after="0"/>
              <w:rPr>
                <w:sz w:val="20"/>
                <w:szCs w:val="20"/>
                <w:color w:val="auto"/>
              </w:rPr>
            </w:pPr>
            <w:r>
              <w:rPr>
                <w:rFonts w:ascii="Arial" w:cs="Arial" w:eastAsia="Arial" w:hAnsi="Arial"/>
                <w:sz w:val="15"/>
                <w:szCs w:val="15"/>
                <w:color w:val="auto"/>
              </w:rPr>
              <w:t>Current assets:</w:t>
            </w:r>
          </w:p>
        </w:tc>
        <w:tc>
          <w:tcPr>
            <w:tcW w:w="18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440" w:type="dxa"/>
            <w:vAlign w:val="bottom"/>
          </w:tcPr>
          <w:p>
            <w:pPr>
              <w:ind w:left="100"/>
              <w:spacing w:after="0"/>
              <w:rPr>
                <w:sz w:val="20"/>
                <w:szCs w:val="20"/>
                <w:color w:val="auto"/>
              </w:rPr>
            </w:pPr>
            <w:r>
              <w:rPr>
                <w:rFonts w:ascii="Arial" w:cs="Arial" w:eastAsia="Arial" w:hAnsi="Arial"/>
                <w:sz w:val="15"/>
                <w:szCs w:val="15"/>
                <w:color w:val="auto"/>
              </w:rPr>
              <w:t>Cash and cash equivalents</w:t>
            </w:r>
          </w:p>
        </w:tc>
        <w:tc>
          <w:tcPr>
            <w:tcW w:w="18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120" w:type="dxa"/>
            <w:vAlign w:val="bottom"/>
          </w:tcPr>
          <w:p>
            <w:pPr>
              <w:jc w:val="right"/>
              <w:ind w:right="143"/>
              <w:spacing w:after="0"/>
              <w:rPr>
                <w:sz w:val="20"/>
                <w:szCs w:val="20"/>
                <w:color w:val="auto"/>
              </w:rPr>
            </w:pPr>
            <w:r>
              <w:rPr>
                <w:rFonts w:ascii="Arial" w:cs="Arial" w:eastAsia="Arial" w:hAnsi="Arial"/>
                <w:sz w:val="15"/>
                <w:szCs w:val="15"/>
                <w:b w:val="1"/>
                <w:bCs w:val="1"/>
                <w:color w:val="auto"/>
              </w:rPr>
              <w:t>1,049</w:t>
            </w:r>
          </w:p>
        </w:tc>
        <w:tc>
          <w:tcPr>
            <w:tcW w:w="320" w:type="dxa"/>
            <w:vAlign w:val="bottom"/>
          </w:tcPr>
          <w:p>
            <w:pPr>
              <w:jc w:val="right"/>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143"/>
              <w:spacing w:after="0"/>
              <w:rPr>
                <w:sz w:val="20"/>
                <w:szCs w:val="20"/>
                <w:color w:val="auto"/>
              </w:rPr>
            </w:pPr>
            <w:r>
              <w:rPr>
                <w:rFonts w:ascii="Arial" w:cs="Arial" w:eastAsia="Arial" w:hAnsi="Arial"/>
                <w:sz w:val="15"/>
                <w:szCs w:val="15"/>
                <w:color w:val="auto"/>
              </w:rPr>
              <w:t>1,062</w:t>
            </w:r>
          </w:p>
        </w:tc>
        <w:tc>
          <w:tcPr>
            <w:tcW w:w="38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1,046</w:t>
            </w:r>
          </w:p>
        </w:tc>
        <w:tc>
          <w:tcPr>
            <w:tcW w:w="0" w:type="dxa"/>
            <w:vAlign w:val="bottom"/>
          </w:tcPr>
          <w:p>
            <w:pPr>
              <w:spacing w:after="0"/>
              <w:rPr>
                <w:sz w:val="1"/>
                <w:szCs w:val="1"/>
                <w:color w:val="auto"/>
              </w:rPr>
            </w:pPr>
          </w:p>
        </w:tc>
      </w:tr>
      <w:tr>
        <w:trPr>
          <w:trHeight w:val="207"/>
        </w:trPr>
        <w:tc>
          <w:tcPr>
            <w:tcW w:w="3440" w:type="dxa"/>
            <w:vAlign w:val="bottom"/>
            <w:shd w:val="clear" w:color="auto" w:fill="CCEEFF"/>
          </w:tcPr>
          <w:p>
            <w:pPr>
              <w:ind w:left="100"/>
              <w:spacing w:after="0"/>
              <w:rPr>
                <w:sz w:val="20"/>
                <w:szCs w:val="20"/>
                <w:color w:val="auto"/>
              </w:rPr>
            </w:pPr>
            <w:r>
              <w:rPr>
                <w:rFonts w:ascii="Arial" w:cs="Arial" w:eastAsia="Arial" w:hAnsi="Arial"/>
                <w:sz w:val="15"/>
                <w:szCs w:val="15"/>
                <w:color w:val="auto"/>
              </w:rPr>
              <w:t>Merchandise inventories</w:t>
            </w:r>
          </w:p>
        </w:tc>
        <w:tc>
          <w:tcPr>
            <w:tcW w:w="18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1,279</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1,260</w:t>
            </w: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1,307</w:t>
            </w:r>
          </w:p>
        </w:tc>
        <w:tc>
          <w:tcPr>
            <w:tcW w:w="0" w:type="dxa"/>
            <w:vAlign w:val="bottom"/>
          </w:tcPr>
          <w:p>
            <w:pPr>
              <w:spacing w:after="0"/>
              <w:rPr>
                <w:sz w:val="1"/>
                <w:szCs w:val="1"/>
                <w:color w:val="auto"/>
              </w:rPr>
            </w:pPr>
          </w:p>
        </w:tc>
      </w:tr>
      <w:tr>
        <w:trPr>
          <w:trHeight w:val="207"/>
        </w:trPr>
        <w:tc>
          <w:tcPr>
            <w:tcW w:w="344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auto"/>
              </w:rPr>
              <w:t>Other current assets</w:t>
            </w:r>
          </w:p>
        </w:tc>
        <w:tc>
          <w:tcPr>
            <w:tcW w:w="18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b w:val="1"/>
                <w:bCs w:val="1"/>
                <w:color w:val="auto"/>
              </w:rPr>
              <w:t>294</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rPr>
              <w:t>270</w:t>
            </w: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280</w:t>
            </w:r>
          </w:p>
        </w:tc>
        <w:tc>
          <w:tcPr>
            <w:tcW w:w="0" w:type="dxa"/>
            <w:vAlign w:val="bottom"/>
          </w:tcPr>
          <w:p>
            <w:pPr>
              <w:spacing w:after="0"/>
              <w:rPr>
                <w:sz w:val="1"/>
                <w:szCs w:val="1"/>
                <w:color w:val="auto"/>
              </w:rPr>
            </w:pPr>
          </w:p>
        </w:tc>
      </w:tr>
      <w:tr>
        <w:trPr>
          <w:trHeight w:val="187"/>
        </w:trPr>
        <w:tc>
          <w:tcPr>
            <w:tcW w:w="344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2,622</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2,592</w:t>
            </w:r>
          </w:p>
        </w:tc>
        <w:tc>
          <w:tcPr>
            <w:tcW w:w="3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2,633</w:t>
            </w:r>
          </w:p>
        </w:tc>
        <w:tc>
          <w:tcPr>
            <w:tcW w:w="0" w:type="dxa"/>
            <w:vAlign w:val="bottom"/>
          </w:tcPr>
          <w:p>
            <w:pPr>
              <w:spacing w:after="0"/>
              <w:rPr>
                <w:sz w:val="1"/>
                <w:szCs w:val="1"/>
                <w:color w:val="auto"/>
              </w:rPr>
            </w:pPr>
          </w:p>
        </w:tc>
      </w:tr>
      <w:tr>
        <w:trPr>
          <w:trHeight w:val="207"/>
        </w:trPr>
        <w:tc>
          <w:tcPr>
            <w:tcW w:w="3440" w:type="dxa"/>
            <w:vAlign w:val="bottom"/>
          </w:tcPr>
          <w:p>
            <w:pPr>
              <w:spacing w:after="0"/>
              <w:rPr>
                <w:sz w:val="20"/>
                <w:szCs w:val="20"/>
                <w:color w:val="auto"/>
              </w:rPr>
            </w:pPr>
            <w:r>
              <w:rPr>
                <w:rFonts w:ascii="Arial" w:cs="Arial" w:eastAsia="Arial" w:hAnsi="Arial"/>
                <w:sz w:val="15"/>
                <w:szCs w:val="15"/>
                <w:color w:val="auto"/>
              </w:rPr>
              <w:t>Property and equipment, net</w:t>
            </w:r>
          </w:p>
        </w:tc>
        <w:tc>
          <w:tcPr>
            <w:tcW w:w="1840" w:type="dxa"/>
            <w:vAlign w:val="bottom"/>
          </w:tcPr>
          <w:p>
            <w:pPr>
              <w:spacing w:after="0"/>
              <w:rPr>
                <w:sz w:val="17"/>
                <w:szCs w:val="17"/>
                <w:color w:val="auto"/>
              </w:rPr>
            </w:pPr>
          </w:p>
        </w:tc>
        <w:tc>
          <w:tcPr>
            <w:tcW w:w="1120" w:type="dxa"/>
            <w:vAlign w:val="bottom"/>
          </w:tcPr>
          <w:p>
            <w:pPr>
              <w:jc w:val="right"/>
              <w:ind w:right="143"/>
              <w:spacing w:after="0"/>
              <w:rPr>
                <w:sz w:val="20"/>
                <w:szCs w:val="20"/>
                <w:color w:val="auto"/>
              </w:rPr>
            </w:pPr>
            <w:r>
              <w:rPr>
                <w:rFonts w:ascii="Arial" w:cs="Arial" w:eastAsia="Arial" w:hAnsi="Arial"/>
                <w:sz w:val="15"/>
                <w:szCs w:val="15"/>
                <w:b w:val="1"/>
                <w:bCs w:val="1"/>
                <w:color w:val="auto"/>
              </w:rPr>
              <w:t>792</w:t>
            </w:r>
          </w:p>
        </w:tc>
        <w:tc>
          <w:tcPr>
            <w:tcW w:w="320" w:type="dxa"/>
            <w:vAlign w:val="bottom"/>
          </w:tcPr>
          <w:p>
            <w:pPr>
              <w:spacing w:after="0"/>
              <w:rPr>
                <w:sz w:val="17"/>
                <w:szCs w:val="17"/>
                <w:color w:val="auto"/>
              </w:rPr>
            </w:pPr>
          </w:p>
        </w:tc>
        <w:tc>
          <w:tcPr>
            <w:tcW w:w="1120" w:type="dxa"/>
            <w:vAlign w:val="bottom"/>
          </w:tcPr>
          <w:p>
            <w:pPr>
              <w:jc w:val="right"/>
              <w:ind w:right="143"/>
              <w:spacing w:after="0"/>
              <w:rPr>
                <w:sz w:val="20"/>
                <w:szCs w:val="20"/>
                <w:color w:val="auto"/>
              </w:rPr>
            </w:pPr>
            <w:r>
              <w:rPr>
                <w:rFonts w:ascii="Arial" w:cs="Arial" w:eastAsia="Arial" w:hAnsi="Arial"/>
                <w:sz w:val="15"/>
                <w:szCs w:val="15"/>
                <w:color w:val="auto"/>
              </w:rPr>
              <w:t>706</w:t>
            </w:r>
          </w:p>
        </w:tc>
        <w:tc>
          <w:tcPr>
            <w:tcW w:w="3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765</w:t>
            </w:r>
          </w:p>
        </w:tc>
        <w:tc>
          <w:tcPr>
            <w:tcW w:w="0" w:type="dxa"/>
            <w:vAlign w:val="bottom"/>
          </w:tcPr>
          <w:p>
            <w:pPr>
              <w:spacing w:after="0"/>
              <w:rPr>
                <w:sz w:val="1"/>
                <w:szCs w:val="1"/>
                <w:color w:val="auto"/>
              </w:rPr>
            </w:pPr>
          </w:p>
        </w:tc>
      </w:tr>
      <w:tr>
        <w:trPr>
          <w:trHeight w:val="207"/>
        </w:trPr>
        <w:tc>
          <w:tcPr>
            <w:tcW w:w="3440" w:type="dxa"/>
            <w:vAlign w:val="bottom"/>
            <w:shd w:val="clear" w:color="auto" w:fill="CCEEFF"/>
          </w:tcPr>
          <w:p>
            <w:pPr>
              <w:spacing w:after="0"/>
              <w:rPr>
                <w:sz w:val="20"/>
                <w:szCs w:val="20"/>
                <w:color w:val="auto"/>
              </w:rPr>
            </w:pPr>
            <w:r>
              <w:rPr>
                <w:rFonts w:ascii="Arial" w:cs="Arial" w:eastAsia="Arial" w:hAnsi="Arial"/>
                <w:sz w:val="15"/>
                <w:szCs w:val="15"/>
                <w:color w:val="auto"/>
              </w:rPr>
              <w:t>Deferred taxes</w:t>
            </w:r>
          </w:p>
        </w:tc>
        <w:tc>
          <w:tcPr>
            <w:tcW w:w="18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162</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182</w:t>
            </w: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161</w:t>
            </w:r>
          </w:p>
        </w:tc>
        <w:tc>
          <w:tcPr>
            <w:tcW w:w="0" w:type="dxa"/>
            <w:vAlign w:val="bottom"/>
          </w:tcPr>
          <w:p>
            <w:pPr>
              <w:spacing w:after="0"/>
              <w:rPr>
                <w:sz w:val="1"/>
                <w:szCs w:val="1"/>
                <w:color w:val="auto"/>
              </w:rPr>
            </w:pPr>
          </w:p>
        </w:tc>
      </w:tr>
      <w:tr>
        <w:trPr>
          <w:trHeight w:val="207"/>
        </w:trPr>
        <w:tc>
          <w:tcPr>
            <w:tcW w:w="3440" w:type="dxa"/>
            <w:vAlign w:val="bottom"/>
          </w:tcPr>
          <w:p>
            <w:pPr>
              <w:spacing w:after="0"/>
              <w:rPr>
                <w:sz w:val="20"/>
                <w:szCs w:val="20"/>
                <w:color w:val="auto"/>
              </w:rPr>
            </w:pPr>
            <w:r>
              <w:rPr>
                <w:rFonts w:ascii="Arial" w:cs="Arial" w:eastAsia="Arial" w:hAnsi="Arial"/>
                <w:sz w:val="15"/>
                <w:szCs w:val="15"/>
                <w:color w:val="auto"/>
              </w:rPr>
              <w:t>Goodwill</w:t>
            </w:r>
          </w:p>
        </w:tc>
        <w:tc>
          <w:tcPr>
            <w:tcW w:w="1840" w:type="dxa"/>
            <w:vAlign w:val="bottom"/>
          </w:tcPr>
          <w:p>
            <w:pPr>
              <w:spacing w:after="0"/>
              <w:rPr>
                <w:sz w:val="17"/>
                <w:szCs w:val="17"/>
                <w:color w:val="auto"/>
              </w:rPr>
            </w:pPr>
          </w:p>
        </w:tc>
        <w:tc>
          <w:tcPr>
            <w:tcW w:w="1120" w:type="dxa"/>
            <w:vAlign w:val="bottom"/>
          </w:tcPr>
          <w:p>
            <w:pPr>
              <w:jc w:val="right"/>
              <w:ind w:right="143"/>
              <w:spacing w:after="0"/>
              <w:rPr>
                <w:sz w:val="20"/>
                <w:szCs w:val="20"/>
                <w:color w:val="auto"/>
              </w:rPr>
            </w:pPr>
            <w:r>
              <w:rPr>
                <w:rFonts w:ascii="Arial" w:cs="Arial" w:eastAsia="Arial" w:hAnsi="Arial"/>
                <w:sz w:val="15"/>
                <w:szCs w:val="15"/>
                <w:b w:val="1"/>
                <w:bCs w:val="1"/>
                <w:color w:val="auto"/>
              </w:rPr>
              <w:t>156</w:t>
            </w:r>
          </w:p>
        </w:tc>
        <w:tc>
          <w:tcPr>
            <w:tcW w:w="320" w:type="dxa"/>
            <w:vAlign w:val="bottom"/>
          </w:tcPr>
          <w:p>
            <w:pPr>
              <w:spacing w:after="0"/>
              <w:rPr>
                <w:sz w:val="17"/>
                <w:szCs w:val="17"/>
                <w:color w:val="auto"/>
              </w:rPr>
            </w:pPr>
          </w:p>
        </w:tc>
        <w:tc>
          <w:tcPr>
            <w:tcW w:w="1120" w:type="dxa"/>
            <w:vAlign w:val="bottom"/>
          </w:tcPr>
          <w:p>
            <w:pPr>
              <w:jc w:val="right"/>
              <w:ind w:right="143"/>
              <w:spacing w:after="0"/>
              <w:rPr>
                <w:sz w:val="20"/>
                <w:szCs w:val="20"/>
                <w:color w:val="auto"/>
              </w:rPr>
            </w:pPr>
            <w:r>
              <w:rPr>
                <w:rFonts w:ascii="Arial" w:cs="Arial" w:eastAsia="Arial" w:hAnsi="Arial"/>
                <w:sz w:val="15"/>
                <w:szCs w:val="15"/>
                <w:color w:val="auto"/>
              </w:rPr>
              <w:t>157</w:t>
            </w:r>
          </w:p>
        </w:tc>
        <w:tc>
          <w:tcPr>
            <w:tcW w:w="3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155</w:t>
            </w:r>
          </w:p>
        </w:tc>
        <w:tc>
          <w:tcPr>
            <w:tcW w:w="0" w:type="dxa"/>
            <w:vAlign w:val="bottom"/>
          </w:tcPr>
          <w:p>
            <w:pPr>
              <w:spacing w:after="0"/>
              <w:rPr>
                <w:sz w:val="1"/>
                <w:szCs w:val="1"/>
                <w:color w:val="auto"/>
              </w:rPr>
            </w:pPr>
          </w:p>
        </w:tc>
      </w:tr>
      <w:tr>
        <w:trPr>
          <w:trHeight w:val="207"/>
        </w:trPr>
        <w:tc>
          <w:tcPr>
            <w:tcW w:w="3440" w:type="dxa"/>
            <w:vAlign w:val="bottom"/>
            <w:shd w:val="clear" w:color="auto" w:fill="CCEEFF"/>
          </w:tcPr>
          <w:p>
            <w:pPr>
              <w:spacing w:after="0"/>
              <w:rPr>
                <w:sz w:val="20"/>
                <w:szCs w:val="20"/>
                <w:color w:val="auto"/>
              </w:rPr>
            </w:pPr>
            <w:r>
              <w:rPr>
                <w:rFonts w:ascii="Arial" w:cs="Arial" w:eastAsia="Arial" w:hAnsi="Arial"/>
                <w:sz w:val="15"/>
                <w:szCs w:val="15"/>
                <w:color w:val="auto"/>
              </w:rPr>
              <w:t>Other intangible assets, net</w:t>
            </w:r>
          </w:p>
        </w:tc>
        <w:tc>
          <w:tcPr>
            <w:tcW w:w="18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43</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46</w:t>
            </w: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w:t>
            </w:r>
          </w:p>
        </w:tc>
        <w:tc>
          <w:tcPr>
            <w:tcW w:w="0" w:type="dxa"/>
            <w:vAlign w:val="bottom"/>
          </w:tcPr>
          <w:p>
            <w:pPr>
              <w:spacing w:after="0"/>
              <w:rPr>
                <w:sz w:val="1"/>
                <w:szCs w:val="1"/>
                <w:color w:val="auto"/>
              </w:rPr>
            </w:pPr>
          </w:p>
        </w:tc>
      </w:tr>
      <w:tr>
        <w:trPr>
          <w:trHeight w:val="207"/>
        </w:trPr>
        <w:tc>
          <w:tcPr>
            <w:tcW w:w="34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Other assets</w:t>
            </w:r>
          </w:p>
        </w:tc>
        <w:tc>
          <w:tcPr>
            <w:tcW w:w="18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b w:val="1"/>
                <w:bCs w:val="1"/>
                <w:color w:val="auto"/>
              </w:rPr>
              <w:t>102</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rPr>
              <w:t>75</w:t>
            </w: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84</w:t>
            </w:r>
          </w:p>
        </w:tc>
        <w:tc>
          <w:tcPr>
            <w:tcW w:w="0" w:type="dxa"/>
            <w:vAlign w:val="bottom"/>
          </w:tcPr>
          <w:p>
            <w:pPr>
              <w:spacing w:after="0"/>
              <w:rPr>
                <w:sz w:val="1"/>
                <w:szCs w:val="1"/>
                <w:color w:val="auto"/>
              </w:rPr>
            </w:pPr>
          </w:p>
        </w:tc>
      </w:tr>
      <w:tr>
        <w:trPr>
          <w:trHeight w:val="179"/>
        </w:trPr>
        <w:tc>
          <w:tcPr>
            <w:tcW w:w="3440" w:type="dxa"/>
            <w:vAlign w:val="bottom"/>
            <w:tcBorders>
              <w:bottom w:val="single" w:sz="8" w:color="auto"/>
            </w:tcBorders>
            <w:shd w:val="clear" w:color="auto" w:fill="CCEEFF"/>
          </w:tcPr>
          <w:p>
            <w:pPr>
              <w:spacing w:after="0"/>
              <w:rPr>
                <w:sz w:val="15"/>
                <w:szCs w:val="15"/>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12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3,877</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rPr>
              <w:t>3,758</w:t>
            </w:r>
          </w:p>
        </w:tc>
        <w:tc>
          <w:tcPr>
            <w:tcW w:w="3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3,840</w:t>
            </w:r>
          </w:p>
        </w:tc>
        <w:tc>
          <w:tcPr>
            <w:tcW w:w="0" w:type="dxa"/>
            <w:vAlign w:val="bottom"/>
          </w:tcPr>
          <w:p>
            <w:pPr>
              <w:spacing w:after="0"/>
              <w:rPr>
                <w:sz w:val="1"/>
                <w:szCs w:val="1"/>
                <w:color w:val="auto"/>
              </w:rPr>
            </w:pPr>
          </w:p>
        </w:tc>
      </w:tr>
      <w:tr>
        <w:trPr>
          <w:trHeight w:val="195"/>
        </w:trPr>
        <w:tc>
          <w:tcPr>
            <w:tcW w:w="34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4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LIABILITIES AND SHAREHOLDERS’ EQUITY</w:t>
            </w:r>
          </w:p>
        </w:tc>
        <w:tc>
          <w:tcPr>
            <w:tcW w:w="18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4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440" w:type="dxa"/>
            <w:vAlign w:val="bottom"/>
            <w:shd w:val="clear" w:color="auto" w:fill="CCEEFF"/>
          </w:tcPr>
          <w:p>
            <w:pPr>
              <w:spacing w:after="0"/>
              <w:rPr>
                <w:sz w:val="20"/>
                <w:szCs w:val="20"/>
                <w:color w:val="auto"/>
              </w:rPr>
            </w:pPr>
            <w:r>
              <w:rPr>
                <w:rFonts w:ascii="Arial" w:cs="Arial" w:eastAsia="Arial" w:hAnsi="Arial"/>
                <w:sz w:val="15"/>
                <w:szCs w:val="15"/>
                <w:color w:val="auto"/>
              </w:rPr>
              <w:t>Current liabilities:</w:t>
            </w:r>
          </w:p>
        </w:tc>
        <w:tc>
          <w:tcPr>
            <w:tcW w:w="18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440" w:type="dxa"/>
            <w:vAlign w:val="bottom"/>
          </w:tcPr>
          <w:p>
            <w:pPr>
              <w:ind w:left="100"/>
              <w:spacing w:after="0"/>
              <w:rPr>
                <w:sz w:val="20"/>
                <w:szCs w:val="20"/>
                <w:color w:val="auto"/>
              </w:rPr>
            </w:pPr>
            <w:r>
              <w:rPr>
                <w:rFonts w:ascii="Arial" w:cs="Arial" w:eastAsia="Arial" w:hAnsi="Arial"/>
                <w:sz w:val="15"/>
                <w:szCs w:val="15"/>
                <w:color w:val="auto"/>
              </w:rPr>
              <w:t>Accounts payable</w:t>
            </w:r>
          </w:p>
        </w:tc>
        <w:tc>
          <w:tcPr>
            <w:tcW w:w="18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120" w:type="dxa"/>
            <w:vAlign w:val="bottom"/>
          </w:tcPr>
          <w:p>
            <w:pPr>
              <w:jc w:val="right"/>
              <w:ind w:right="143"/>
              <w:spacing w:after="0"/>
              <w:rPr>
                <w:sz w:val="20"/>
                <w:szCs w:val="20"/>
                <w:color w:val="auto"/>
              </w:rPr>
            </w:pPr>
            <w:r>
              <w:rPr>
                <w:rFonts w:ascii="Arial" w:cs="Arial" w:eastAsia="Arial" w:hAnsi="Arial"/>
                <w:sz w:val="15"/>
                <w:szCs w:val="15"/>
                <w:b w:val="1"/>
                <w:bCs w:val="1"/>
                <w:color w:val="auto"/>
              </w:rPr>
              <w:t>208</w:t>
            </w:r>
          </w:p>
        </w:tc>
        <w:tc>
          <w:tcPr>
            <w:tcW w:w="320" w:type="dxa"/>
            <w:vAlign w:val="bottom"/>
          </w:tcPr>
          <w:p>
            <w:pPr>
              <w:jc w:val="right"/>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143"/>
              <w:spacing w:after="0"/>
              <w:rPr>
                <w:sz w:val="20"/>
                <w:szCs w:val="20"/>
                <w:color w:val="auto"/>
              </w:rPr>
            </w:pPr>
            <w:r>
              <w:rPr>
                <w:rFonts w:ascii="Arial" w:cs="Arial" w:eastAsia="Arial" w:hAnsi="Arial"/>
                <w:sz w:val="15"/>
                <w:szCs w:val="15"/>
                <w:color w:val="auto"/>
              </w:rPr>
              <w:t>230</w:t>
            </w:r>
          </w:p>
        </w:tc>
        <w:tc>
          <w:tcPr>
            <w:tcW w:w="38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249</w:t>
            </w:r>
          </w:p>
        </w:tc>
        <w:tc>
          <w:tcPr>
            <w:tcW w:w="0" w:type="dxa"/>
            <w:vAlign w:val="bottom"/>
          </w:tcPr>
          <w:p>
            <w:pPr>
              <w:spacing w:after="0"/>
              <w:rPr>
                <w:sz w:val="1"/>
                <w:szCs w:val="1"/>
                <w:color w:val="auto"/>
              </w:rPr>
            </w:pPr>
          </w:p>
        </w:tc>
      </w:tr>
      <w:tr>
        <w:trPr>
          <w:trHeight w:val="207"/>
        </w:trPr>
        <w:tc>
          <w:tcPr>
            <w:tcW w:w="3440" w:type="dxa"/>
            <w:vAlign w:val="bottom"/>
            <w:shd w:val="clear" w:color="auto" w:fill="CCEEFF"/>
          </w:tcPr>
          <w:p>
            <w:pPr>
              <w:ind w:left="100"/>
              <w:spacing w:after="0"/>
              <w:rPr>
                <w:sz w:val="20"/>
                <w:szCs w:val="20"/>
                <w:color w:val="auto"/>
              </w:rPr>
            </w:pPr>
            <w:r>
              <w:rPr>
                <w:rFonts w:ascii="Arial" w:cs="Arial" w:eastAsia="Arial" w:hAnsi="Arial"/>
                <w:sz w:val="15"/>
                <w:szCs w:val="15"/>
                <w:color w:val="auto"/>
              </w:rPr>
              <w:t>Accrued and other liabilities</w:t>
            </w:r>
          </w:p>
        </w:tc>
        <w:tc>
          <w:tcPr>
            <w:tcW w:w="18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327</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347</w:t>
            </w: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363</w:t>
            </w:r>
          </w:p>
        </w:tc>
        <w:tc>
          <w:tcPr>
            <w:tcW w:w="0" w:type="dxa"/>
            <w:vAlign w:val="bottom"/>
          </w:tcPr>
          <w:p>
            <w:pPr>
              <w:spacing w:after="0"/>
              <w:rPr>
                <w:sz w:val="1"/>
                <w:szCs w:val="1"/>
                <w:color w:val="auto"/>
              </w:rPr>
            </w:pPr>
          </w:p>
        </w:tc>
      </w:tr>
      <w:tr>
        <w:trPr>
          <w:trHeight w:val="207"/>
        </w:trPr>
        <w:tc>
          <w:tcPr>
            <w:tcW w:w="344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auto"/>
              </w:rPr>
              <w:t>Current portion of capital lease obligations</w:t>
            </w:r>
          </w:p>
        </w:tc>
        <w:tc>
          <w:tcPr>
            <w:tcW w:w="18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rPr>
              <w:t>—</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rPr>
              <w:t>1</w:t>
            </w: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7"/>
        </w:trPr>
        <w:tc>
          <w:tcPr>
            <w:tcW w:w="344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535</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578</w:t>
            </w:r>
          </w:p>
        </w:tc>
        <w:tc>
          <w:tcPr>
            <w:tcW w:w="3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612</w:t>
            </w:r>
          </w:p>
        </w:tc>
        <w:tc>
          <w:tcPr>
            <w:tcW w:w="0" w:type="dxa"/>
            <w:vAlign w:val="bottom"/>
          </w:tcPr>
          <w:p>
            <w:pPr>
              <w:spacing w:after="0"/>
              <w:rPr>
                <w:sz w:val="1"/>
                <w:szCs w:val="1"/>
                <w:color w:val="auto"/>
              </w:rPr>
            </w:pPr>
          </w:p>
        </w:tc>
      </w:tr>
      <w:tr>
        <w:trPr>
          <w:trHeight w:val="207"/>
        </w:trPr>
        <w:tc>
          <w:tcPr>
            <w:tcW w:w="5280" w:type="dxa"/>
            <w:vAlign w:val="bottom"/>
            <w:gridSpan w:val="2"/>
          </w:tcPr>
          <w:p>
            <w:pPr>
              <w:spacing w:after="0"/>
              <w:rPr>
                <w:sz w:val="20"/>
                <w:szCs w:val="20"/>
                <w:color w:val="auto"/>
              </w:rPr>
            </w:pPr>
            <w:r>
              <w:rPr>
                <w:rFonts w:ascii="Arial" w:cs="Arial" w:eastAsia="Arial" w:hAnsi="Arial"/>
                <w:sz w:val="15"/>
                <w:szCs w:val="15"/>
                <w:color w:val="auto"/>
              </w:rPr>
              <w:t>Long-term debt and obligations under capital leases</w:t>
            </w:r>
          </w:p>
        </w:tc>
        <w:tc>
          <w:tcPr>
            <w:tcW w:w="1120" w:type="dxa"/>
            <w:vAlign w:val="bottom"/>
          </w:tcPr>
          <w:p>
            <w:pPr>
              <w:jc w:val="right"/>
              <w:ind w:right="143"/>
              <w:spacing w:after="0"/>
              <w:rPr>
                <w:sz w:val="20"/>
                <w:szCs w:val="20"/>
                <w:color w:val="auto"/>
              </w:rPr>
            </w:pPr>
            <w:r>
              <w:rPr>
                <w:rFonts w:ascii="Arial" w:cs="Arial" w:eastAsia="Arial" w:hAnsi="Arial"/>
                <w:sz w:val="15"/>
                <w:szCs w:val="15"/>
                <w:b w:val="1"/>
                <w:bCs w:val="1"/>
                <w:color w:val="auto"/>
              </w:rPr>
              <w:t>127</w:t>
            </w:r>
          </w:p>
        </w:tc>
        <w:tc>
          <w:tcPr>
            <w:tcW w:w="320" w:type="dxa"/>
            <w:vAlign w:val="bottom"/>
          </w:tcPr>
          <w:p>
            <w:pPr>
              <w:spacing w:after="0"/>
              <w:rPr>
                <w:sz w:val="17"/>
                <w:szCs w:val="17"/>
                <w:color w:val="auto"/>
              </w:rPr>
            </w:pPr>
          </w:p>
        </w:tc>
        <w:tc>
          <w:tcPr>
            <w:tcW w:w="1120" w:type="dxa"/>
            <w:vAlign w:val="bottom"/>
          </w:tcPr>
          <w:p>
            <w:pPr>
              <w:jc w:val="right"/>
              <w:ind w:right="143"/>
              <w:spacing w:after="0"/>
              <w:rPr>
                <w:sz w:val="20"/>
                <w:szCs w:val="20"/>
                <w:color w:val="auto"/>
              </w:rPr>
            </w:pPr>
            <w:r>
              <w:rPr>
                <w:rFonts w:ascii="Arial" w:cs="Arial" w:eastAsia="Arial" w:hAnsi="Arial"/>
                <w:sz w:val="15"/>
                <w:szCs w:val="15"/>
                <w:color w:val="auto"/>
              </w:rPr>
              <w:t>128</w:t>
            </w:r>
          </w:p>
        </w:tc>
        <w:tc>
          <w:tcPr>
            <w:tcW w:w="3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127</w:t>
            </w:r>
          </w:p>
        </w:tc>
        <w:tc>
          <w:tcPr>
            <w:tcW w:w="0" w:type="dxa"/>
            <w:vAlign w:val="bottom"/>
          </w:tcPr>
          <w:p>
            <w:pPr>
              <w:spacing w:after="0"/>
              <w:rPr>
                <w:sz w:val="1"/>
                <w:szCs w:val="1"/>
                <w:color w:val="auto"/>
              </w:rPr>
            </w:pPr>
          </w:p>
        </w:tc>
      </w:tr>
      <w:tr>
        <w:trPr>
          <w:trHeight w:val="207"/>
        </w:trPr>
        <w:tc>
          <w:tcPr>
            <w:tcW w:w="3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Other liabilities</w:t>
            </w:r>
          </w:p>
        </w:tc>
        <w:tc>
          <w:tcPr>
            <w:tcW w:w="18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393</w:t>
            </w: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rPr>
              <w:t>377</w:t>
            </w:r>
          </w:p>
        </w:tc>
        <w:tc>
          <w:tcPr>
            <w:tcW w:w="3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391</w:t>
            </w:r>
          </w:p>
        </w:tc>
        <w:tc>
          <w:tcPr>
            <w:tcW w:w="0" w:type="dxa"/>
            <w:vAlign w:val="bottom"/>
          </w:tcPr>
          <w:p>
            <w:pPr>
              <w:spacing w:after="0"/>
              <w:rPr>
                <w:sz w:val="1"/>
                <w:szCs w:val="1"/>
                <w:color w:val="auto"/>
              </w:rPr>
            </w:pPr>
          </w:p>
        </w:tc>
      </w:tr>
      <w:tr>
        <w:trPr>
          <w:trHeight w:val="187"/>
        </w:trPr>
        <w:tc>
          <w:tcPr>
            <w:tcW w:w="3440" w:type="dxa"/>
            <w:vAlign w:val="bottom"/>
          </w:tcPr>
          <w:p>
            <w:pPr>
              <w:spacing w:after="0"/>
              <w:rPr>
                <w:sz w:val="20"/>
                <w:szCs w:val="20"/>
                <w:color w:val="auto"/>
              </w:rPr>
            </w:pPr>
            <w:r>
              <w:rPr>
                <w:rFonts w:ascii="Arial" w:cs="Arial" w:eastAsia="Arial" w:hAnsi="Arial"/>
                <w:sz w:val="15"/>
                <w:szCs w:val="15"/>
                <w:color w:val="auto"/>
              </w:rPr>
              <w:t>Total liabilities</w:t>
            </w:r>
          </w:p>
        </w:tc>
        <w:tc>
          <w:tcPr>
            <w:tcW w:w="1840" w:type="dxa"/>
            <w:vAlign w:val="bottom"/>
          </w:tcPr>
          <w:p>
            <w:pPr>
              <w:spacing w:after="0"/>
              <w:rPr>
                <w:sz w:val="16"/>
                <w:szCs w:val="16"/>
                <w:color w:val="auto"/>
              </w:rPr>
            </w:pPr>
          </w:p>
        </w:tc>
        <w:tc>
          <w:tcPr>
            <w:tcW w:w="1120" w:type="dxa"/>
            <w:vAlign w:val="bottom"/>
          </w:tcPr>
          <w:p>
            <w:pPr>
              <w:jc w:val="right"/>
              <w:ind w:right="143"/>
              <w:spacing w:after="0"/>
              <w:rPr>
                <w:sz w:val="20"/>
                <w:szCs w:val="20"/>
                <w:color w:val="auto"/>
              </w:rPr>
            </w:pPr>
            <w:r>
              <w:rPr>
                <w:rFonts w:ascii="Arial" w:cs="Arial" w:eastAsia="Arial" w:hAnsi="Arial"/>
                <w:sz w:val="15"/>
                <w:szCs w:val="15"/>
                <w:b w:val="1"/>
                <w:bCs w:val="1"/>
                <w:color w:val="auto"/>
              </w:rPr>
              <w:t>1,055</w:t>
            </w:r>
          </w:p>
        </w:tc>
        <w:tc>
          <w:tcPr>
            <w:tcW w:w="320" w:type="dxa"/>
            <w:vAlign w:val="bottom"/>
          </w:tcPr>
          <w:p>
            <w:pPr>
              <w:spacing w:after="0"/>
              <w:rPr>
                <w:sz w:val="16"/>
                <w:szCs w:val="16"/>
                <w:color w:val="auto"/>
              </w:rPr>
            </w:pPr>
          </w:p>
        </w:tc>
        <w:tc>
          <w:tcPr>
            <w:tcW w:w="1120" w:type="dxa"/>
            <w:vAlign w:val="bottom"/>
          </w:tcPr>
          <w:p>
            <w:pPr>
              <w:jc w:val="right"/>
              <w:ind w:right="143"/>
              <w:spacing w:after="0"/>
              <w:rPr>
                <w:sz w:val="20"/>
                <w:szCs w:val="20"/>
                <w:color w:val="auto"/>
              </w:rPr>
            </w:pPr>
            <w:r>
              <w:rPr>
                <w:rFonts w:ascii="Arial" w:cs="Arial" w:eastAsia="Arial" w:hAnsi="Arial"/>
                <w:sz w:val="15"/>
                <w:szCs w:val="15"/>
                <w:color w:val="auto"/>
              </w:rPr>
              <w:t>1,083</w:t>
            </w:r>
          </w:p>
        </w:tc>
        <w:tc>
          <w:tcPr>
            <w:tcW w:w="3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1,130</w:t>
            </w:r>
          </w:p>
        </w:tc>
        <w:tc>
          <w:tcPr>
            <w:tcW w:w="0" w:type="dxa"/>
            <w:vAlign w:val="bottom"/>
          </w:tcPr>
          <w:p>
            <w:pPr>
              <w:spacing w:after="0"/>
              <w:rPr>
                <w:sz w:val="1"/>
                <w:szCs w:val="1"/>
                <w:color w:val="auto"/>
              </w:rPr>
            </w:pPr>
          </w:p>
        </w:tc>
      </w:tr>
      <w:tr>
        <w:trPr>
          <w:trHeight w:val="207"/>
        </w:trPr>
        <w:tc>
          <w:tcPr>
            <w:tcW w:w="3440" w:type="dxa"/>
            <w:vAlign w:val="bottom"/>
            <w:shd w:val="clear" w:color="auto" w:fill="CCEEFF"/>
          </w:tcPr>
          <w:p>
            <w:pPr>
              <w:spacing w:after="0"/>
              <w:rPr>
                <w:sz w:val="20"/>
                <w:szCs w:val="20"/>
                <w:color w:val="auto"/>
              </w:rPr>
            </w:pPr>
            <w:r>
              <w:rPr>
                <w:rFonts w:ascii="Arial" w:cs="Arial" w:eastAsia="Arial" w:hAnsi="Arial"/>
                <w:sz w:val="15"/>
                <w:szCs w:val="15"/>
                <w:color w:val="auto"/>
              </w:rPr>
              <w:t>Shareholders’ equity:</w:t>
            </w:r>
          </w:p>
        </w:tc>
        <w:tc>
          <w:tcPr>
            <w:tcW w:w="18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96"/>
        </w:trPr>
        <w:tc>
          <w:tcPr>
            <w:tcW w:w="3440" w:type="dxa"/>
            <w:vAlign w:val="bottom"/>
          </w:tcPr>
          <w:p>
            <w:pPr>
              <w:ind w:left="100"/>
              <w:spacing w:after="0"/>
              <w:rPr>
                <w:sz w:val="20"/>
                <w:szCs w:val="20"/>
                <w:color w:val="auto"/>
              </w:rPr>
            </w:pPr>
            <w:r>
              <w:rPr>
                <w:rFonts w:ascii="Arial" w:cs="Arial" w:eastAsia="Arial" w:hAnsi="Arial"/>
                <w:sz w:val="15"/>
                <w:szCs w:val="15"/>
                <w:color w:val="auto"/>
              </w:rPr>
              <w:t>Common stock and paid-in capital: 133,088,450;</w:t>
            </w:r>
          </w:p>
        </w:tc>
        <w:tc>
          <w:tcPr>
            <w:tcW w:w="1840" w:type="dxa"/>
            <w:vAlign w:val="bottom"/>
          </w:tcPr>
          <w:p>
            <w:pPr>
              <w:jc w:val="right"/>
              <w:ind w:right="523"/>
              <w:spacing w:after="0"/>
              <w:rPr>
                <w:sz w:val="20"/>
                <w:szCs w:val="20"/>
                <w:color w:val="auto"/>
              </w:rPr>
            </w:pPr>
            <w:r>
              <w:rPr>
                <w:rFonts w:ascii="Arial" w:cs="Arial" w:eastAsia="Arial" w:hAnsi="Arial"/>
                <w:sz w:val="15"/>
                <w:szCs w:val="15"/>
                <w:color w:val="auto"/>
              </w:rPr>
              <w:t>173,885,868; and</w:t>
            </w:r>
          </w:p>
        </w:tc>
        <w:tc>
          <w:tcPr>
            <w:tcW w:w="1120" w:type="dxa"/>
            <w:vAlign w:val="bottom"/>
            <w:vMerge w:val="restart"/>
          </w:tcPr>
          <w:p>
            <w:pPr>
              <w:jc w:val="right"/>
              <w:ind w:right="143"/>
              <w:spacing w:after="0"/>
              <w:rPr>
                <w:sz w:val="20"/>
                <w:szCs w:val="20"/>
                <w:color w:val="auto"/>
              </w:rPr>
            </w:pPr>
            <w:r>
              <w:rPr>
                <w:rFonts w:ascii="Arial" w:cs="Arial" w:eastAsia="Arial" w:hAnsi="Arial"/>
                <w:sz w:val="15"/>
                <w:szCs w:val="15"/>
                <w:b w:val="1"/>
                <w:bCs w:val="1"/>
                <w:color w:val="auto"/>
              </w:rPr>
              <w:t>914</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440" w:type="dxa"/>
            <w:vAlign w:val="bottom"/>
          </w:tcPr>
          <w:p>
            <w:pPr>
              <w:ind w:left="100"/>
              <w:spacing w:after="0"/>
              <w:rPr>
                <w:sz w:val="20"/>
                <w:szCs w:val="20"/>
                <w:color w:val="auto"/>
              </w:rPr>
            </w:pPr>
            <w:r>
              <w:rPr>
                <w:rFonts w:ascii="Arial" w:cs="Arial" w:eastAsia="Arial" w:hAnsi="Arial"/>
                <w:sz w:val="15"/>
                <w:szCs w:val="15"/>
                <w:color w:val="auto"/>
              </w:rPr>
              <w:t>132,616,087 shares outstanding, respectively</w:t>
            </w:r>
          </w:p>
        </w:tc>
        <w:tc>
          <w:tcPr>
            <w:tcW w:w="184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ind w:right="143"/>
              <w:spacing w:after="0"/>
              <w:rPr>
                <w:sz w:val="20"/>
                <w:szCs w:val="20"/>
                <w:color w:val="auto"/>
              </w:rPr>
            </w:pPr>
            <w:r>
              <w:rPr>
                <w:rFonts w:ascii="Arial" w:cs="Arial" w:eastAsia="Arial" w:hAnsi="Arial"/>
                <w:sz w:val="15"/>
                <w:szCs w:val="15"/>
                <w:color w:val="auto"/>
              </w:rPr>
              <w:t>1,127</w:t>
            </w:r>
          </w:p>
        </w:tc>
        <w:tc>
          <w:tcPr>
            <w:tcW w:w="3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900</w:t>
            </w:r>
          </w:p>
        </w:tc>
        <w:tc>
          <w:tcPr>
            <w:tcW w:w="0" w:type="dxa"/>
            <w:vAlign w:val="bottom"/>
          </w:tcPr>
          <w:p>
            <w:pPr>
              <w:spacing w:after="0"/>
              <w:rPr>
                <w:sz w:val="1"/>
                <w:szCs w:val="1"/>
                <w:color w:val="auto"/>
              </w:rPr>
            </w:pPr>
          </w:p>
        </w:tc>
      </w:tr>
      <w:tr>
        <w:trPr>
          <w:trHeight w:val="207"/>
        </w:trPr>
        <w:tc>
          <w:tcPr>
            <w:tcW w:w="3440" w:type="dxa"/>
            <w:vAlign w:val="bottom"/>
            <w:shd w:val="clear" w:color="auto" w:fill="CCEEFF"/>
          </w:tcPr>
          <w:p>
            <w:pPr>
              <w:ind w:left="100"/>
              <w:spacing w:after="0"/>
              <w:rPr>
                <w:sz w:val="20"/>
                <w:szCs w:val="20"/>
                <w:color w:val="auto"/>
              </w:rPr>
            </w:pPr>
            <w:r>
              <w:rPr>
                <w:rFonts w:ascii="Arial" w:cs="Arial" w:eastAsia="Arial" w:hAnsi="Arial"/>
                <w:sz w:val="15"/>
                <w:szCs w:val="15"/>
                <w:color w:val="auto"/>
              </w:rPr>
              <w:t>Retained earnings</w:t>
            </w:r>
          </w:p>
        </w:tc>
        <w:tc>
          <w:tcPr>
            <w:tcW w:w="18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2,393</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3,336</w:t>
            </w: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2,254</w:t>
            </w:r>
          </w:p>
        </w:tc>
        <w:tc>
          <w:tcPr>
            <w:tcW w:w="0" w:type="dxa"/>
            <w:vAlign w:val="bottom"/>
          </w:tcPr>
          <w:p>
            <w:pPr>
              <w:spacing w:after="0"/>
              <w:rPr>
                <w:sz w:val="1"/>
                <w:szCs w:val="1"/>
                <w:color w:val="auto"/>
              </w:rPr>
            </w:pPr>
          </w:p>
        </w:tc>
      </w:tr>
      <w:tr>
        <w:trPr>
          <w:trHeight w:val="207"/>
        </w:trPr>
        <w:tc>
          <w:tcPr>
            <w:tcW w:w="3440" w:type="dxa"/>
            <w:vAlign w:val="bottom"/>
          </w:tcPr>
          <w:p>
            <w:pPr>
              <w:ind w:left="100"/>
              <w:spacing w:after="0"/>
              <w:rPr>
                <w:sz w:val="20"/>
                <w:szCs w:val="20"/>
                <w:color w:val="auto"/>
              </w:rPr>
            </w:pPr>
            <w:r>
              <w:rPr>
                <w:rFonts w:ascii="Arial" w:cs="Arial" w:eastAsia="Arial" w:hAnsi="Arial"/>
                <w:sz w:val="15"/>
                <w:szCs w:val="15"/>
                <w:color w:val="auto"/>
              </w:rPr>
              <w:t>Accumulated other comprehensive loss</w:t>
            </w:r>
          </w:p>
        </w:tc>
        <w:tc>
          <w:tcPr>
            <w:tcW w:w="1840" w:type="dxa"/>
            <w:vAlign w:val="bottom"/>
          </w:tcPr>
          <w:p>
            <w:pPr>
              <w:spacing w:after="0"/>
              <w:rPr>
                <w:sz w:val="17"/>
                <w:szCs w:val="17"/>
                <w:color w:val="auto"/>
              </w:rPr>
            </w:pPr>
          </w:p>
        </w:tc>
        <w:tc>
          <w:tcPr>
            <w:tcW w:w="1120" w:type="dxa"/>
            <w:vAlign w:val="bottom"/>
          </w:tcPr>
          <w:p>
            <w:pPr>
              <w:jc w:val="right"/>
              <w:ind w:right="83"/>
              <w:spacing w:after="0"/>
              <w:rPr>
                <w:sz w:val="20"/>
                <w:szCs w:val="20"/>
                <w:color w:val="auto"/>
              </w:rPr>
            </w:pPr>
            <w:r>
              <w:rPr>
                <w:rFonts w:ascii="Arial" w:cs="Arial" w:eastAsia="Arial" w:hAnsi="Arial"/>
                <w:sz w:val="15"/>
                <w:szCs w:val="15"/>
                <w:b w:val="1"/>
                <w:bCs w:val="1"/>
                <w:color w:val="auto"/>
              </w:rPr>
              <w:t>(357)</w:t>
            </w:r>
          </w:p>
        </w:tc>
        <w:tc>
          <w:tcPr>
            <w:tcW w:w="320" w:type="dxa"/>
            <w:vAlign w:val="bottom"/>
          </w:tcPr>
          <w:p>
            <w:pPr>
              <w:spacing w:after="0"/>
              <w:rPr>
                <w:sz w:val="17"/>
                <w:szCs w:val="17"/>
                <w:color w:val="auto"/>
              </w:rPr>
            </w:pPr>
          </w:p>
        </w:tc>
        <w:tc>
          <w:tcPr>
            <w:tcW w:w="1120" w:type="dxa"/>
            <w:vAlign w:val="bottom"/>
          </w:tcPr>
          <w:p>
            <w:pPr>
              <w:jc w:val="right"/>
              <w:ind w:right="103"/>
              <w:spacing w:after="0"/>
              <w:rPr>
                <w:sz w:val="20"/>
                <w:szCs w:val="20"/>
                <w:color w:val="auto"/>
              </w:rPr>
            </w:pPr>
            <w:r>
              <w:rPr>
                <w:rFonts w:ascii="Arial" w:cs="Arial" w:eastAsia="Arial" w:hAnsi="Arial"/>
                <w:sz w:val="15"/>
                <w:szCs w:val="15"/>
                <w:color w:val="auto"/>
              </w:rPr>
              <w:t>(323)</w:t>
            </w:r>
          </w:p>
        </w:tc>
        <w:tc>
          <w:tcPr>
            <w:tcW w:w="3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(363)</w:t>
            </w:r>
          </w:p>
        </w:tc>
        <w:tc>
          <w:tcPr>
            <w:tcW w:w="0" w:type="dxa"/>
            <w:vAlign w:val="bottom"/>
          </w:tcPr>
          <w:p>
            <w:pPr>
              <w:spacing w:after="0"/>
              <w:rPr>
                <w:sz w:val="1"/>
                <w:szCs w:val="1"/>
                <w:color w:val="auto"/>
              </w:rPr>
            </w:pPr>
          </w:p>
        </w:tc>
      </w:tr>
      <w:tr>
        <w:trPr>
          <w:trHeight w:val="226"/>
        </w:trPr>
        <w:tc>
          <w:tcPr>
            <w:tcW w:w="52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Less: Treasury stock at cost: 1,791,789; 37,896,771; and 1,120,466</w:t>
            </w:r>
          </w:p>
        </w:tc>
        <w:tc>
          <w:tcPr>
            <w:tcW w:w="1120" w:type="dxa"/>
            <w:vAlign w:val="bottom"/>
            <w:vMerge w:val="restart"/>
            <w:shd w:val="clear" w:color="auto" w:fill="CCEEFF"/>
          </w:tcPr>
          <w:p>
            <w:pPr>
              <w:jc w:val="right"/>
              <w:ind w:right="83"/>
              <w:spacing w:after="0"/>
              <w:rPr>
                <w:sz w:val="20"/>
                <w:szCs w:val="20"/>
                <w:color w:val="auto"/>
              </w:rPr>
            </w:pPr>
            <w:r>
              <w:rPr>
                <w:rFonts w:ascii="Arial" w:cs="Arial" w:eastAsia="Arial" w:hAnsi="Arial"/>
                <w:sz w:val="15"/>
                <w:szCs w:val="15"/>
                <w:b w:val="1"/>
                <w:bCs w:val="1"/>
                <w:color w:val="auto"/>
              </w:rPr>
              <w:t>(128)</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4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5"/>
                <w:szCs w:val="15"/>
                <w:color w:val="auto"/>
              </w:rPr>
              <w:t>shares, respectively</w:t>
            </w:r>
          </w:p>
        </w:tc>
        <w:tc>
          <w:tcPr>
            <w:tcW w:w="18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vMerge w:val="continue"/>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(1,465)</w:t>
            </w:r>
          </w:p>
        </w:tc>
        <w:tc>
          <w:tcPr>
            <w:tcW w:w="3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(81)</w:t>
            </w:r>
          </w:p>
        </w:tc>
        <w:tc>
          <w:tcPr>
            <w:tcW w:w="0" w:type="dxa"/>
            <w:vAlign w:val="bottom"/>
          </w:tcPr>
          <w:p>
            <w:pPr>
              <w:spacing w:after="0"/>
              <w:rPr>
                <w:sz w:val="1"/>
                <w:szCs w:val="1"/>
                <w:color w:val="auto"/>
              </w:rPr>
            </w:pPr>
          </w:p>
        </w:tc>
      </w:tr>
      <w:tr>
        <w:trPr>
          <w:trHeight w:val="187"/>
        </w:trPr>
        <w:tc>
          <w:tcPr>
            <w:tcW w:w="34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Total shareholders' equity</w:t>
            </w:r>
          </w:p>
        </w:tc>
        <w:tc>
          <w:tcPr>
            <w:tcW w:w="18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b w:val="1"/>
                <w:bCs w:val="1"/>
                <w:color w:val="auto"/>
              </w:rPr>
              <w:t>2,822</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rPr>
              <w:t>2,675</w:t>
            </w: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2,710</w:t>
            </w:r>
          </w:p>
        </w:tc>
        <w:tc>
          <w:tcPr>
            <w:tcW w:w="0" w:type="dxa"/>
            <w:vAlign w:val="bottom"/>
          </w:tcPr>
          <w:p>
            <w:pPr>
              <w:spacing w:after="0"/>
              <w:rPr>
                <w:sz w:val="1"/>
                <w:szCs w:val="1"/>
                <w:color w:val="auto"/>
              </w:rPr>
            </w:pPr>
          </w:p>
        </w:tc>
      </w:tr>
      <w:tr>
        <w:trPr>
          <w:trHeight w:val="179"/>
        </w:trPr>
        <w:tc>
          <w:tcPr>
            <w:tcW w:w="3440" w:type="dxa"/>
            <w:vAlign w:val="bottom"/>
            <w:tcBorders>
              <w:bottom w:val="single" w:sz="8" w:color="auto"/>
            </w:tcBorders>
            <w:shd w:val="clear" w:color="auto" w:fill="CCEEFF"/>
          </w:tcPr>
          <w:p>
            <w:pPr>
              <w:spacing w:after="0"/>
              <w:rPr>
                <w:sz w:val="15"/>
                <w:szCs w:val="15"/>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12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3,877</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rPr>
              <w:t>3,758</w:t>
            </w:r>
          </w:p>
        </w:tc>
        <w:tc>
          <w:tcPr>
            <w:tcW w:w="3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3,840</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Accompanying Notes to Condensed Consolidated Financial Statements.</w:t>
      </w:r>
    </w:p>
    <w:p>
      <w:pPr>
        <w:spacing w:after="0" w:line="200" w:lineRule="exact"/>
        <w:rPr>
          <w:sz w:val="20"/>
          <w:szCs w:val="20"/>
          <w:color w:val="auto"/>
        </w:rPr>
      </w:pPr>
    </w:p>
    <w:p>
      <w:pPr>
        <w:spacing w:after="0" w:line="374" w:lineRule="exact"/>
        <w:rPr>
          <w:sz w:val="20"/>
          <w:szCs w:val="20"/>
          <w:color w:val="auto"/>
        </w:rPr>
      </w:pPr>
    </w:p>
    <w:p>
      <w:pPr>
        <w:jc w:val="both"/>
        <w:ind w:firstLine="5"/>
        <w:spacing w:after="0" w:line="239" w:lineRule="auto"/>
        <w:tabs>
          <w:tab w:leader="none" w:pos="99"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balance sheet at January 28, 2017 has been derived from the previously reported audited financial statements at that date, but does not include all of the information and footnotes required by U.S. generally accepted accounting principles for complete financial statements. For further information, refer to the consolidated financial statements and footnotes thereto included in Foot Locker, Inc.’s Annual Report on Form 10-K for the year ended January 28,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5817870" cy="48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115" w:right="1399" w:bottom="1440" w:gutter="0" w:footer="0" w:header="0"/>
        </w:sectPr>
      </w:pPr>
    </w:p>
    <w:bookmarkStart w:id="3" w:name="page4"/>
    <w:bookmarkEnd w:id="3"/>
    <w:p>
      <w:pPr>
        <w:jc w:val="center"/>
        <w:spacing w:after="0"/>
        <w:rPr>
          <w:sz w:val="20"/>
          <w:szCs w:val="20"/>
          <w:color w:val="auto"/>
        </w:rPr>
      </w:pPr>
      <w:r>
        <w:rPr>
          <w:rFonts w:ascii="Arial" w:cs="Arial" w:eastAsia="Arial" w:hAnsi="Arial"/>
          <w:sz w:val="15"/>
          <w:szCs w:val="15"/>
          <w:b w:val="1"/>
          <w:bCs w:val="1"/>
          <w:color w:val="auto"/>
        </w:rPr>
        <w:t>FOOT LOCKER,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CONDENSED CONSOLIDATED STATEMENTS OF OPERATIONS</w:t>
      </w:r>
    </w:p>
    <w:p>
      <w:pPr>
        <w:jc w:val="center"/>
        <w:spacing w:after="0" w:line="236" w:lineRule="auto"/>
        <w:rPr>
          <w:sz w:val="20"/>
          <w:szCs w:val="20"/>
          <w:color w:val="auto"/>
        </w:rPr>
      </w:pPr>
      <w:r>
        <w:rPr>
          <w:rFonts w:ascii="Arial" w:cs="Arial" w:eastAsia="Arial" w:hAnsi="Arial"/>
          <w:sz w:val="15"/>
          <w:szCs w:val="15"/>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640"/>
        <w:spacing w:after="0"/>
        <w:rPr>
          <w:sz w:val="20"/>
          <w:szCs w:val="20"/>
          <w:color w:val="auto"/>
        </w:rPr>
      </w:pPr>
      <w:r>
        <w:rPr>
          <w:rFonts w:ascii="Arial" w:cs="Arial" w:eastAsia="Arial" w:hAnsi="Arial"/>
          <w:sz w:val="15"/>
          <w:szCs w:val="15"/>
          <w:b w:val="1"/>
          <w:bCs w:val="1"/>
          <w:color w:val="auto"/>
        </w:rPr>
        <w:t>Thirteen weeks ended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4980" w:type="dxa"/>
            <w:vAlign w:val="bottom"/>
            <w:tcBorders>
              <w:top w:val="single" w:sz="8" w:color="auto"/>
            </w:tcBorders>
          </w:tcPr>
          <w:p>
            <w:pPr>
              <w:spacing w:after="0"/>
              <w:rPr>
                <w:sz w:val="13"/>
                <w:szCs w:val="13"/>
                <w:color w:val="auto"/>
              </w:rPr>
            </w:pPr>
          </w:p>
        </w:tc>
        <w:tc>
          <w:tcPr>
            <w:tcW w:w="188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5"/>
                <w:szCs w:val="15"/>
                <w:b w:val="1"/>
                <w:bCs w:val="1"/>
                <w:color w:val="auto"/>
              </w:rPr>
              <w:t>April 29,</w:t>
            </w:r>
          </w:p>
        </w:tc>
        <w:tc>
          <w:tcPr>
            <w:tcW w:w="6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383"/>
              <w:spacing w:after="0" w:line="151" w:lineRule="exact"/>
              <w:rPr>
                <w:sz w:val="20"/>
                <w:szCs w:val="20"/>
                <w:color w:val="auto"/>
              </w:rPr>
            </w:pPr>
            <w:r>
              <w:rPr>
                <w:rFonts w:ascii="Arial" w:cs="Arial" w:eastAsia="Arial" w:hAnsi="Arial"/>
                <w:sz w:val="15"/>
                <w:szCs w:val="15"/>
                <w:b w:val="1"/>
                <w:bCs w:val="1"/>
                <w:color w:val="auto"/>
              </w:rPr>
              <w:t>April 30,</w:t>
            </w:r>
          </w:p>
        </w:tc>
        <w:tc>
          <w:tcPr>
            <w:tcW w:w="20" w:type="dxa"/>
            <w:vAlign w:val="bottom"/>
          </w:tcPr>
          <w:p>
            <w:pPr>
              <w:spacing w:after="0"/>
              <w:rPr>
                <w:sz w:val="13"/>
                <w:szCs w:val="13"/>
                <w:color w:val="auto"/>
              </w:rPr>
            </w:pPr>
          </w:p>
        </w:tc>
      </w:tr>
      <w:tr>
        <w:trPr>
          <w:trHeight w:val="194"/>
        </w:trPr>
        <w:tc>
          <w:tcPr>
            <w:tcW w:w="49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rPr>
              <w:t>2017</w:t>
            </w:r>
          </w:p>
        </w:tc>
        <w:tc>
          <w:tcPr>
            <w:tcW w:w="6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3"/>
              <w:spacing w:after="0"/>
              <w:rPr>
                <w:sz w:val="20"/>
                <w:szCs w:val="20"/>
                <w:color w:val="auto"/>
              </w:rPr>
            </w:pPr>
            <w:r>
              <w:rPr>
                <w:rFonts w:ascii="Arial" w:cs="Arial" w:eastAsia="Arial" w:hAnsi="Arial"/>
                <w:sz w:val="15"/>
                <w:szCs w:val="15"/>
                <w:b w:val="1"/>
                <w:bCs w:val="1"/>
                <w:color w:val="auto"/>
              </w:rPr>
              <w:t>2016</w:t>
            </w:r>
          </w:p>
        </w:tc>
        <w:tc>
          <w:tcPr>
            <w:tcW w:w="20" w:type="dxa"/>
            <w:vAlign w:val="bottom"/>
          </w:tcPr>
          <w:p>
            <w:pPr>
              <w:spacing w:after="0"/>
              <w:rPr>
                <w:sz w:val="16"/>
                <w:szCs w:val="16"/>
                <w:color w:val="auto"/>
              </w:rPr>
            </w:pPr>
          </w:p>
        </w:tc>
      </w:tr>
      <w:tr>
        <w:trPr>
          <w:trHeight w:val="187"/>
        </w:trPr>
        <w:tc>
          <w:tcPr>
            <w:tcW w:w="49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7"/>
        </w:trPr>
        <w:tc>
          <w:tcPr>
            <w:tcW w:w="49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Sales</w:t>
            </w:r>
          </w:p>
        </w:tc>
        <w:tc>
          <w:tcPr>
            <w:tcW w:w="1880" w:type="dxa"/>
            <w:vAlign w:val="bottom"/>
            <w:shd w:val="clear" w:color="auto" w:fill="CCEEFF"/>
          </w:tcPr>
          <w:p>
            <w:pPr>
              <w:jc w:val="right"/>
              <w:ind w:right="703"/>
              <w:spacing w:after="0"/>
              <w:rPr>
                <w:sz w:val="20"/>
                <w:szCs w:val="20"/>
                <w:color w:val="auto"/>
              </w:rPr>
            </w:pPr>
            <w:r>
              <w:rPr>
                <w:rFonts w:ascii="Arial" w:cs="Arial" w:eastAsia="Arial" w:hAnsi="Arial"/>
                <w:sz w:val="15"/>
                <w:szCs w:val="15"/>
                <w:b w:val="1"/>
                <w:bCs w:val="1"/>
                <w:color w:val="auto"/>
              </w:rPr>
              <w:t>$</w:t>
            </w:r>
          </w:p>
        </w:tc>
        <w:tc>
          <w:tcPr>
            <w:tcW w:w="680" w:type="dxa"/>
            <w:vAlign w:val="bottom"/>
            <w:shd w:val="clear" w:color="auto" w:fill="CCEEFF"/>
          </w:tcPr>
          <w:p>
            <w:pPr>
              <w:jc w:val="right"/>
              <w:ind w:right="203"/>
              <w:spacing w:after="0"/>
              <w:rPr>
                <w:sz w:val="20"/>
                <w:szCs w:val="20"/>
                <w:color w:val="auto"/>
              </w:rPr>
            </w:pPr>
            <w:r>
              <w:rPr>
                <w:rFonts w:ascii="Arial" w:cs="Arial" w:eastAsia="Arial" w:hAnsi="Arial"/>
                <w:sz w:val="15"/>
                <w:szCs w:val="15"/>
                <w:b w:val="1"/>
                <w:bCs w:val="1"/>
                <w:color w:val="auto"/>
              </w:rPr>
              <w:t>2,001</w:t>
            </w:r>
          </w:p>
        </w:tc>
        <w:tc>
          <w:tcPr>
            <w:tcW w:w="4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1,987</w:t>
            </w:r>
          </w:p>
        </w:tc>
        <w:tc>
          <w:tcPr>
            <w:tcW w:w="20" w:type="dxa"/>
            <w:vAlign w:val="bottom"/>
          </w:tcPr>
          <w:p>
            <w:pPr>
              <w:spacing w:after="0"/>
              <w:rPr>
                <w:sz w:val="17"/>
                <w:szCs w:val="17"/>
                <w:color w:val="auto"/>
              </w:rPr>
            </w:pPr>
          </w:p>
        </w:tc>
      </w:tr>
      <w:tr>
        <w:trPr>
          <w:trHeight w:val="207"/>
        </w:trPr>
        <w:tc>
          <w:tcPr>
            <w:tcW w:w="49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Cost of sales</w:t>
            </w:r>
          </w:p>
        </w:tc>
        <w:tc>
          <w:tcPr>
            <w:tcW w:w="18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b w:val="1"/>
                <w:bCs w:val="1"/>
                <w:color w:val="auto"/>
              </w:rPr>
              <w:t>1,321</w:t>
            </w:r>
          </w:p>
        </w:tc>
        <w:tc>
          <w:tcPr>
            <w:tcW w:w="4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1,291</w:t>
            </w:r>
          </w:p>
        </w:tc>
        <w:tc>
          <w:tcPr>
            <w:tcW w:w="20" w:type="dxa"/>
            <w:vAlign w:val="bottom"/>
          </w:tcPr>
          <w:p>
            <w:pPr>
              <w:spacing w:after="0"/>
              <w:rPr>
                <w:sz w:val="17"/>
                <w:szCs w:val="17"/>
                <w:color w:val="auto"/>
              </w:rPr>
            </w:pPr>
          </w:p>
        </w:tc>
      </w:tr>
      <w:tr>
        <w:trPr>
          <w:trHeight w:val="187"/>
        </w:trPr>
        <w:tc>
          <w:tcPr>
            <w:tcW w:w="4980" w:type="dxa"/>
            <w:vAlign w:val="bottom"/>
            <w:shd w:val="clear" w:color="auto" w:fill="CCEEFF"/>
          </w:tcPr>
          <w:p>
            <w:pPr>
              <w:spacing w:after="0"/>
              <w:rPr>
                <w:sz w:val="20"/>
                <w:szCs w:val="20"/>
                <w:color w:val="auto"/>
              </w:rPr>
            </w:pPr>
            <w:r>
              <w:rPr>
                <w:rFonts w:ascii="Arial" w:cs="Arial" w:eastAsia="Arial" w:hAnsi="Arial"/>
                <w:sz w:val="15"/>
                <w:szCs w:val="15"/>
                <w:color w:val="auto"/>
              </w:rPr>
              <w:t>Gross margin</w:t>
            </w:r>
          </w:p>
        </w:tc>
        <w:tc>
          <w:tcPr>
            <w:tcW w:w="188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203"/>
              <w:spacing w:after="0"/>
              <w:rPr>
                <w:sz w:val="20"/>
                <w:szCs w:val="20"/>
                <w:color w:val="auto"/>
              </w:rPr>
            </w:pPr>
            <w:r>
              <w:rPr>
                <w:rFonts w:ascii="Arial" w:cs="Arial" w:eastAsia="Arial" w:hAnsi="Arial"/>
                <w:sz w:val="15"/>
                <w:szCs w:val="15"/>
                <w:b w:val="1"/>
                <w:bCs w:val="1"/>
                <w:color w:val="auto"/>
              </w:rPr>
              <w:t>680</w:t>
            </w:r>
          </w:p>
        </w:tc>
        <w:tc>
          <w:tcPr>
            <w:tcW w:w="4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696</w:t>
            </w:r>
          </w:p>
        </w:tc>
        <w:tc>
          <w:tcPr>
            <w:tcW w:w="20" w:type="dxa"/>
            <w:vAlign w:val="bottom"/>
          </w:tcPr>
          <w:p>
            <w:pPr>
              <w:spacing w:after="0"/>
              <w:rPr>
                <w:sz w:val="16"/>
                <w:szCs w:val="16"/>
                <w:color w:val="auto"/>
              </w:rPr>
            </w:pPr>
          </w:p>
        </w:tc>
      </w:tr>
      <w:tr>
        <w:trPr>
          <w:trHeight w:val="207"/>
        </w:trPr>
        <w:tc>
          <w:tcPr>
            <w:tcW w:w="49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7"/>
        </w:trPr>
        <w:tc>
          <w:tcPr>
            <w:tcW w:w="4980" w:type="dxa"/>
            <w:vAlign w:val="bottom"/>
            <w:shd w:val="clear" w:color="auto" w:fill="CCEEFF"/>
          </w:tcPr>
          <w:p>
            <w:pPr>
              <w:spacing w:after="0"/>
              <w:rPr>
                <w:sz w:val="20"/>
                <w:szCs w:val="20"/>
                <w:color w:val="auto"/>
              </w:rPr>
            </w:pPr>
            <w:r>
              <w:rPr>
                <w:rFonts w:ascii="Arial" w:cs="Arial" w:eastAsia="Arial" w:hAnsi="Arial"/>
                <w:sz w:val="15"/>
                <w:szCs w:val="15"/>
                <w:color w:val="auto"/>
              </w:rPr>
              <w:t>Selling, general and administrative expenses</w:t>
            </w:r>
          </w:p>
        </w:tc>
        <w:tc>
          <w:tcPr>
            <w:tcW w:w="18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203"/>
              <w:spacing w:after="0"/>
              <w:rPr>
                <w:sz w:val="20"/>
                <w:szCs w:val="20"/>
                <w:color w:val="auto"/>
              </w:rPr>
            </w:pPr>
            <w:r>
              <w:rPr>
                <w:rFonts w:ascii="Arial" w:cs="Arial" w:eastAsia="Arial" w:hAnsi="Arial"/>
                <w:sz w:val="15"/>
                <w:szCs w:val="15"/>
                <w:b w:val="1"/>
                <w:bCs w:val="1"/>
                <w:color w:val="auto"/>
              </w:rPr>
              <w:t>371</w:t>
            </w:r>
          </w:p>
        </w:tc>
        <w:tc>
          <w:tcPr>
            <w:tcW w:w="4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361</w:t>
            </w:r>
          </w:p>
        </w:tc>
        <w:tc>
          <w:tcPr>
            <w:tcW w:w="20" w:type="dxa"/>
            <w:vAlign w:val="bottom"/>
          </w:tcPr>
          <w:p>
            <w:pPr>
              <w:spacing w:after="0"/>
              <w:rPr>
                <w:sz w:val="17"/>
                <w:szCs w:val="17"/>
                <w:color w:val="auto"/>
              </w:rPr>
            </w:pPr>
          </w:p>
        </w:tc>
      </w:tr>
      <w:tr>
        <w:trPr>
          <w:trHeight w:val="207"/>
        </w:trPr>
        <w:tc>
          <w:tcPr>
            <w:tcW w:w="49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Depreciation and amortization</w:t>
            </w:r>
          </w:p>
        </w:tc>
        <w:tc>
          <w:tcPr>
            <w:tcW w:w="18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b w:val="1"/>
                <w:bCs w:val="1"/>
                <w:color w:val="auto"/>
              </w:rPr>
              <w:t>41</w:t>
            </w:r>
          </w:p>
        </w:tc>
        <w:tc>
          <w:tcPr>
            <w:tcW w:w="4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w:t>
            </w:r>
          </w:p>
        </w:tc>
        <w:tc>
          <w:tcPr>
            <w:tcW w:w="20" w:type="dxa"/>
            <w:vAlign w:val="bottom"/>
          </w:tcPr>
          <w:p>
            <w:pPr>
              <w:spacing w:after="0"/>
              <w:rPr>
                <w:sz w:val="17"/>
                <w:szCs w:val="17"/>
                <w:color w:val="auto"/>
              </w:rPr>
            </w:pPr>
          </w:p>
        </w:tc>
      </w:tr>
      <w:tr>
        <w:trPr>
          <w:trHeight w:val="187"/>
        </w:trPr>
        <w:tc>
          <w:tcPr>
            <w:tcW w:w="4980" w:type="dxa"/>
            <w:vAlign w:val="bottom"/>
            <w:shd w:val="clear" w:color="auto" w:fill="CCEEFF"/>
          </w:tcPr>
          <w:p>
            <w:pPr>
              <w:spacing w:after="0"/>
              <w:rPr>
                <w:sz w:val="20"/>
                <w:szCs w:val="20"/>
                <w:color w:val="auto"/>
              </w:rPr>
            </w:pPr>
            <w:r>
              <w:rPr>
                <w:rFonts w:ascii="Arial" w:cs="Arial" w:eastAsia="Arial" w:hAnsi="Arial"/>
                <w:sz w:val="15"/>
                <w:szCs w:val="15"/>
                <w:color w:val="auto"/>
              </w:rPr>
              <w:t>Income from operations</w:t>
            </w:r>
          </w:p>
        </w:tc>
        <w:tc>
          <w:tcPr>
            <w:tcW w:w="188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203"/>
              <w:spacing w:after="0"/>
              <w:rPr>
                <w:sz w:val="20"/>
                <w:szCs w:val="20"/>
                <w:color w:val="auto"/>
              </w:rPr>
            </w:pPr>
            <w:r>
              <w:rPr>
                <w:rFonts w:ascii="Arial" w:cs="Arial" w:eastAsia="Arial" w:hAnsi="Arial"/>
                <w:sz w:val="15"/>
                <w:szCs w:val="15"/>
                <w:b w:val="1"/>
                <w:bCs w:val="1"/>
                <w:color w:val="auto"/>
              </w:rPr>
              <w:t>268</w:t>
            </w:r>
          </w:p>
        </w:tc>
        <w:tc>
          <w:tcPr>
            <w:tcW w:w="4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296</w:t>
            </w:r>
          </w:p>
        </w:tc>
        <w:tc>
          <w:tcPr>
            <w:tcW w:w="20" w:type="dxa"/>
            <w:vAlign w:val="bottom"/>
          </w:tcPr>
          <w:p>
            <w:pPr>
              <w:spacing w:after="0"/>
              <w:rPr>
                <w:sz w:val="16"/>
                <w:szCs w:val="16"/>
                <w:color w:val="auto"/>
              </w:rPr>
            </w:pPr>
          </w:p>
        </w:tc>
      </w:tr>
      <w:tr>
        <w:trPr>
          <w:trHeight w:val="207"/>
        </w:trPr>
        <w:tc>
          <w:tcPr>
            <w:tcW w:w="49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gridSpan w:val="2"/>
          </w:tcPr>
          <w:p>
            <w:pPr>
              <w:spacing w:after="0"/>
              <w:rPr>
                <w:sz w:val="17"/>
                <w:szCs w:val="17"/>
                <w:color w:val="auto"/>
              </w:rPr>
            </w:pPr>
          </w:p>
        </w:tc>
      </w:tr>
      <w:tr>
        <w:trPr>
          <w:trHeight w:val="207"/>
        </w:trPr>
        <w:tc>
          <w:tcPr>
            <w:tcW w:w="4980" w:type="dxa"/>
            <w:vAlign w:val="bottom"/>
            <w:shd w:val="clear" w:color="auto" w:fill="CCEEFF"/>
          </w:tcPr>
          <w:p>
            <w:pPr>
              <w:spacing w:after="0"/>
              <w:rPr>
                <w:sz w:val="20"/>
                <w:szCs w:val="20"/>
                <w:color w:val="auto"/>
              </w:rPr>
            </w:pPr>
            <w:r>
              <w:rPr>
                <w:rFonts w:ascii="Arial" w:cs="Arial" w:eastAsia="Arial" w:hAnsi="Arial"/>
                <w:sz w:val="15"/>
                <w:szCs w:val="15"/>
                <w:color w:val="auto"/>
              </w:rPr>
              <w:t>Interest expense, net</w:t>
            </w:r>
          </w:p>
        </w:tc>
        <w:tc>
          <w:tcPr>
            <w:tcW w:w="18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63"/>
              <w:spacing w:after="0"/>
              <w:rPr>
                <w:sz w:val="20"/>
                <w:szCs w:val="20"/>
                <w:color w:val="auto"/>
              </w:rPr>
            </w:pPr>
            <w:r>
              <w:rPr>
                <w:rFonts w:ascii="Arial" w:cs="Arial" w:eastAsia="Arial" w:hAnsi="Arial"/>
                <w:sz w:val="15"/>
                <w:szCs w:val="15"/>
                <w:b w:val="1"/>
                <w:bCs w:val="1"/>
                <w:color w:val="auto"/>
              </w:rPr>
              <w:t>—</w:t>
            </w:r>
          </w:p>
        </w:tc>
        <w:tc>
          <w:tcPr>
            <w:tcW w:w="4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r>
      <w:tr>
        <w:trPr>
          <w:trHeight w:val="207"/>
        </w:trPr>
        <w:tc>
          <w:tcPr>
            <w:tcW w:w="4980" w:type="dxa"/>
            <w:vAlign w:val="bottom"/>
          </w:tcPr>
          <w:p>
            <w:pPr>
              <w:spacing w:after="0"/>
              <w:rPr>
                <w:sz w:val="20"/>
                <w:szCs w:val="20"/>
                <w:color w:val="auto"/>
              </w:rPr>
            </w:pPr>
            <w:r>
              <w:rPr>
                <w:rFonts w:ascii="Arial" w:cs="Arial" w:eastAsia="Arial" w:hAnsi="Arial"/>
                <w:sz w:val="15"/>
                <w:szCs w:val="15"/>
                <w:color w:val="auto"/>
              </w:rPr>
              <w:t>Other income</w:t>
            </w:r>
          </w:p>
        </w:tc>
        <w:tc>
          <w:tcPr>
            <w:tcW w:w="1880" w:type="dxa"/>
            <w:vAlign w:val="bottom"/>
          </w:tcPr>
          <w:p>
            <w:pPr>
              <w:spacing w:after="0"/>
              <w:rPr>
                <w:sz w:val="17"/>
                <w:szCs w:val="17"/>
                <w:color w:val="auto"/>
              </w:rPr>
            </w:pPr>
          </w:p>
        </w:tc>
        <w:tc>
          <w:tcPr>
            <w:tcW w:w="680" w:type="dxa"/>
            <w:vAlign w:val="bottom"/>
          </w:tcPr>
          <w:p>
            <w:pPr>
              <w:jc w:val="right"/>
              <w:ind w:right="163"/>
              <w:spacing w:after="0"/>
              <w:rPr>
                <w:sz w:val="20"/>
                <w:szCs w:val="20"/>
                <w:color w:val="auto"/>
              </w:rPr>
            </w:pPr>
            <w:r>
              <w:rPr>
                <w:rFonts w:ascii="Arial" w:cs="Arial" w:eastAsia="Arial" w:hAnsi="Arial"/>
                <w:sz w:val="15"/>
                <w:szCs w:val="15"/>
                <w:b w:val="1"/>
                <w:bCs w:val="1"/>
                <w:color w:val="auto"/>
              </w:rPr>
              <w:t>(1)</w:t>
            </w:r>
          </w:p>
        </w:tc>
        <w:tc>
          <w:tcPr>
            <w:tcW w:w="420" w:type="dxa"/>
            <w:vAlign w:val="bottom"/>
          </w:tcPr>
          <w:p>
            <w:pPr>
              <w:spacing w:after="0"/>
              <w:rPr>
                <w:sz w:val="17"/>
                <w:szCs w:val="17"/>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5"/>
                <w:szCs w:val="15"/>
                <w:color w:val="auto"/>
              </w:rPr>
              <w:t>(2)</w:t>
            </w:r>
          </w:p>
        </w:tc>
      </w:tr>
      <w:tr>
        <w:trPr>
          <w:trHeight w:val="187"/>
        </w:trPr>
        <w:tc>
          <w:tcPr>
            <w:tcW w:w="4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Income before income taxes</w:t>
            </w:r>
          </w:p>
        </w:tc>
        <w:tc>
          <w:tcPr>
            <w:tcW w:w="18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b w:val="1"/>
                <w:bCs w:val="1"/>
                <w:color w:val="auto"/>
              </w:rPr>
              <w:t>269</w:t>
            </w:r>
          </w:p>
        </w:tc>
        <w:tc>
          <w:tcPr>
            <w:tcW w:w="4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298</w:t>
            </w:r>
          </w:p>
        </w:tc>
        <w:tc>
          <w:tcPr>
            <w:tcW w:w="20" w:type="dxa"/>
            <w:vAlign w:val="bottom"/>
          </w:tcPr>
          <w:p>
            <w:pPr>
              <w:spacing w:after="0"/>
              <w:rPr>
                <w:sz w:val="16"/>
                <w:szCs w:val="16"/>
                <w:color w:val="auto"/>
              </w:rPr>
            </w:pPr>
          </w:p>
        </w:tc>
      </w:tr>
      <w:tr>
        <w:trPr>
          <w:trHeight w:val="207"/>
        </w:trPr>
        <w:tc>
          <w:tcPr>
            <w:tcW w:w="49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Income tax expense</w:t>
            </w:r>
          </w:p>
        </w:tc>
        <w:tc>
          <w:tcPr>
            <w:tcW w:w="18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b w:val="1"/>
                <w:bCs w:val="1"/>
                <w:color w:val="auto"/>
              </w:rPr>
              <w:t>89</w:t>
            </w:r>
          </w:p>
        </w:tc>
        <w:tc>
          <w:tcPr>
            <w:tcW w:w="4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107</w:t>
            </w:r>
          </w:p>
        </w:tc>
        <w:tc>
          <w:tcPr>
            <w:tcW w:w="20" w:type="dxa"/>
            <w:vAlign w:val="bottom"/>
          </w:tcPr>
          <w:p>
            <w:pPr>
              <w:spacing w:after="0"/>
              <w:rPr>
                <w:sz w:val="17"/>
                <w:szCs w:val="17"/>
                <w:color w:val="auto"/>
              </w:rPr>
            </w:pPr>
          </w:p>
        </w:tc>
      </w:tr>
      <w:tr>
        <w:trPr>
          <w:trHeight w:val="179"/>
        </w:trPr>
        <w:tc>
          <w:tcPr>
            <w:tcW w:w="4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rPr>
              <w:t>Net income</w:t>
            </w:r>
          </w:p>
        </w:tc>
        <w:tc>
          <w:tcPr>
            <w:tcW w:w="1880" w:type="dxa"/>
            <w:vAlign w:val="bottom"/>
            <w:tcBorders>
              <w:bottom w:val="single" w:sz="8" w:color="auto"/>
            </w:tcBorders>
            <w:shd w:val="clear" w:color="auto" w:fill="CCEEFF"/>
          </w:tcPr>
          <w:p>
            <w:pPr>
              <w:jc w:val="right"/>
              <w:ind w:right="703"/>
              <w:spacing w:after="0"/>
              <w:rPr>
                <w:sz w:val="20"/>
                <w:szCs w:val="20"/>
                <w:color w:val="auto"/>
              </w:rPr>
            </w:pPr>
            <w:r>
              <w:rPr>
                <w:rFonts w:ascii="Arial" w:cs="Arial" w:eastAsia="Arial" w:hAnsi="Arial"/>
                <w:sz w:val="15"/>
                <w:szCs w:val="15"/>
                <w:b w:val="1"/>
                <w:bCs w:val="1"/>
                <w:color w:val="auto"/>
              </w:rPr>
              <w:t>$</w:t>
            </w:r>
          </w:p>
        </w:tc>
        <w:tc>
          <w:tcPr>
            <w:tcW w:w="68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b w:val="1"/>
                <w:bCs w:val="1"/>
                <w:color w:val="auto"/>
              </w:rPr>
              <w:t>180</w:t>
            </w:r>
          </w:p>
        </w:tc>
        <w:tc>
          <w:tcPr>
            <w:tcW w:w="4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191</w:t>
            </w:r>
          </w:p>
        </w:tc>
        <w:tc>
          <w:tcPr>
            <w:tcW w:w="20" w:type="dxa"/>
            <w:vAlign w:val="bottom"/>
          </w:tcPr>
          <w:p>
            <w:pPr>
              <w:spacing w:after="0"/>
              <w:rPr>
                <w:sz w:val="15"/>
                <w:szCs w:val="15"/>
                <w:color w:val="auto"/>
              </w:rPr>
            </w:pPr>
          </w:p>
        </w:tc>
      </w:tr>
      <w:tr>
        <w:trPr>
          <w:trHeight w:val="195"/>
        </w:trPr>
        <w:tc>
          <w:tcPr>
            <w:tcW w:w="49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7"/>
        </w:trPr>
        <w:tc>
          <w:tcPr>
            <w:tcW w:w="4980" w:type="dxa"/>
            <w:vAlign w:val="bottom"/>
            <w:shd w:val="clear" w:color="auto" w:fill="CCEEFF"/>
          </w:tcPr>
          <w:p>
            <w:pPr>
              <w:ind w:left="100"/>
              <w:spacing w:after="0"/>
              <w:rPr>
                <w:sz w:val="20"/>
                <w:szCs w:val="20"/>
                <w:color w:val="auto"/>
              </w:rPr>
            </w:pPr>
            <w:r>
              <w:rPr>
                <w:rFonts w:ascii="Arial" w:cs="Arial" w:eastAsia="Arial" w:hAnsi="Arial"/>
                <w:sz w:val="15"/>
                <w:szCs w:val="15"/>
                <w:color w:val="auto"/>
              </w:rPr>
              <w:t>Basic earnings per share</w:t>
            </w:r>
          </w:p>
        </w:tc>
        <w:tc>
          <w:tcPr>
            <w:tcW w:w="1880" w:type="dxa"/>
            <w:vAlign w:val="bottom"/>
            <w:shd w:val="clear" w:color="auto" w:fill="CCEEFF"/>
          </w:tcPr>
          <w:p>
            <w:pPr>
              <w:jc w:val="right"/>
              <w:ind w:right="703"/>
              <w:spacing w:after="0"/>
              <w:rPr>
                <w:sz w:val="20"/>
                <w:szCs w:val="20"/>
                <w:color w:val="auto"/>
              </w:rPr>
            </w:pPr>
            <w:r>
              <w:rPr>
                <w:rFonts w:ascii="Arial" w:cs="Arial" w:eastAsia="Arial" w:hAnsi="Arial"/>
                <w:sz w:val="15"/>
                <w:szCs w:val="15"/>
                <w:b w:val="1"/>
                <w:bCs w:val="1"/>
                <w:color w:val="auto"/>
              </w:rPr>
              <w:t>$</w:t>
            </w:r>
          </w:p>
        </w:tc>
        <w:tc>
          <w:tcPr>
            <w:tcW w:w="680" w:type="dxa"/>
            <w:vAlign w:val="bottom"/>
            <w:shd w:val="clear" w:color="auto" w:fill="CCEEFF"/>
          </w:tcPr>
          <w:p>
            <w:pPr>
              <w:jc w:val="right"/>
              <w:ind w:right="203"/>
              <w:spacing w:after="0"/>
              <w:rPr>
                <w:sz w:val="20"/>
                <w:szCs w:val="20"/>
                <w:color w:val="auto"/>
              </w:rPr>
            </w:pPr>
            <w:r>
              <w:rPr>
                <w:rFonts w:ascii="Arial" w:cs="Arial" w:eastAsia="Arial" w:hAnsi="Arial"/>
                <w:sz w:val="15"/>
                <w:szCs w:val="15"/>
                <w:b w:val="1"/>
                <w:bCs w:val="1"/>
                <w:color w:val="auto"/>
              </w:rPr>
              <w:t>1.37</w:t>
            </w:r>
          </w:p>
        </w:tc>
        <w:tc>
          <w:tcPr>
            <w:tcW w:w="4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1.40</w:t>
            </w:r>
          </w:p>
        </w:tc>
        <w:tc>
          <w:tcPr>
            <w:tcW w:w="20" w:type="dxa"/>
            <w:vAlign w:val="bottom"/>
          </w:tcPr>
          <w:p>
            <w:pPr>
              <w:spacing w:after="0"/>
              <w:rPr>
                <w:sz w:val="17"/>
                <w:szCs w:val="17"/>
                <w:color w:val="auto"/>
              </w:rPr>
            </w:pPr>
          </w:p>
        </w:tc>
      </w:tr>
      <w:tr>
        <w:trPr>
          <w:trHeight w:val="207"/>
        </w:trPr>
        <w:tc>
          <w:tcPr>
            <w:tcW w:w="4980" w:type="dxa"/>
            <w:vAlign w:val="bottom"/>
          </w:tcPr>
          <w:p>
            <w:pPr>
              <w:ind w:left="100"/>
              <w:spacing w:after="0"/>
              <w:rPr>
                <w:sz w:val="20"/>
                <w:szCs w:val="20"/>
                <w:color w:val="auto"/>
              </w:rPr>
            </w:pPr>
            <w:r>
              <w:rPr>
                <w:rFonts w:ascii="Arial" w:cs="Arial" w:eastAsia="Arial" w:hAnsi="Arial"/>
                <w:sz w:val="15"/>
                <w:szCs w:val="15"/>
                <w:color w:val="auto"/>
              </w:rPr>
              <w:t>Weighted-average shares outstanding</w:t>
            </w:r>
          </w:p>
        </w:tc>
        <w:tc>
          <w:tcPr>
            <w:tcW w:w="1880" w:type="dxa"/>
            <w:vAlign w:val="bottom"/>
          </w:tcPr>
          <w:p>
            <w:pPr>
              <w:spacing w:after="0"/>
              <w:rPr>
                <w:sz w:val="17"/>
                <w:szCs w:val="17"/>
                <w:color w:val="auto"/>
              </w:rPr>
            </w:pPr>
          </w:p>
        </w:tc>
        <w:tc>
          <w:tcPr>
            <w:tcW w:w="680" w:type="dxa"/>
            <w:vAlign w:val="bottom"/>
          </w:tcPr>
          <w:p>
            <w:pPr>
              <w:jc w:val="right"/>
              <w:ind w:right="203"/>
              <w:spacing w:after="0"/>
              <w:rPr>
                <w:sz w:val="20"/>
                <w:szCs w:val="20"/>
                <w:color w:val="auto"/>
              </w:rPr>
            </w:pPr>
            <w:r>
              <w:rPr>
                <w:rFonts w:ascii="Arial" w:cs="Arial" w:eastAsia="Arial" w:hAnsi="Arial"/>
                <w:sz w:val="15"/>
                <w:szCs w:val="15"/>
                <w:b w:val="1"/>
                <w:bCs w:val="1"/>
                <w:color w:val="auto"/>
              </w:rPr>
              <w:t>131.4</w:t>
            </w:r>
          </w:p>
        </w:tc>
        <w:tc>
          <w:tcPr>
            <w:tcW w:w="4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136.5</w:t>
            </w:r>
          </w:p>
        </w:tc>
        <w:tc>
          <w:tcPr>
            <w:tcW w:w="20" w:type="dxa"/>
            <w:vAlign w:val="bottom"/>
          </w:tcPr>
          <w:p>
            <w:pPr>
              <w:spacing w:after="0"/>
              <w:rPr>
                <w:sz w:val="17"/>
                <w:szCs w:val="17"/>
                <w:color w:val="auto"/>
              </w:rPr>
            </w:pPr>
          </w:p>
        </w:tc>
      </w:tr>
      <w:tr>
        <w:trPr>
          <w:trHeight w:val="207"/>
        </w:trPr>
        <w:tc>
          <w:tcPr>
            <w:tcW w:w="498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7"/>
        </w:trPr>
        <w:tc>
          <w:tcPr>
            <w:tcW w:w="4980" w:type="dxa"/>
            <w:vAlign w:val="bottom"/>
          </w:tcPr>
          <w:p>
            <w:pPr>
              <w:ind w:left="100"/>
              <w:spacing w:after="0"/>
              <w:rPr>
                <w:sz w:val="20"/>
                <w:szCs w:val="20"/>
                <w:color w:val="auto"/>
              </w:rPr>
            </w:pPr>
            <w:r>
              <w:rPr>
                <w:rFonts w:ascii="Arial" w:cs="Arial" w:eastAsia="Arial" w:hAnsi="Arial"/>
                <w:sz w:val="15"/>
                <w:szCs w:val="15"/>
                <w:color w:val="auto"/>
              </w:rPr>
              <w:t>Diluted earnings per share</w:t>
            </w:r>
          </w:p>
        </w:tc>
        <w:tc>
          <w:tcPr>
            <w:tcW w:w="1880" w:type="dxa"/>
            <w:vAlign w:val="bottom"/>
          </w:tcPr>
          <w:p>
            <w:pPr>
              <w:jc w:val="right"/>
              <w:ind w:right="703"/>
              <w:spacing w:after="0"/>
              <w:rPr>
                <w:sz w:val="20"/>
                <w:szCs w:val="20"/>
                <w:color w:val="auto"/>
              </w:rPr>
            </w:pPr>
            <w:r>
              <w:rPr>
                <w:rFonts w:ascii="Arial" w:cs="Arial" w:eastAsia="Arial" w:hAnsi="Arial"/>
                <w:sz w:val="15"/>
                <w:szCs w:val="15"/>
                <w:b w:val="1"/>
                <w:bCs w:val="1"/>
                <w:color w:val="auto"/>
              </w:rPr>
              <w:t>$</w:t>
            </w:r>
          </w:p>
        </w:tc>
        <w:tc>
          <w:tcPr>
            <w:tcW w:w="680" w:type="dxa"/>
            <w:vAlign w:val="bottom"/>
          </w:tcPr>
          <w:p>
            <w:pPr>
              <w:jc w:val="right"/>
              <w:ind w:right="203"/>
              <w:spacing w:after="0"/>
              <w:rPr>
                <w:sz w:val="20"/>
                <w:szCs w:val="20"/>
                <w:color w:val="auto"/>
              </w:rPr>
            </w:pPr>
            <w:r>
              <w:rPr>
                <w:rFonts w:ascii="Arial" w:cs="Arial" w:eastAsia="Arial" w:hAnsi="Arial"/>
                <w:sz w:val="15"/>
                <w:szCs w:val="15"/>
                <w:b w:val="1"/>
                <w:bCs w:val="1"/>
                <w:color w:val="auto"/>
              </w:rPr>
              <w:t>1.36</w:t>
            </w:r>
          </w:p>
        </w:tc>
        <w:tc>
          <w:tcPr>
            <w:tcW w:w="42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1.39</w:t>
            </w:r>
          </w:p>
        </w:tc>
        <w:tc>
          <w:tcPr>
            <w:tcW w:w="20" w:type="dxa"/>
            <w:vAlign w:val="bottom"/>
          </w:tcPr>
          <w:p>
            <w:pPr>
              <w:spacing w:after="0"/>
              <w:rPr>
                <w:sz w:val="17"/>
                <w:szCs w:val="17"/>
                <w:color w:val="auto"/>
              </w:rPr>
            </w:pPr>
          </w:p>
        </w:tc>
      </w:tr>
      <w:tr>
        <w:trPr>
          <w:trHeight w:val="207"/>
        </w:trPr>
        <w:tc>
          <w:tcPr>
            <w:tcW w:w="49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5"/>
                <w:szCs w:val="15"/>
                <w:color w:val="auto"/>
              </w:rPr>
              <w:t>Weighted-average shares outstanding, assuming dilution</w:t>
            </w:r>
          </w:p>
        </w:tc>
        <w:tc>
          <w:tcPr>
            <w:tcW w:w="18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b w:val="1"/>
                <w:bCs w:val="1"/>
                <w:color w:val="auto"/>
              </w:rPr>
              <w:t>132.6</w:t>
            </w:r>
          </w:p>
        </w:tc>
        <w:tc>
          <w:tcPr>
            <w:tcW w:w="4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137.8</w:t>
            </w:r>
          </w:p>
        </w:tc>
        <w:tc>
          <w:tcPr>
            <w:tcW w:w="20" w:type="dxa"/>
            <w:vAlign w:val="bottom"/>
          </w:tcPr>
          <w:p>
            <w:pPr>
              <w:spacing w:after="0"/>
              <w:rPr>
                <w:sz w:val="17"/>
                <w:szCs w:val="17"/>
                <w:color w:val="auto"/>
              </w:rPr>
            </w:pPr>
          </w:p>
        </w:tc>
      </w:tr>
    </w:tbl>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5817870" cy="482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116" w:right="1399" w:bottom="1440" w:gutter="0" w:footer="0" w:header="0"/>
        </w:sectPr>
      </w:pPr>
    </w:p>
    <w:bookmarkStart w:id="4" w:name="page5"/>
    <w:bookmarkEnd w:id="4"/>
    <w:p>
      <w:pPr>
        <w:jc w:val="center"/>
        <w:spacing w:after="0"/>
        <w:rPr>
          <w:sz w:val="20"/>
          <w:szCs w:val="20"/>
          <w:color w:val="auto"/>
        </w:rPr>
      </w:pPr>
      <w:r>
        <w:rPr>
          <w:rFonts w:ascii="Arial" w:cs="Arial" w:eastAsia="Arial" w:hAnsi="Arial"/>
          <w:sz w:val="15"/>
          <w:szCs w:val="15"/>
          <w:b w:val="1"/>
          <w:bCs w:val="1"/>
          <w:color w:val="auto"/>
        </w:rPr>
        <w:t>FOOT LOCKER,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CONDENSED CONSOLIDATED STATEMENTS OF COMPREHENSIVE INCOME</w:t>
      </w:r>
    </w:p>
    <w:p>
      <w:pPr>
        <w:jc w:val="center"/>
        <w:spacing w:after="0" w:line="236" w:lineRule="auto"/>
        <w:rPr>
          <w:sz w:val="20"/>
          <w:szCs w:val="20"/>
          <w:color w:val="auto"/>
        </w:rPr>
      </w:pPr>
      <w:r>
        <w:rPr>
          <w:rFonts w:ascii="Arial" w:cs="Arial" w:eastAsia="Arial" w:hAnsi="Arial"/>
          <w:sz w:val="15"/>
          <w:szCs w:val="15"/>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in millions)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740"/>
        <w:spacing w:after="0"/>
        <w:rPr>
          <w:sz w:val="20"/>
          <w:szCs w:val="20"/>
          <w:color w:val="auto"/>
        </w:rPr>
      </w:pPr>
      <w:r>
        <w:rPr>
          <w:rFonts w:ascii="Arial" w:cs="Arial" w:eastAsia="Arial" w:hAnsi="Arial"/>
          <w:sz w:val="15"/>
          <w:szCs w:val="15"/>
          <w:b w:val="1"/>
          <w:bCs w:val="1"/>
          <w:color w:val="auto"/>
        </w:rPr>
        <w:t>Thirteen weeks ended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500" w:type="dxa"/>
            <w:vAlign w:val="bottom"/>
            <w:tcBorders>
              <w:top w:val="single" w:sz="8" w:color="auto"/>
            </w:tcBorders>
          </w:tcPr>
          <w:p>
            <w:pPr>
              <w:spacing w:after="0"/>
              <w:rPr>
                <w:sz w:val="13"/>
                <w:szCs w:val="13"/>
                <w:color w:val="auto"/>
              </w:rPr>
            </w:pPr>
          </w:p>
        </w:tc>
        <w:tc>
          <w:tcPr>
            <w:tcW w:w="3580" w:type="dxa"/>
            <w:vAlign w:val="bottom"/>
            <w:tcBorders>
              <w:top w:val="single" w:sz="8" w:color="auto"/>
            </w:tcBorders>
          </w:tcPr>
          <w:p>
            <w:pPr>
              <w:jc w:val="center"/>
              <w:ind w:left="2783"/>
              <w:spacing w:after="0" w:line="151" w:lineRule="exact"/>
              <w:rPr>
                <w:sz w:val="20"/>
                <w:szCs w:val="20"/>
                <w:color w:val="auto"/>
              </w:rPr>
            </w:pPr>
            <w:r>
              <w:rPr>
                <w:rFonts w:ascii="Arial" w:cs="Arial" w:eastAsia="Arial" w:hAnsi="Arial"/>
                <w:sz w:val="15"/>
                <w:szCs w:val="15"/>
                <w:b w:val="1"/>
                <w:bCs w:val="1"/>
                <w:color w:val="auto"/>
              </w:rPr>
              <w:t>April 29,</w:t>
            </w:r>
          </w:p>
        </w:tc>
        <w:tc>
          <w:tcPr>
            <w:tcW w:w="54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center"/>
              <w:ind w:right="243"/>
              <w:spacing w:after="0" w:line="151" w:lineRule="exact"/>
              <w:rPr>
                <w:sz w:val="20"/>
                <w:szCs w:val="20"/>
                <w:color w:val="auto"/>
              </w:rPr>
            </w:pPr>
            <w:r>
              <w:rPr>
                <w:rFonts w:ascii="Arial" w:cs="Arial" w:eastAsia="Arial" w:hAnsi="Arial"/>
                <w:sz w:val="15"/>
                <w:szCs w:val="15"/>
                <w:b w:val="1"/>
                <w:bCs w:val="1"/>
                <w:color w:val="auto"/>
              </w:rPr>
              <w:t>April 30,</w:t>
            </w:r>
          </w:p>
        </w:tc>
      </w:tr>
      <w:tr>
        <w:trPr>
          <w:trHeight w:val="194"/>
        </w:trPr>
        <w:tc>
          <w:tcPr>
            <w:tcW w:w="350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rPr>
              <w:t>2017</w:t>
            </w:r>
          </w:p>
        </w:tc>
        <w:tc>
          <w:tcPr>
            <w:tcW w:w="5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63"/>
              <w:spacing w:after="0"/>
              <w:rPr>
                <w:sz w:val="20"/>
                <w:szCs w:val="20"/>
                <w:color w:val="auto"/>
              </w:rPr>
            </w:pPr>
            <w:r>
              <w:rPr>
                <w:rFonts w:ascii="Arial" w:cs="Arial" w:eastAsia="Arial" w:hAnsi="Arial"/>
                <w:sz w:val="15"/>
                <w:szCs w:val="15"/>
                <w:b w:val="1"/>
                <w:bCs w:val="1"/>
                <w:color w:val="auto"/>
              </w:rPr>
              <w:t>2016</w:t>
            </w:r>
          </w:p>
        </w:tc>
      </w:tr>
      <w:tr>
        <w:trPr>
          <w:trHeight w:val="187"/>
        </w:trPr>
        <w:tc>
          <w:tcPr>
            <w:tcW w:w="35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Net income</w:t>
            </w:r>
          </w:p>
        </w:tc>
        <w:tc>
          <w:tcPr>
            <w:tcW w:w="3580" w:type="dxa"/>
            <w:vAlign w:val="bottom"/>
            <w:shd w:val="clear" w:color="auto" w:fill="CCEEFF"/>
          </w:tcPr>
          <w:p>
            <w:pPr>
              <w:jc w:val="right"/>
              <w:ind w:right="743"/>
              <w:spacing w:after="0"/>
              <w:rPr>
                <w:sz w:val="20"/>
                <w:szCs w:val="20"/>
                <w:color w:val="auto"/>
              </w:rPr>
            </w:pPr>
            <w:r>
              <w:rPr>
                <w:rFonts w:ascii="Arial" w:cs="Arial" w:eastAsia="Arial" w:hAnsi="Arial"/>
                <w:sz w:val="15"/>
                <w:szCs w:val="15"/>
                <w:b w:val="1"/>
                <w:bCs w:val="1"/>
                <w:color w:val="auto"/>
              </w:rPr>
              <w:t>$</w:t>
            </w:r>
          </w:p>
        </w:tc>
        <w:tc>
          <w:tcPr>
            <w:tcW w:w="54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180</w:t>
            </w:r>
          </w:p>
        </w:tc>
        <w:tc>
          <w:tcPr>
            <w:tcW w:w="4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191</w:t>
            </w: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40" w:type="dxa"/>
            <w:vAlign w:val="bottom"/>
            <w:shd w:val="clear" w:color="auto" w:fill="CCEEFF"/>
          </w:tcPr>
          <w:p>
            <w:pPr>
              <w:spacing w:after="0"/>
              <w:rPr>
                <w:sz w:val="20"/>
                <w:szCs w:val="20"/>
                <w:color w:val="auto"/>
              </w:rPr>
            </w:pPr>
            <w:r>
              <w:rPr>
                <w:rFonts w:ascii="Arial" w:cs="Arial" w:eastAsia="Arial" w:hAnsi="Arial"/>
                <w:sz w:val="15"/>
                <w:szCs w:val="15"/>
                <w:color w:val="auto"/>
              </w:rPr>
              <w:t>Other comprehensive income, net of income tax:</w:t>
            </w:r>
          </w:p>
        </w:tc>
        <w:tc>
          <w:tcPr>
            <w:tcW w:w="9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7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740" w:type="dxa"/>
            <w:vAlign w:val="bottom"/>
            <w:shd w:val="clear" w:color="auto" w:fill="CCEEFF"/>
          </w:tcPr>
          <w:p>
            <w:pPr>
              <w:ind w:left="100"/>
              <w:spacing w:after="0"/>
              <w:rPr>
                <w:sz w:val="20"/>
                <w:szCs w:val="20"/>
                <w:color w:val="auto"/>
              </w:rPr>
            </w:pPr>
            <w:r>
              <w:rPr>
                <w:rFonts w:ascii="Arial" w:cs="Arial" w:eastAsia="Arial" w:hAnsi="Arial"/>
                <w:sz w:val="15"/>
                <w:szCs w:val="15"/>
                <w:i w:val="1"/>
                <w:iCs w:val="1"/>
                <w:color w:val="auto"/>
              </w:rPr>
              <w:t>Foreign currency translation adjustment:</w:t>
            </w:r>
          </w:p>
        </w:tc>
        <w:tc>
          <w:tcPr>
            <w:tcW w:w="9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740" w:type="dxa"/>
            <w:vAlign w:val="bottom"/>
          </w:tcPr>
          <w:p>
            <w:pPr>
              <w:ind w:left="200"/>
              <w:spacing w:after="0"/>
              <w:rPr>
                <w:sz w:val="20"/>
                <w:szCs w:val="20"/>
                <w:color w:val="auto"/>
              </w:rPr>
            </w:pPr>
            <w:r>
              <w:rPr>
                <w:rFonts w:ascii="Arial" w:cs="Arial" w:eastAsia="Arial" w:hAnsi="Arial"/>
                <w:sz w:val="15"/>
                <w:szCs w:val="15"/>
                <w:color w:val="auto"/>
              </w:rPr>
              <w:t>Translation adjustment arising during the period, net of income tax</w:t>
            </w:r>
          </w:p>
        </w:tc>
        <w:tc>
          <w:tcPr>
            <w:tcW w:w="960" w:type="dxa"/>
            <w:vAlign w:val="bottom"/>
          </w:tcPr>
          <w:p>
            <w:pPr>
              <w:spacing w:after="0"/>
              <w:rPr>
                <w:sz w:val="19"/>
                <w:szCs w:val="19"/>
                <w:color w:val="auto"/>
              </w:rPr>
            </w:pPr>
          </w:p>
        </w:tc>
        <w:tc>
          <w:tcPr>
            <w:tcW w:w="940" w:type="dxa"/>
            <w:vAlign w:val="bottom"/>
          </w:tcPr>
          <w:p>
            <w:pPr>
              <w:jc w:val="right"/>
              <w:ind w:right="163"/>
              <w:spacing w:after="0"/>
              <w:rPr>
                <w:sz w:val="20"/>
                <w:szCs w:val="20"/>
                <w:color w:val="auto"/>
              </w:rPr>
            </w:pPr>
            <w:r>
              <w:rPr>
                <w:rFonts w:ascii="Arial" w:cs="Arial" w:eastAsia="Arial" w:hAnsi="Arial"/>
                <w:sz w:val="15"/>
                <w:szCs w:val="15"/>
                <w:b w:val="1"/>
                <w:bCs w:val="1"/>
                <w:color w:val="auto"/>
              </w:rPr>
              <w:t>4</w:t>
            </w:r>
          </w:p>
        </w:tc>
        <w:tc>
          <w:tcPr>
            <w:tcW w:w="7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44</w:t>
            </w:r>
          </w:p>
        </w:tc>
        <w:tc>
          <w:tcPr>
            <w:tcW w:w="0" w:type="dxa"/>
            <w:vAlign w:val="bottom"/>
          </w:tcPr>
          <w:p>
            <w:pPr>
              <w:spacing w:after="0"/>
              <w:rPr>
                <w:sz w:val="1"/>
                <w:szCs w:val="1"/>
                <w:color w:val="auto"/>
              </w:rPr>
            </w:pPr>
          </w:p>
        </w:tc>
      </w:tr>
      <w:tr>
        <w:trPr>
          <w:trHeight w:val="207"/>
        </w:trPr>
        <w:tc>
          <w:tcPr>
            <w:tcW w:w="57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740" w:type="dxa"/>
            <w:vAlign w:val="bottom"/>
          </w:tcPr>
          <w:p>
            <w:pPr>
              <w:ind w:left="100"/>
              <w:spacing w:after="0"/>
              <w:rPr>
                <w:sz w:val="20"/>
                <w:szCs w:val="20"/>
                <w:color w:val="auto"/>
              </w:rPr>
            </w:pPr>
            <w:r>
              <w:rPr>
                <w:rFonts w:ascii="Arial" w:cs="Arial" w:eastAsia="Arial" w:hAnsi="Arial"/>
                <w:sz w:val="15"/>
                <w:szCs w:val="15"/>
                <w:i w:val="1"/>
                <w:iCs w:val="1"/>
                <w:color w:val="auto"/>
              </w:rPr>
              <w:t>Cash flow hedges:</w:t>
            </w: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7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Change in fair value of derivatives, net of income tax</w:t>
            </w:r>
          </w:p>
        </w:tc>
        <w:tc>
          <w:tcPr>
            <w:tcW w:w="9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23"/>
              <w:spacing w:after="0"/>
              <w:rPr>
                <w:sz w:val="20"/>
                <w:szCs w:val="20"/>
                <w:color w:val="auto"/>
              </w:rPr>
            </w:pPr>
            <w:r>
              <w:rPr>
                <w:rFonts w:ascii="Arial" w:cs="Arial" w:eastAsia="Arial" w:hAnsi="Arial"/>
                <w:sz w:val="15"/>
                <w:szCs w:val="15"/>
                <w:b w:val="1"/>
                <w:bCs w:val="1"/>
                <w:color w:val="auto"/>
              </w:rPr>
              <w:t>(1)</w:t>
            </w:r>
          </w:p>
        </w:tc>
        <w:tc>
          <w:tcPr>
            <w:tcW w:w="7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57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740" w:type="dxa"/>
            <w:vAlign w:val="bottom"/>
            <w:shd w:val="clear" w:color="auto" w:fill="CCEEFF"/>
          </w:tcPr>
          <w:p>
            <w:pPr>
              <w:ind w:left="100"/>
              <w:spacing w:after="0"/>
              <w:rPr>
                <w:sz w:val="20"/>
                <w:szCs w:val="20"/>
                <w:color w:val="auto"/>
              </w:rPr>
            </w:pPr>
            <w:r>
              <w:rPr>
                <w:rFonts w:ascii="Arial" w:cs="Arial" w:eastAsia="Arial" w:hAnsi="Arial"/>
                <w:sz w:val="15"/>
                <w:szCs w:val="15"/>
                <w:i w:val="1"/>
                <w:iCs w:val="1"/>
                <w:color w:val="auto"/>
              </w:rPr>
              <w:t>Pension and postretirement adjustments:</w:t>
            </w:r>
          </w:p>
        </w:tc>
        <w:tc>
          <w:tcPr>
            <w:tcW w:w="9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740" w:type="dxa"/>
            <w:vAlign w:val="bottom"/>
          </w:tcPr>
          <w:p>
            <w:pPr>
              <w:ind w:left="200"/>
              <w:spacing w:after="0"/>
              <w:rPr>
                <w:sz w:val="20"/>
                <w:szCs w:val="20"/>
                <w:color w:val="auto"/>
              </w:rPr>
            </w:pPr>
            <w:r>
              <w:rPr>
                <w:rFonts w:ascii="Arial" w:cs="Arial" w:eastAsia="Arial" w:hAnsi="Arial"/>
                <w:sz w:val="15"/>
                <w:szCs w:val="15"/>
                <w:color w:val="auto"/>
              </w:rPr>
              <w:t>Amortization of net actuarial gain/loss and prior service cost included in net</w:t>
            </w: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5740" w:type="dxa"/>
            <w:vAlign w:val="bottom"/>
          </w:tcPr>
          <w:p>
            <w:pPr>
              <w:ind w:left="300"/>
              <w:spacing w:after="0" w:line="170" w:lineRule="exact"/>
              <w:rPr>
                <w:sz w:val="20"/>
                <w:szCs w:val="20"/>
                <w:color w:val="auto"/>
              </w:rPr>
            </w:pPr>
            <w:r>
              <w:rPr>
                <w:rFonts w:ascii="Arial" w:cs="Arial" w:eastAsia="Arial" w:hAnsi="Arial"/>
                <w:sz w:val="15"/>
                <w:szCs w:val="15"/>
                <w:color w:val="auto"/>
              </w:rPr>
              <w:t>periodic benefit costs, net of income tax expense of $1 and $1 million,</w:t>
            </w:r>
          </w:p>
        </w:tc>
        <w:tc>
          <w:tcPr>
            <w:tcW w:w="960" w:type="dxa"/>
            <w:vAlign w:val="bottom"/>
          </w:tcPr>
          <w:p>
            <w:pPr>
              <w:spacing w:after="0"/>
              <w:rPr>
                <w:sz w:val="14"/>
                <w:szCs w:val="14"/>
                <w:color w:val="auto"/>
              </w:rPr>
            </w:pPr>
          </w:p>
        </w:tc>
        <w:tc>
          <w:tcPr>
            <w:tcW w:w="940" w:type="dxa"/>
            <w:vAlign w:val="bottom"/>
            <w:vMerge w:val="restart"/>
          </w:tcPr>
          <w:p>
            <w:pPr>
              <w:jc w:val="right"/>
              <w:ind w:right="163"/>
              <w:spacing w:after="0"/>
              <w:rPr>
                <w:sz w:val="20"/>
                <w:szCs w:val="20"/>
                <w:color w:val="auto"/>
              </w:rPr>
            </w:pPr>
            <w:r>
              <w:rPr>
                <w:rFonts w:ascii="Arial" w:cs="Arial" w:eastAsia="Arial" w:hAnsi="Arial"/>
                <w:sz w:val="15"/>
                <w:szCs w:val="15"/>
                <w:b w:val="1"/>
                <w:bCs w:val="1"/>
                <w:color w:val="auto"/>
              </w:rPr>
              <w:t>3</w:t>
            </w: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740" w:type="dxa"/>
            <w:vAlign w:val="bottom"/>
            <w:tcBorders>
              <w:bottom w:val="single" w:sz="8" w:color="auto"/>
            </w:tcBorders>
          </w:tcPr>
          <w:p>
            <w:pPr>
              <w:ind w:left="300"/>
              <w:spacing w:after="0"/>
              <w:rPr>
                <w:sz w:val="20"/>
                <w:szCs w:val="20"/>
                <w:color w:val="auto"/>
              </w:rPr>
            </w:pPr>
            <w:r>
              <w:rPr>
                <w:rFonts w:ascii="Arial" w:cs="Arial" w:eastAsia="Arial" w:hAnsi="Arial"/>
                <w:sz w:val="15"/>
                <w:szCs w:val="15"/>
                <w:color w:val="auto"/>
              </w:rPr>
              <w:t>respectively, and foreign currency fluctuations</w:t>
            </w:r>
          </w:p>
        </w:tc>
        <w:tc>
          <w:tcPr>
            <w:tcW w:w="9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79"/>
        </w:trPr>
        <w:tc>
          <w:tcPr>
            <w:tcW w:w="5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rPr>
              <w:t>Comprehensive income</w:t>
            </w:r>
          </w:p>
        </w:tc>
        <w:tc>
          <w:tcPr>
            <w:tcW w:w="960" w:type="dxa"/>
            <w:vAlign w:val="bottom"/>
            <w:tcBorders>
              <w:bottom w:val="single" w:sz="8" w:color="auto"/>
            </w:tcBorders>
            <w:shd w:val="clear" w:color="auto" w:fill="CCEEFF"/>
          </w:tcPr>
          <w:p>
            <w:pPr>
              <w:jc w:val="right"/>
              <w:ind w:right="363"/>
              <w:spacing w:after="0"/>
              <w:rPr>
                <w:sz w:val="20"/>
                <w:szCs w:val="20"/>
                <w:color w:val="auto"/>
              </w:rPr>
            </w:pPr>
            <w:r>
              <w:rPr>
                <w:rFonts w:ascii="Arial" w:cs="Arial" w:eastAsia="Arial" w:hAnsi="Arial"/>
                <w:sz w:val="15"/>
                <w:szCs w:val="15"/>
                <w:b w:val="1"/>
                <w:bCs w:val="1"/>
                <w:color w:val="auto"/>
              </w:rPr>
              <w:t>$</w:t>
            </w:r>
          </w:p>
        </w:tc>
        <w:tc>
          <w:tcPr>
            <w:tcW w:w="94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b w:val="1"/>
                <w:bCs w:val="1"/>
                <w:color w:val="auto"/>
              </w:rPr>
              <w:t>186</w:t>
            </w:r>
          </w:p>
        </w:tc>
        <w:tc>
          <w:tcPr>
            <w:tcW w:w="740" w:type="dxa"/>
            <w:vAlign w:val="bottom"/>
            <w:tcBorders>
              <w:bottom w:val="single" w:sz="8" w:color="auto"/>
            </w:tcBorders>
            <w:shd w:val="clear" w:color="auto" w:fill="CCEEFF"/>
          </w:tcPr>
          <w:p>
            <w:pPr>
              <w:jc w:val="right"/>
              <w:ind w:right="363"/>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234</w:t>
            </w:r>
          </w:p>
        </w:tc>
        <w:tc>
          <w:tcPr>
            <w:tcW w:w="0" w:type="dxa"/>
            <w:vAlign w:val="bottom"/>
          </w:tcPr>
          <w:p>
            <w:pPr>
              <w:spacing w:after="0"/>
              <w:rPr>
                <w:sz w:val="1"/>
                <w:szCs w:val="1"/>
                <w:color w:val="auto"/>
              </w:rPr>
            </w:pPr>
          </w:p>
        </w:tc>
      </w:tr>
    </w:tbl>
    <w:p>
      <w:pPr>
        <w:spacing w:after="0" w:line="3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5817870" cy="482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116" w:right="1399" w:bottom="1440" w:gutter="0" w:footer="0" w:header="0"/>
        </w:sectPr>
      </w:pPr>
    </w:p>
    <w:bookmarkStart w:id="5" w:name="page6"/>
    <w:bookmarkEnd w:id="5"/>
    <w:p>
      <w:pPr>
        <w:jc w:val="center"/>
        <w:spacing w:after="0"/>
        <w:rPr>
          <w:sz w:val="20"/>
          <w:szCs w:val="20"/>
          <w:color w:val="auto"/>
        </w:rPr>
      </w:pPr>
      <w:r>
        <w:rPr>
          <w:rFonts w:ascii="Arial" w:cs="Arial" w:eastAsia="Arial" w:hAnsi="Arial"/>
          <w:sz w:val="15"/>
          <w:szCs w:val="15"/>
          <w:b w:val="1"/>
          <w:bCs w:val="1"/>
          <w:color w:val="auto"/>
        </w:rPr>
        <w:t>FOOT LOCKER,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CONDENSED CONSOLIDATED STATEMENTS OF CASH FLOWS</w:t>
      </w:r>
    </w:p>
    <w:p>
      <w:pPr>
        <w:jc w:val="center"/>
        <w:spacing w:after="0" w:line="236" w:lineRule="auto"/>
        <w:rPr>
          <w:sz w:val="20"/>
          <w:szCs w:val="20"/>
          <w:color w:val="auto"/>
        </w:rPr>
      </w:pPr>
      <w:r>
        <w:rPr>
          <w:rFonts w:ascii="Arial" w:cs="Arial" w:eastAsia="Arial" w:hAnsi="Arial"/>
          <w:sz w:val="15"/>
          <w:szCs w:val="15"/>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in millions)</w:t>
      </w:r>
    </w:p>
    <w:p>
      <w:pPr>
        <w:spacing w:after="0" w:line="200" w:lineRule="exact"/>
        <w:rPr>
          <w:sz w:val="20"/>
          <w:szCs w:val="20"/>
          <w:color w:val="auto"/>
        </w:rPr>
      </w:pPr>
    </w:p>
    <w:p>
      <w:pPr>
        <w:spacing w:after="0" w:line="278" w:lineRule="exact"/>
        <w:rPr>
          <w:sz w:val="20"/>
          <w:szCs w:val="20"/>
          <w:color w:val="auto"/>
        </w:rPr>
      </w:pPr>
    </w:p>
    <w:p>
      <w:pPr>
        <w:ind w:left="6700"/>
        <w:spacing w:after="0"/>
        <w:rPr>
          <w:sz w:val="20"/>
          <w:szCs w:val="20"/>
          <w:color w:val="auto"/>
        </w:rPr>
      </w:pPr>
      <w:r>
        <w:rPr>
          <w:rFonts w:ascii="Arial" w:cs="Arial" w:eastAsia="Arial" w:hAnsi="Arial"/>
          <w:sz w:val="15"/>
          <w:szCs w:val="15"/>
          <w:b w:val="1"/>
          <w:bCs w:val="1"/>
          <w:color w:val="auto"/>
        </w:rPr>
        <w:t>Thirteen weeks ended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8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ind w:right="563"/>
              <w:spacing w:after="0"/>
              <w:rPr>
                <w:sz w:val="20"/>
                <w:szCs w:val="20"/>
                <w:color w:val="auto"/>
              </w:rPr>
            </w:pPr>
            <w:r>
              <w:rPr>
                <w:rFonts w:ascii="Arial" w:cs="Arial" w:eastAsia="Arial" w:hAnsi="Arial"/>
                <w:sz w:val="15"/>
                <w:szCs w:val="15"/>
                <w:b w:val="1"/>
                <w:bCs w:val="1"/>
                <w:color w:val="auto"/>
              </w:rPr>
              <w:t>April 29,</w:t>
            </w:r>
          </w:p>
        </w:tc>
        <w:tc>
          <w:tcPr>
            <w:tcW w:w="4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April 30,</w:t>
            </w:r>
          </w:p>
        </w:tc>
      </w:tr>
      <w:tr>
        <w:trPr>
          <w:trHeight w:val="194"/>
        </w:trPr>
        <w:tc>
          <w:tcPr>
            <w:tcW w:w="58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83"/>
              <w:spacing w:after="0"/>
              <w:rPr>
                <w:sz w:val="20"/>
                <w:szCs w:val="20"/>
                <w:color w:val="auto"/>
              </w:rPr>
            </w:pPr>
            <w:r>
              <w:rPr>
                <w:rFonts w:ascii="Arial" w:cs="Arial" w:eastAsia="Arial" w:hAnsi="Arial"/>
                <w:sz w:val="15"/>
                <w:szCs w:val="15"/>
                <w:b w:val="1"/>
                <w:bCs w:val="1"/>
                <w:color w:val="auto"/>
              </w:rPr>
              <w:t>2017</w:t>
            </w: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43"/>
              <w:spacing w:after="0"/>
              <w:rPr>
                <w:sz w:val="20"/>
                <w:szCs w:val="20"/>
                <w:color w:val="auto"/>
              </w:rPr>
            </w:pPr>
            <w:r>
              <w:rPr>
                <w:rFonts w:ascii="Arial" w:cs="Arial" w:eastAsia="Arial" w:hAnsi="Arial"/>
                <w:sz w:val="15"/>
                <w:szCs w:val="15"/>
                <w:b w:val="1"/>
                <w:bCs w:val="1"/>
                <w:color w:val="auto"/>
              </w:rPr>
              <w:t xml:space="preserve">2016 </w:t>
            </w:r>
            <w:r>
              <w:rPr>
                <w:rFonts w:ascii="Arial" w:cs="Arial" w:eastAsia="Arial" w:hAnsi="Arial"/>
                <w:sz w:val="15"/>
                <w:szCs w:val="15"/>
                <w:color w:val="auto"/>
              </w:rPr>
              <w:t>*</w:t>
            </w:r>
          </w:p>
        </w:tc>
      </w:tr>
      <w:tr>
        <w:trPr>
          <w:trHeight w:val="187"/>
        </w:trPr>
        <w:tc>
          <w:tcPr>
            <w:tcW w:w="58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07"/>
        </w:trPr>
        <w:tc>
          <w:tcPr>
            <w:tcW w:w="58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From operating activities:</w:t>
            </w: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07"/>
        </w:trPr>
        <w:tc>
          <w:tcPr>
            <w:tcW w:w="5800" w:type="dxa"/>
            <w:vAlign w:val="bottom"/>
          </w:tcPr>
          <w:p>
            <w:pPr>
              <w:ind w:left="140"/>
              <w:spacing w:after="0"/>
              <w:rPr>
                <w:sz w:val="20"/>
                <w:szCs w:val="20"/>
                <w:color w:val="auto"/>
              </w:rPr>
            </w:pPr>
            <w:r>
              <w:rPr>
                <w:rFonts w:ascii="Arial" w:cs="Arial" w:eastAsia="Arial" w:hAnsi="Arial"/>
                <w:sz w:val="15"/>
                <w:szCs w:val="15"/>
                <w:color w:val="auto"/>
              </w:rPr>
              <w:t>Net income</w:t>
            </w:r>
          </w:p>
        </w:tc>
        <w:tc>
          <w:tcPr>
            <w:tcW w:w="420" w:type="dxa"/>
            <w:vAlign w:val="bottom"/>
          </w:tcPr>
          <w:p>
            <w:pPr>
              <w:jc w:val="right"/>
              <w:ind w:right="43"/>
              <w:spacing w:after="0"/>
              <w:rPr>
                <w:sz w:val="20"/>
                <w:szCs w:val="20"/>
                <w:color w:val="auto"/>
              </w:rPr>
            </w:pPr>
            <w:r>
              <w:rPr>
                <w:rFonts w:ascii="Arial" w:cs="Arial" w:eastAsia="Arial" w:hAnsi="Arial"/>
                <w:sz w:val="15"/>
                <w:szCs w:val="15"/>
                <w:b w:val="1"/>
                <w:bCs w:val="1"/>
                <w:color w:val="auto"/>
              </w:rPr>
              <w:t>$</w:t>
            </w:r>
          </w:p>
        </w:tc>
        <w:tc>
          <w:tcPr>
            <w:tcW w:w="1360" w:type="dxa"/>
            <w:vAlign w:val="bottom"/>
          </w:tcPr>
          <w:p>
            <w:pPr>
              <w:jc w:val="right"/>
              <w:ind w:right="183"/>
              <w:spacing w:after="0"/>
              <w:rPr>
                <w:sz w:val="20"/>
                <w:szCs w:val="20"/>
                <w:color w:val="auto"/>
              </w:rPr>
            </w:pPr>
            <w:r>
              <w:rPr>
                <w:rFonts w:ascii="Arial" w:cs="Arial" w:eastAsia="Arial" w:hAnsi="Arial"/>
                <w:sz w:val="15"/>
                <w:szCs w:val="15"/>
                <w:b w:val="1"/>
                <w:bCs w:val="1"/>
                <w:color w:val="auto"/>
              </w:rPr>
              <w:t>180</w:t>
            </w:r>
          </w:p>
        </w:tc>
        <w:tc>
          <w:tcPr>
            <w:tcW w:w="40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191</w:t>
            </w:r>
          </w:p>
        </w:tc>
      </w:tr>
      <w:tr>
        <w:trPr>
          <w:trHeight w:val="389"/>
        </w:trPr>
        <w:tc>
          <w:tcPr>
            <w:tcW w:w="58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Adjustments to reconcile net income to net cash provided by operating activities:</w:t>
            </w:r>
          </w:p>
        </w:tc>
        <w:tc>
          <w:tcPr>
            <w:tcW w:w="4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07"/>
        </w:trPr>
        <w:tc>
          <w:tcPr>
            <w:tcW w:w="5800" w:type="dxa"/>
            <w:vAlign w:val="bottom"/>
          </w:tcPr>
          <w:p>
            <w:pPr>
              <w:ind w:left="260"/>
              <w:spacing w:after="0"/>
              <w:rPr>
                <w:sz w:val="20"/>
                <w:szCs w:val="20"/>
                <w:color w:val="auto"/>
              </w:rPr>
            </w:pPr>
            <w:r>
              <w:rPr>
                <w:rFonts w:ascii="Arial" w:cs="Arial" w:eastAsia="Arial" w:hAnsi="Arial"/>
                <w:sz w:val="15"/>
                <w:szCs w:val="15"/>
                <w:color w:val="auto"/>
              </w:rPr>
              <w:t>Depreciation and amortization</w:t>
            </w:r>
          </w:p>
        </w:tc>
        <w:tc>
          <w:tcPr>
            <w:tcW w:w="420" w:type="dxa"/>
            <w:vAlign w:val="bottom"/>
          </w:tcPr>
          <w:p>
            <w:pPr>
              <w:spacing w:after="0"/>
              <w:rPr>
                <w:sz w:val="17"/>
                <w:szCs w:val="17"/>
                <w:color w:val="auto"/>
              </w:rPr>
            </w:pPr>
          </w:p>
        </w:tc>
        <w:tc>
          <w:tcPr>
            <w:tcW w:w="1360" w:type="dxa"/>
            <w:vAlign w:val="bottom"/>
          </w:tcPr>
          <w:p>
            <w:pPr>
              <w:jc w:val="right"/>
              <w:ind w:right="183"/>
              <w:spacing w:after="0"/>
              <w:rPr>
                <w:sz w:val="20"/>
                <w:szCs w:val="20"/>
                <w:color w:val="auto"/>
              </w:rPr>
            </w:pPr>
            <w:r>
              <w:rPr>
                <w:rFonts w:ascii="Arial" w:cs="Arial" w:eastAsia="Arial" w:hAnsi="Arial"/>
                <w:sz w:val="15"/>
                <w:szCs w:val="15"/>
                <w:b w:val="1"/>
                <w:bCs w:val="1"/>
                <w:color w:val="auto"/>
              </w:rPr>
              <w:t>41</w:t>
            </w:r>
          </w:p>
        </w:tc>
        <w:tc>
          <w:tcPr>
            <w:tcW w:w="4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39</w:t>
            </w:r>
          </w:p>
        </w:tc>
      </w:tr>
      <w:tr>
        <w:trPr>
          <w:trHeight w:val="207"/>
        </w:trPr>
        <w:tc>
          <w:tcPr>
            <w:tcW w:w="5800" w:type="dxa"/>
            <w:vAlign w:val="bottom"/>
            <w:shd w:val="clear" w:color="auto" w:fill="CCEEFF"/>
          </w:tcPr>
          <w:p>
            <w:pPr>
              <w:ind w:left="260"/>
              <w:spacing w:after="0"/>
              <w:rPr>
                <w:sz w:val="20"/>
                <w:szCs w:val="20"/>
                <w:color w:val="auto"/>
              </w:rPr>
            </w:pPr>
            <w:r>
              <w:rPr>
                <w:rFonts w:ascii="Arial" w:cs="Arial" w:eastAsia="Arial" w:hAnsi="Arial"/>
                <w:sz w:val="15"/>
                <w:szCs w:val="15"/>
                <w:color w:val="auto"/>
              </w:rPr>
              <w:t>Share-based compensation expense</w:t>
            </w: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83"/>
              <w:spacing w:after="0"/>
              <w:rPr>
                <w:sz w:val="20"/>
                <w:szCs w:val="20"/>
                <w:color w:val="auto"/>
              </w:rPr>
            </w:pPr>
            <w:r>
              <w:rPr>
                <w:rFonts w:ascii="Arial" w:cs="Arial" w:eastAsia="Arial" w:hAnsi="Arial"/>
                <w:sz w:val="15"/>
                <w:szCs w:val="15"/>
                <w:b w:val="1"/>
                <w:bCs w:val="1"/>
                <w:color w:val="auto"/>
              </w:rPr>
              <w:t>5</w:t>
            </w: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w:t>
            </w:r>
          </w:p>
        </w:tc>
      </w:tr>
      <w:tr>
        <w:trPr>
          <w:trHeight w:val="207"/>
        </w:trPr>
        <w:tc>
          <w:tcPr>
            <w:tcW w:w="5800" w:type="dxa"/>
            <w:vAlign w:val="bottom"/>
          </w:tcPr>
          <w:p>
            <w:pPr>
              <w:ind w:left="260"/>
              <w:spacing w:after="0"/>
              <w:rPr>
                <w:sz w:val="20"/>
                <w:szCs w:val="20"/>
                <w:color w:val="auto"/>
              </w:rPr>
            </w:pPr>
            <w:r>
              <w:rPr>
                <w:rFonts w:ascii="Arial" w:cs="Arial" w:eastAsia="Arial" w:hAnsi="Arial"/>
                <w:sz w:val="15"/>
                <w:szCs w:val="15"/>
                <w:color w:val="auto"/>
              </w:rPr>
              <w:t>Qualified pension plan contributions</w:t>
            </w:r>
          </w:p>
        </w:tc>
        <w:tc>
          <w:tcPr>
            <w:tcW w:w="420" w:type="dxa"/>
            <w:vAlign w:val="bottom"/>
          </w:tcPr>
          <w:p>
            <w:pPr>
              <w:spacing w:after="0"/>
              <w:rPr>
                <w:sz w:val="17"/>
                <w:szCs w:val="17"/>
                <w:color w:val="auto"/>
              </w:rPr>
            </w:pPr>
          </w:p>
        </w:tc>
        <w:tc>
          <w:tcPr>
            <w:tcW w:w="1360" w:type="dxa"/>
            <w:vAlign w:val="bottom"/>
          </w:tcPr>
          <w:p>
            <w:pPr>
              <w:jc w:val="right"/>
              <w:ind w:right="143"/>
              <w:spacing w:after="0"/>
              <w:rPr>
                <w:sz w:val="20"/>
                <w:szCs w:val="20"/>
                <w:color w:val="auto"/>
              </w:rPr>
            </w:pPr>
            <w:r>
              <w:rPr>
                <w:rFonts w:ascii="Arial" w:cs="Arial" w:eastAsia="Arial" w:hAnsi="Arial"/>
                <w:sz w:val="15"/>
                <w:szCs w:val="15"/>
                <w:b w:val="1"/>
                <w:bCs w:val="1"/>
                <w:color w:val="auto"/>
              </w:rPr>
              <w:t>(25)</w:t>
            </w:r>
          </w:p>
        </w:tc>
        <w:tc>
          <w:tcPr>
            <w:tcW w:w="4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(25)</w:t>
            </w:r>
          </w:p>
        </w:tc>
      </w:tr>
      <w:tr>
        <w:trPr>
          <w:trHeight w:val="207"/>
        </w:trPr>
        <w:tc>
          <w:tcPr>
            <w:tcW w:w="5800" w:type="dxa"/>
            <w:vAlign w:val="bottom"/>
            <w:shd w:val="clear" w:color="auto" w:fill="CCEEFF"/>
          </w:tcPr>
          <w:p>
            <w:pPr>
              <w:ind w:left="260"/>
              <w:spacing w:after="0"/>
              <w:rPr>
                <w:sz w:val="20"/>
                <w:szCs w:val="20"/>
                <w:color w:val="auto"/>
              </w:rPr>
            </w:pPr>
            <w:r>
              <w:rPr>
                <w:rFonts w:ascii="Arial" w:cs="Arial" w:eastAsia="Arial" w:hAnsi="Arial"/>
                <w:sz w:val="15"/>
                <w:szCs w:val="15"/>
                <w:color w:val="auto"/>
              </w:rPr>
              <w:t>Change in assets and liabilities:</w:t>
            </w: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07"/>
        </w:trPr>
        <w:tc>
          <w:tcPr>
            <w:tcW w:w="5800" w:type="dxa"/>
            <w:vAlign w:val="bottom"/>
          </w:tcPr>
          <w:p>
            <w:pPr>
              <w:ind w:left="380"/>
              <w:spacing w:after="0"/>
              <w:rPr>
                <w:sz w:val="20"/>
                <w:szCs w:val="20"/>
                <w:color w:val="auto"/>
              </w:rPr>
            </w:pPr>
            <w:r>
              <w:rPr>
                <w:rFonts w:ascii="Arial" w:cs="Arial" w:eastAsia="Arial" w:hAnsi="Arial"/>
                <w:sz w:val="15"/>
                <w:szCs w:val="15"/>
                <w:color w:val="auto"/>
              </w:rPr>
              <w:t>Merchandise inventories</w:t>
            </w:r>
          </w:p>
        </w:tc>
        <w:tc>
          <w:tcPr>
            <w:tcW w:w="420" w:type="dxa"/>
            <w:vAlign w:val="bottom"/>
          </w:tcPr>
          <w:p>
            <w:pPr>
              <w:spacing w:after="0"/>
              <w:rPr>
                <w:sz w:val="17"/>
                <w:szCs w:val="17"/>
                <w:color w:val="auto"/>
              </w:rPr>
            </w:pPr>
          </w:p>
        </w:tc>
        <w:tc>
          <w:tcPr>
            <w:tcW w:w="1360" w:type="dxa"/>
            <w:vAlign w:val="bottom"/>
          </w:tcPr>
          <w:p>
            <w:pPr>
              <w:jc w:val="right"/>
              <w:ind w:right="183"/>
              <w:spacing w:after="0"/>
              <w:rPr>
                <w:sz w:val="20"/>
                <w:szCs w:val="20"/>
                <w:color w:val="auto"/>
              </w:rPr>
            </w:pPr>
            <w:r>
              <w:rPr>
                <w:rFonts w:ascii="Arial" w:cs="Arial" w:eastAsia="Arial" w:hAnsi="Arial"/>
                <w:sz w:val="15"/>
                <w:szCs w:val="15"/>
                <w:b w:val="1"/>
                <w:bCs w:val="1"/>
                <w:color w:val="auto"/>
              </w:rPr>
              <w:t>31</w:t>
            </w:r>
          </w:p>
        </w:tc>
        <w:tc>
          <w:tcPr>
            <w:tcW w:w="4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39</w:t>
            </w:r>
          </w:p>
        </w:tc>
      </w:tr>
      <w:tr>
        <w:trPr>
          <w:trHeight w:val="207"/>
        </w:trPr>
        <w:tc>
          <w:tcPr>
            <w:tcW w:w="58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Accounts payable</w:t>
            </w: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(41)</w:t>
            </w: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w:t>
            </w:r>
          </w:p>
        </w:tc>
      </w:tr>
      <w:tr>
        <w:trPr>
          <w:trHeight w:val="207"/>
        </w:trPr>
        <w:tc>
          <w:tcPr>
            <w:tcW w:w="5800" w:type="dxa"/>
            <w:vAlign w:val="bottom"/>
          </w:tcPr>
          <w:p>
            <w:pPr>
              <w:ind w:left="380"/>
              <w:spacing w:after="0"/>
              <w:rPr>
                <w:sz w:val="20"/>
                <w:szCs w:val="20"/>
                <w:color w:val="auto"/>
              </w:rPr>
            </w:pPr>
            <w:r>
              <w:rPr>
                <w:rFonts w:ascii="Arial" w:cs="Arial" w:eastAsia="Arial" w:hAnsi="Arial"/>
                <w:sz w:val="15"/>
                <w:szCs w:val="15"/>
                <w:color w:val="auto"/>
              </w:rPr>
              <w:t>Accrued and other liabilities</w:t>
            </w:r>
          </w:p>
        </w:tc>
        <w:tc>
          <w:tcPr>
            <w:tcW w:w="420" w:type="dxa"/>
            <w:vAlign w:val="bottom"/>
          </w:tcPr>
          <w:p>
            <w:pPr>
              <w:spacing w:after="0"/>
              <w:rPr>
                <w:sz w:val="17"/>
                <w:szCs w:val="17"/>
                <w:color w:val="auto"/>
              </w:rPr>
            </w:pPr>
          </w:p>
        </w:tc>
        <w:tc>
          <w:tcPr>
            <w:tcW w:w="1360" w:type="dxa"/>
            <w:vAlign w:val="bottom"/>
          </w:tcPr>
          <w:p>
            <w:pPr>
              <w:jc w:val="right"/>
              <w:ind w:right="143"/>
              <w:spacing w:after="0"/>
              <w:rPr>
                <w:sz w:val="20"/>
                <w:szCs w:val="20"/>
                <w:color w:val="auto"/>
              </w:rPr>
            </w:pPr>
            <w:r>
              <w:rPr>
                <w:rFonts w:ascii="Arial" w:cs="Arial" w:eastAsia="Arial" w:hAnsi="Arial"/>
                <w:sz w:val="15"/>
                <w:szCs w:val="15"/>
                <w:b w:val="1"/>
                <w:bCs w:val="1"/>
                <w:color w:val="auto"/>
              </w:rPr>
              <w:t>(26)</w:t>
            </w:r>
          </w:p>
        </w:tc>
        <w:tc>
          <w:tcPr>
            <w:tcW w:w="4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(14)</w:t>
            </w:r>
          </w:p>
        </w:tc>
      </w:tr>
      <w:tr>
        <w:trPr>
          <w:trHeight w:val="207"/>
        </w:trPr>
        <w:tc>
          <w:tcPr>
            <w:tcW w:w="580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5"/>
                <w:szCs w:val="15"/>
                <w:color w:val="auto"/>
              </w:rPr>
              <w:t>Other, net</w:t>
            </w:r>
          </w:p>
        </w:tc>
        <w:tc>
          <w:tcPr>
            <w:tcW w:w="42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(6)</w:t>
            </w:r>
          </w:p>
        </w:tc>
        <w:tc>
          <w:tcPr>
            <w:tcW w:w="4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w:t>
            </w:r>
          </w:p>
        </w:tc>
      </w:tr>
      <w:tr>
        <w:trPr>
          <w:trHeight w:val="187"/>
        </w:trPr>
        <w:tc>
          <w:tcPr>
            <w:tcW w:w="58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Net cash provided by operating activities</w:t>
            </w: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b w:val="1"/>
                <w:bCs w:val="1"/>
                <w:color w:val="auto"/>
              </w:rPr>
              <w:t>159</w:t>
            </w: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224</w:t>
            </w:r>
          </w:p>
        </w:tc>
      </w:tr>
      <w:tr>
        <w:trPr>
          <w:trHeight w:val="187"/>
        </w:trPr>
        <w:tc>
          <w:tcPr>
            <w:tcW w:w="58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07"/>
        </w:trPr>
        <w:tc>
          <w:tcPr>
            <w:tcW w:w="5800" w:type="dxa"/>
            <w:vAlign w:val="bottom"/>
          </w:tcPr>
          <w:p>
            <w:pPr>
              <w:spacing w:after="0"/>
              <w:rPr>
                <w:sz w:val="20"/>
                <w:szCs w:val="20"/>
                <w:color w:val="auto"/>
              </w:rPr>
            </w:pPr>
            <w:r>
              <w:rPr>
                <w:rFonts w:ascii="Arial" w:cs="Arial" w:eastAsia="Arial" w:hAnsi="Arial"/>
                <w:sz w:val="15"/>
                <w:szCs w:val="15"/>
                <w:b w:val="1"/>
                <w:bCs w:val="1"/>
                <w:color w:val="auto"/>
              </w:rPr>
              <w:t>From investing activities:</w:t>
            </w: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7"/>
        </w:trPr>
        <w:tc>
          <w:tcPr>
            <w:tcW w:w="58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5"/>
                <w:szCs w:val="15"/>
                <w:color w:val="auto"/>
              </w:rPr>
              <w:t>Capital expenditures</w:t>
            </w:r>
          </w:p>
        </w:tc>
        <w:tc>
          <w:tcPr>
            <w:tcW w:w="42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(75)</w:t>
            </w:r>
          </w:p>
        </w:tc>
        <w:tc>
          <w:tcPr>
            <w:tcW w:w="4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w:t>
            </w:r>
          </w:p>
        </w:tc>
      </w:tr>
      <w:tr>
        <w:trPr>
          <w:trHeight w:val="187"/>
        </w:trPr>
        <w:tc>
          <w:tcPr>
            <w:tcW w:w="58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Net cash used in investing activities</w:t>
            </w: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b w:val="1"/>
                <w:bCs w:val="1"/>
                <w:color w:val="auto"/>
              </w:rPr>
              <w:t>(75)</w:t>
            </w: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(65)</w:t>
            </w:r>
          </w:p>
        </w:tc>
      </w:tr>
      <w:tr>
        <w:trPr>
          <w:trHeight w:val="187"/>
        </w:trPr>
        <w:tc>
          <w:tcPr>
            <w:tcW w:w="58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07"/>
        </w:trPr>
        <w:tc>
          <w:tcPr>
            <w:tcW w:w="5800" w:type="dxa"/>
            <w:vAlign w:val="bottom"/>
          </w:tcPr>
          <w:p>
            <w:pPr>
              <w:spacing w:after="0"/>
              <w:rPr>
                <w:sz w:val="20"/>
                <w:szCs w:val="20"/>
                <w:color w:val="auto"/>
              </w:rPr>
            </w:pPr>
            <w:r>
              <w:rPr>
                <w:rFonts w:ascii="Arial" w:cs="Arial" w:eastAsia="Arial" w:hAnsi="Arial"/>
                <w:sz w:val="15"/>
                <w:szCs w:val="15"/>
                <w:b w:val="1"/>
                <w:bCs w:val="1"/>
                <w:color w:val="auto"/>
              </w:rPr>
              <w:t>From financing activities:</w:t>
            </w: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7"/>
        </w:trPr>
        <w:tc>
          <w:tcPr>
            <w:tcW w:w="58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Purchase of treasury shares</w:t>
            </w: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(38)</w:t>
            </w: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w:t>
            </w:r>
          </w:p>
        </w:tc>
      </w:tr>
      <w:tr>
        <w:trPr>
          <w:trHeight w:val="207"/>
        </w:trPr>
        <w:tc>
          <w:tcPr>
            <w:tcW w:w="5800" w:type="dxa"/>
            <w:vAlign w:val="bottom"/>
          </w:tcPr>
          <w:p>
            <w:pPr>
              <w:ind w:left="140"/>
              <w:spacing w:after="0"/>
              <w:rPr>
                <w:sz w:val="20"/>
                <w:szCs w:val="20"/>
                <w:color w:val="auto"/>
              </w:rPr>
            </w:pPr>
            <w:r>
              <w:rPr>
                <w:rFonts w:ascii="Arial" w:cs="Arial" w:eastAsia="Arial" w:hAnsi="Arial"/>
                <w:sz w:val="15"/>
                <w:szCs w:val="15"/>
                <w:color w:val="auto"/>
              </w:rPr>
              <w:t>Dividends paid on common stock</w:t>
            </w:r>
          </w:p>
        </w:tc>
        <w:tc>
          <w:tcPr>
            <w:tcW w:w="420" w:type="dxa"/>
            <w:vAlign w:val="bottom"/>
          </w:tcPr>
          <w:p>
            <w:pPr>
              <w:spacing w:after="0"/>
              <w:rPr>
                <w:sz w:val="17"/>
                <w:szCs w:val="17"/>
                <w:color w:val="auto"/>
              </w:rPr>
            </w:pPr>
          </w:p>
        </w:tc>
        <w:tc>
          <w:tcPr>
            <w:tcW w:w="1360" w:type="dxa"/>
            <w:vAlign w:val="bottom"/>
          </w:tcPr>
          <w:p>
            <w:pPr>
              <w:jc w:val="right"/>
              <w:ind w:right="143"/>
              <w:spacing w:after="0"/>
              <w:rPr>
                <w:sz w:val="20"/>
                <w:szCs w:val="20"/>
                <w:color w:val="auto"/>
              </w:rPr>
            </w:pPr>
            <w:r>
              <w:rPr>
                <w:rFonts w:ascii="Arial" w:cs="Arial" w:eastAsia="Arial" w:hAnsi="Arial"/>
                <w:sz w:val="15"/>
                <w:szCs w:val="15"/>
                <w:b w:val="1"/>
                <w:bCs w:val="1"/>
                <w:color w:val="auto"/>
              </w:rPr>
              <w:t>(41)</w:t>
            </w:r>
          </w:p>
        </w:tc>
        <w:tc>
          <w:tcPr>
            <w:tcW w:w="4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(37)</w:t>
            </w:r>
          </w:p>
        </w:tc>
      </w:tr>
      <w:tr>
        <w:trPr>
          <w:trHeight w:val="207"/>
        </w:trPr>
        <w:tc>
          <w:tcPr>
            <w:tcW w:w="58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Proceeds from exercise of stock options</w:t>
            </w: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83"/>
              <w:spacing w:after="0"/>
              <w:rPr>
                <w:sz w:val="20"/>
                <w:szCs w:val="20"/>
                <w:color w:val="auto"/>
              </w:rPr>
            </w:pPr>
            <w:r>
              <w:rPr>
                <w:rFonts w:ascii="Arial" w:cs="Arial" w:eastAsia="Arial" w:hAnsi="Arial"/>
                <w:sz w:val="15"/>
                <w:szCs w:val="15"/>
                <w:b w:val="1"/>
                <w:bCs w:val="1"/>
                <w:color w:val="auto"/>
              </w:rPr>
              <w:t>9</w:t>
            </w: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w:t>
            </w:r>
          </w:p>
        </w:tc>
      </w:tr>
      <w:tr>
        <w:trPr>
          <w:trHeight w:val="341"/>
        </w:trPr>
        <w:tc>
          <w:tcPr>
            <w:tcW w:w="5800" w:type="dxa"/>
            <w:vAlign w:val="bottom"/>
            <w:tcBorders>
              <w:bottom w:val="single" w:sz="8" w:color="auto"/>
            </w:tcBorders>
          </w:tcPr>
          <w:p>
            <w:pPr>
              <w:ind w:left="140"/>
              <w:spacing w:after="0"/>
              <w:rPr>
                <w:sz w:val="20"/>
                <w:szCs w:val="20"/>
                <w:color w:val="auto"/>
              </w:rPr>
            </w:pPr>
            <w:r>
              <w:rPr>
                <w:rFonts w:ascii="Arial" w:cs="Arial" w:eastAsia="Arial" w:hAnsi="Arial"/>
                <w:sz w:val="15"/>
                <w:szCs w:val="15"/>
                <w:color w:val="auto"/>
              </w:rPr>
              <w:t>Shares of common stock repurchased to satisfy tax withholding obligations</w:t>
            </w:r>
          </w:p>
        </w:tc>
        <w:tc>
          <w:tcPr>
            <w:tcW w:w="4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b w:val="1"/>
                <w:bCs w:val="1"/>
                <w:color w:val="auto"/>
              </w:rPr>
              <w:t>(9)</w:t>
            </w:r>
          </w:p>
        </w:tc>
        <w:tc>
          <w:tcPr>
            <w:tcW w:w="4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w:t>
            </w:r>
          </w:p>
        </w:tc>
      </w:tr>
      <w:tr>
        <w:trPr>
          <w:trHeight w:val="187"/>
        </w:trPr>
        <w:tc>
          <w:tcPr>
            <w:tcW w:w="5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Net cash used in financing activities</w:t>
            </w:r>
          </w:p>
        </w:tc>
        <w:tc>
          <w:tcPr>
            <w:tcW w:w="42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(79)</w:t>
            </w:r>
          </w:p>
        </w:tc>
        <w:tc>
          <w:tcPr>
            <w:tcW w:w="4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(124)</w:t>
            </w:r>
          </w:p>
        </w:tc>
      </w:tr>
      <w:tr>
        <w:trPr>
          <w:trHeight w:val="187"/>
        </w:trPr>
        <w:tc>
          <w:tcPr>
            <w:tcW w:w="58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65"/>
        </w:trPr>
        <w:tc>
          <w:tcPr>
            <w:tcW w:w="5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Effect of exchange rate fluctuations on cash, cash equivalents, and restricted cash</w:t>
            </w:r>
          </w:p>
        </w:tc>
        <w:tc>
          <w:tcPr>
            <w:tcW w:w="42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(1)</w:t>
            </w:r>
          </w:p>
        </w:tc>
        <w:tc>
          <w:tcPr>
            <w:tcW w:w="40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w:t>
            </w:r>
          </w:p>
        </w:tc>
      </w:tr>
      <w:tr>
        <w:trPr>
          <w:trHeight w:val="187"/>
        </w:trPr>
        <w:tc>
          <w:tcPr>
            <w:tcW w:w="5800" w:type="dxa"/>
            <w:vAlign w:val="bottom"/>
          </w:tcPr>
          <w:p>
            <w:pPr>
              <w:spacing w:after="0"/>
              <w:rPr>
                <w:sz w:val="20"/>
                <w:szCs w:val="20"/>
                <w:color w:val="auto"/>
              </w:rPr>
            </w:pPr>
            <w:r>
              <w:rPr>
                <w:rFonts w:ascii="Arial" w:cs="Arial" w:eastAsia="Arial" w:hAnsi="Arial"/>
                <w:sz w:val="15"/>
                <w:szCs w:val="15"/>
                <w:color w:val="auto"/>
              </w:rPr>
              <w:t>Net change in cash, cash equivalents, and restricted cash</w:t>
            </w:r>
          </w:p>
        </w:tc>
        <w:tc>
          <w:tcPr>
            <w:tcW w:w="420" w:type="dxa"/>
            <w:vAlign w:val="bottom"/>
          </w:tcPr>
          <w:p>
            <w:pPr>
              <w:spacing w:after="0"/>
              <w:rPr>
                <w:sz w:val="16"/>
                <w:szCs w:val="16"/>
                <w:color w:val="auto"/>
              </w:rPr>
            </w:pPr>
          </w:p>
        </w:tc>
        <w:tc>
          <w:tcPr>
            <w:tcW w:w="1360" w:type="dxa"/>
            <w:vAlign w:val="bottom"/>
          </w:tcPr>
          <w:p>
            <w:pPr>
              <w:jc w:val="right"/>
              <w:ind w:right="183"/>
              <w:spacing w:after="0"/>
              <w:rPr>
                <w:sz w:val="20"/>
                <w:szCs w:val="20"/>
                <w:color w:val="auto"/>
              </w:rPr>
            </w:pPr>
            <w:r>
              <w:rPr>
                <w:rFonts w:ascii="Arial" w:cs="Arial" w:eastAsia="Arial" w:hAnsi="Arial"/>
                <w:sz w:val="15"/>
                <w:szCs w:val="15"/>
                <w:b w:val="1"/>
                <w:bCs w:val="1"/>
                <w:color w:val="auto"/>
              </w:rPr>
              <w:t>4</w:t>
            </w:r>
          </w:p>
        </w:tc>
        <w:tc>
          <w:tcPr>
            <w:tcW w:w="4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42</w:t>
            </w:r>
          </w:p>
        </w:tc>
      </w:tr>
      <w:tr>
        <w:trPr>
          <w:trHeight w:val="207"/>
        </w:trPr>
        <w:tc>
          <w:tcPr>
            <w:tcW w:w="5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Cash, cash equivalents, and restricted cash at beginning of period</w:t>
            </w:r>
          </w:p>
        </w:tc>
        <w:tc>
          <w:tcPr>
            <w:tcW w:w="42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b w:val="1"/>
                <w:bCs w:val="1"/>
                <w:color w:val="auto"/>
              </w:rPr>
              <w:t>1,073</w:t>
            </w:r>
          </w:p>
        </w:tc>
        <w:tc>
          <w:tcPr>
            <w:tcW w:w="4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1,048</w:t>
            </w:r>
          </w:p>
        </w:tc>
      </w:tr>
      <w:tr>
        <w:trPr>
          <w:trHeight w:val="179"/>
        </w:trPr>
        <w:tc>
          <w:tcPr>
            <w:tcW w:w="580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Cash, cash equivalents, and restricted cash at end of period</w:t>
            </w:r>
          </w:p>
        </w:tc>
        <w:tc>
          <w:tcPr>
            <w:tcW w:w="4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rPr>
              <w:t>$</w:t>
            </w:r>
          </w:p>
        </w:tc>
        <w:tc>
          <w:tcPr>
            <w:tcW w:w="1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b w:val="1"/>
                <w:bCs w:val="1"/>
                <w:color w:val="auto"/>
              </w:rPr>
              <w:t>1,077</w:t>
            </w:r>
          </w:p>
        </w:tc>
        <w:tc>
          <w:tcPr>
            <w:tcW w:w="4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1,090</w:t>
            </w:r>
          </w:p>
        </w:tc>
      </w:tr>
      <w:tr>
        <w:trPr>
          <w:trHeight w:val="195"/>
        </w:trPr>
        <w:tc>
          <w:tcPr>
            <w:tcW w:w="58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07"/>
        </w:trPr>
        <w:tc>
          <w:tcPr>
            <w:tcW w:w="5800" w:type="dxa"/>
            <w:vAlign w:val="bottom"/>
          </w:tcPr>
          <w:p>
            <w:pPr>
              <w:spacing w:after="0"/>
              <w:rPr>
                <w:sz w:val="20"/>
                <w:szCs w:val="20"/>
                <w:color w:val="auto"/>
              </w:rPr>
            </w:pPr>
            <w:r>
              <w:rPr>
                <w:rFonts w:ascii="Arial" w:cs="Arial" w:eastAsia="Arial" w:hAnsi="Arial"/>
                <w:sz w:val="15"/>
                <w:szCs w:val="15"/>
                <w:b w:val="1"/>
                <w:bCs w:val="1"/>
                <w:color w:val="auto"/>
              </w:rPr>
              <w:t>Cash paid during the period:</w:t>
            </w: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7"/>
        </w:trPr>
        <w:tc>
          <w:tcPr>
            <w:tcW w:w="58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Interest</w:t>
            </w:r>
          </w:p>
        </w:tc>
        <w:tc>
          <w:tcPr>
            <w:tcW w:w="420" w:type="dxa"/>
            <w:vAlign w:val="bottom"/>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w:t>
            </w:r>
          </w:p>
        </w:tc>
        <w:tc>
          <w:tcPr>
            <w:tcW w:w="136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w:t>
            </w:r>
          </w:p>
        </w:tc>
        <w:tc>
          <w:tcPr>
            <w:tcW w:w="4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7"/>
        </w:trPr>
        <w:tc>
          <w:tcPr>
            <w:tcW w:w="5800" w:type="dxa"/>
            <w:vAlign w:val="bottom"/>
            <w:tcBorders>
              <w:bottom w:val="single" w:sz="8" w:color="auto"/>
            </w:tcBorders>
          </w:tcPr>
          <w:p>
            <w:pPr>
              <w:ind w:left="140"/>
              <w:spacing w:after="0"/>
              <w:rPr>
                <w:sz w:val="20"/>
                <w:szCs w:val="20"/>
                <w:color w:val="auto"/>
              </w:rPr>
            </w:pPr>
            <w:r>
              <w:rPr>
                <w:rFonts w:ascii="Arial" w:cs="Arial" w:eastAsia="Arial" w:hAnsi="Arial"/>
                <w:sz w:val="15"/>
                <w:szCs w:val="15"/>
                <w:color w:val="auto"/>
              </w:rPr>
              <w:t>Income taxes</w:t>
            </w:r>
          </w:p>
        </w:tc>
        <w:tc>
          <w:tcPr>
            <w:tcW w:w="4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rPr>
              <w:t>$</w:t>
            </w:r>
          </w:p>
        </w:tc>
        <w:tc>
          <w:tcPr>
            <w:tcW w:w="1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b w:val="1"/>
                <w:bCs w:val="1"/>
                <w:color w:val="auto"/>
              </w:rPr>
              <w:t>122</w:t>
            </w:r>
          </w:p>
        </w:tc>
        <w:tc>
          <w:tcPr>
            <w:tcW w:w="4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115</w:t>
            </w:r>
          </w:p>
        </w:tc>
      </w:tr>
    </w:tbl>
    <w:p>
      <w:pPr>
        <w:spacing w:after="0" w:line="28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Accompanying Notes to Condensed Consolidated Financial Statements.</w:t>
      </w:r>
    </w:p>
    <w:p>
      <w:pPr>
        <w:spacing w:after="0" w:line="307" w:lineRule="exact"/>
        <w:rPr>
          <w:sz w:val="20"/>
          <w:szCs w:val="20"/>
          <w:color w:val="auto"/>
        </w:rPr>
      </w:pPr>
    </w:p>
    <w:p>
      <w:pPr>
        <w:ind w:firstLine="5"/>
        <w:spacing w:after="0" w:line="246" w:lineRule="auto"/>
        <w:tabs>
          <w:tab w:leader="none" w:pos="115"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Amounts for the three months ended April 30, 2016 have been revised from previously reported amounts to reflect the adoption of new accounting standards in the first quarter of 2017. For additional information, see the </w:t>
      </w:r>
      <w:r>
        <w:rPr>
          <w:rFonts w:ascii="Arial" w:cs="Arial" w:eastAsia="Arial" w:hAnsi="Arial"/>
          <w:sz w:val="12"/>
          <w:szCs w:val="12"/>
          <w:i w:val="1"/>
          <w:iCs w:val="1"/>
          <w:color w:val="auto"/>
        </w:rPr>
        <w:t>Recently Adopted Accounting Pronouncements</w:t>
      </w:r>
      <w:r>
        <w:rPr>
          <w:rFonts w:ascii="Arial" w:cs="Arial" w:eastAsia="Arial" w:hAnsi="Arial"/>
          <w:sz w:val="12"/>
          <w:szCs w:val="12"/>
          <w:color w:val="auto"/>
        </w:rPr>
        <w:t xml:space="preserve">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5817870" cy="482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115" w:right="1399" w:bottom="1440" w:gutter="0" w:footer="0" w:header="0"/>
        </w:sectPr>
      </w:pPr>
    </w:p>
    <w:bookmarkStart w:id="6" w:name="page7"/>
    <w:bookmarkEnd w:id="6"/>
    <w:p>
      <w:pPr>
        <w:jc w:val="center"/>
        <w:spacing w:after="0"/>
        <w:rPr>
          <w:sz w:val="20"/>
          <w:szCs w:val="20"/>
          <w:color w:val="auto"/>
        </w:rPr>
      </w:pPr>
      <w:r>
        <w:rPr>
          <w:rFonts w:ascii="Arial" w:cs="Arial" w:eastAsia="Arial" w:hAnsi="Arial"/>
          <w:sz w:val="16"/>
          <w:szCs w:val="16"/>
          <w:b w:val="1"/>
          <w:bCs w:val="1"/>
          <w:color w:val="auto"/>
        </w:rPr>
        <w:t>FOOT LOCKER,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10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Basis of Presentation</w:t>
      </w:r>
    </w:p>
    <w:p>
      <w:pPr>
        <w:spacing w:after="0" w:line="135" w:lineRule="exact"/>
        <w:rPr>
          <w:sz w:val="20"/>
          <w:szCs w:val="20"/>
          <w:color w:val="auto"/>
        </w:rPr>
      </w:pPr>
    </w:p>
    <w:p>
      <w:pPr>
        <w:jc w:val="both"/>
        <w:spacing w:after="0" w:line="239" w:lineRule="auto"/>
        <w:rPr>
          <w:sz w:val="20"/>
          <w:szCs w:val="20"/>
          <w:color w:val="auto"/>
        </w:rPr>
      </w:pPr>
      <w:r>
        <w:rPr>
          <w:rFonts w:ascii="Arial" w:cs="Arial" w:eastAsia="Arial" w:hAnsi="Arial"/>
          <w:sz w:val="15"/>
          <w:szCs w:val="15"/>
          <w:color w:val="auto"/>
        </w:rPr>
        <w:t>The accompanying condensed consolidated financial statements contained in this report are unaudited. In the opinion of management, the condensed consolidated financial statements include all normal, recurring adjustments necessary for a fair presentation of the results for the interim periods of the fiscal year ending February 3, 2018 and of the fiscal year ended January 28, 2017. Certain items included in these statements are based on management’s estimates. Actual results may differ from those estimates. The results of operations for any interim period are not necessarily indicative of the results expected for the year. The accompanying unaudited condensed consolidated financial statements should be read in conjunction with the Notes to Consolidated Financial Statements contained in Foot Locker, Inc.’s (the “Company”) Form 10-K for the year ended January 28, 2017, as filed with the U.S. Securities and Exchange Commission (the “SEC”) on March 23, 2017.</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Recent Accounting Pronouncements</w:t>
      </w:r>
    </w:p>
    <w:p>
      <w:pPr>
        <w:spacing w:after="0" w:line="168" w:lineRule="exact"/>
        <w:rPr>
          <w:sz w:val="20"/>
          <w:szCs w:val="20"/>
          <w:color w:val="auto"/>
        </w:rPr>
      </w:pPr>
    </w:p>
    <w:p>
      <w:pPr>
        <w:jc w:val="both"/>
        <w:spacing w:after="0"/>
        <w:rPr>
          <w:sz w:val="20"/>
          <w:szCs w:val="20"/>
          <w:color w:val="auto"/>
        </w:rPr>
      </w:pPr>
      <w:r>
        <w:rPr>
          <w:rFonts w:ascii="Arial" w:cs="Arial" w:eastAsia="Arial" w:hAnsi="Arial"/>
          <w:sz w:val="15"/>
          <w:szCs w:val="15"/>
          <w:color w:val="auto"/>
        </w:rPr>
        <w:t xml:space="preserve">In May 2014, the Financial Accounting Standards Board (“FASB”) issued Accounting Standards Update (“ASU”) 2014-09, </w:t>
      </w:r>
      <w:r>
        <w:rPr>
          <w:rFonts w:ascii="Arial" w:cs="Arial" w:eastAsia="Arial" w:hAnsi="Arial"/>
          <w:sz w:val="15"/>
          <w:szCs w:val="15"/>
          <w:i w:val="1"/>
          <w:iCs w:val="1"/>
          <w:color w:val="auto"/>
        </w:rPr>
        <w:t>Revenue</w:t>
      </w:r>
      <w:r>
        <w:rPr>
          <w:rFonts w:ascii="Arial" w:cs="Arial" w:eastAsia="Arial" w:hAnsi="Arial"/>
          <w:sz w:val="15"/>
          <w:szCs w:val="15"/>
          <w:color w:val="auto"/>
        </w:rPr>
        <w:t xml:space="preserve"> </w:t>
      </w:r>
      <w:r>
        <w:rPr>
          <w:rFonts w:ascii="Arial" w:cs="Arial" w:eastAsia="Arial" w:hAnsi="Arial"/>
          <w:sz w:val="15"/>
          <w:szCs w:val="15"/>
          <w:i w:val="1"/>
          <w:iCs w:val="1"/>
          <w:color w:val="auto"/>
        </w:rPr>
        <w:t>from Contracts with Customers</w:t>
      </w:r>
      <w:r>
        <w:rPr>
          <w:rFonts w:ascii="Arial" w:cs="Arial" w:eastAsia="Arial" w:hAnsi="Arial"/>
          <w:sz w:val="15"/>
          <w:szCs w:val="15"/>
          <w:color w:val="auto"/>
        </w:rPr>
        <w:t>. The core principle of this amendment is that an entity should recognize revenue to depict the transfer</w:t>
      </w:r>
      <w:r>
        <w:rPr>
          <w:rFonts w:ascii="Arial" w:cs="Arial" w:eastAsia="Arial" w:hAnsi="Arial"/>
          <w:sz w:val="15"/>
          <w:szCs w:val="15"/>
          <w:i w:val="1"/>
          <w:iCs w:val="1"/>
          <w:color w:val="auto"/>
        </w:rPr>
        <w:t xml:space="preserve"> </w:t>
      </w:r>
      <w:r>
        <w:rPr>
          <w:rFonts w:ascii="Arial" w:cs="Arial" w:eastAsia="Arial" w:hAnsi="Arial"/>
          <w:sz w:val="15"/>
          <w:szCs w:val="15"/>
          <w:color w:val="auto"/>
        </w:rPr>
        <w:t>of promised goods or services to customers in an amount that reflects the consideration to which the entity expects to be entitled in exchange for those goods or services. ASU 2014-09, as amended by ASU 2015-14, ASU 2016-08, ASU 2016-10, ASU 2016-12 and ASU 2016-20, is effective for annual reporting periods beginning after December 15, 2017, and interim periods therein. Earlier application is permitted for annual reporting periods beginning after December 15, 2016. These ASUs can be adopted either retrospectively to each prior reporting period presented or as a cumulative-effect adjustment as of the date of adoption. The Company does not expect to adopt these ASUs until required, and has not yet selected the transition method. Based on an evaluation of the standard as a whole, the Company has identified gift card breakage, direct-response advertising, and principal versus agent considerations as areas which will most likely be affected by the new revenue recognition guidance. We are in the process of finalizing the analysis of our revenue streams and quantifying the effects on the areas discussed above, and we currently do not expect the adoption will significantly affect our consolidated statements of operations, financial position or cash flows.</w:t>
      </w:r>
    </w:p>
    <w:p>
      <w:pPr>
        <w:spacing w:after="0" w:line="144"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 xml:space="preserve">In February 2016, the FASB issued ASU 2016-02, </w:t>
      </w:r>
      <w:r>
        <w:rPr>
          <w:rFonts w:ascii="Arial" w:cs="Arial" w:eastAsia="Arial" w:hAnsi="Arial"/>
          <w:sz w:val="15"/>
          <w:szCs w:val="15"/>
          <w:i w:val="1"/>
          <w:iCs w:val="1"/>
          <w:color w:val="auto"/>
        </w:rPr>
        <w:t>Leases</w:t>
      </w:r>
      <w:r>
        <w:rPr>
          <w:rFonts w:ascii="Arial" w:cs="Arial" w:eastAsia="Arial" w:hAnsi="Arial"/>
          <w:sz w:val="15"/>
          <w:szCs w:val="15"/>
          <w:color w:val="auto"/>
        </w:rPr>
        <w:t>. This ASU requires lessees to recognize a lease liability and a right-of-use asset for all leases, as well as additional disclosure regarding leasing arrangements. This standard will be effective for fiscal years beginning after December 15, 2018, including interim periods therein, and requires a modified retrospective adoption, with earlier adoption permitted. The Company does not expect to adopt this ASU early and is evaluating the effect of this guidance. The Company has historically presented a non-GAAP measure to adjust its balance sheet to present operating leases as if they were capital leases. Based upon that analysis and preliminary evaluation of the standard, we estimate the adoption will result in the addition of $3 billion to $4 billion of assets and liabilities on our consolidated balance sheet, with no significant change to our consolidated statements of operations or cash flows.</w:t>
      </w:r>
    </w:p>
    <w:p>
      <w:pPr>
        <w:spacing w:after="0" w:line="141" w:lineRule="exact"/>
        <w:rPr>
          <w:sz w:val="20"/>
          <w:szCs w:val="20"/>
          <w:color w:val="auto"/>
        </w:rPr>
      </w:pPr>
    </w:p>
    <w:p>
      <w:pPr>
        <w:jc w:val="both"/>
        <w:spacing w:after="0"/>
        <w:rPr>
          <w:sz w:val="20"/>
          <w:szCs w:val="20"/>
          <w:color w:val="auto"/>
        </w:rPr>
      </w:pPr>
      <w:r>
        <w:rPr>
          <w:rFonts w:ascii="Arial" w:cs="Arial" w:eastAsia="Arial" w:hAnsi="Arial"/>
          <w:sz w:val="15"/>
          <w:szCs w:val="15"/>
          <w:color w:val="auto"/>
        </w:rPr>
        <w:t xml:space="preserve">In October 2016, the FASB issued ASU 2016-16, </w:t>
      </w:r>
      <w:r>
        <w:rPr>
          <w:rFonts w:ascii="Arial" w:cs="Arial" w:eastAsia="Arial" w:hAnsi="Arial"/>
          <w:sz w:val="15"/>
          <w:szCs w:val="15"/>
          <w:i w:val="1"/>
          <w:iCs w:val="1"/>
          <w:color w:val="auto"/>
        </w:rPr>
        <w:t>Income Taxes (Topic 740): Intra-Entity Transfers of Assets Other Than Inventory</w:t>
      </w:r>
      <w:r>
        <w:rPr>
          <w:rFonts w:ascii="Arial" w:cs="Arial" w:eastAsia="Arial" w:hAnsi="Arial"/>
          <w:sz w:val="15"/>
          <w:szCs w:val="15"/>
          <w:color w:val="auto"/>
        </w:rPr>
        <w:t>. ASU 2016-16 requires recognition of income tax consequences of an intra-entity transfer of an asset other than inventory when the transfer occurs. This ASU is effective for annual reporting periods beginning after December 15, 2017, including interim periods therein, with early adoption permitted. The Company does not expect to adopt this ASU until required. The amendments in this update should be applied on a modified retrospective basis through a cumulative-effect adjustment directly to retained earnings as of the beginning of the period of adoption. Upon adoption, a company would write off any income tax effects that had been deferred from past intercompany transactions involving non-inventory assets to opening retained earnings. In addition, an entity would record deferred tax assets with an offset to opening retained earnings for amounts that entity had previously not recognized under existing guidance but would recognize under the new guidance. While we could initiate additional relevant transactions prior to this ASU’s adoption date, based on deferred tax amounts related to applicable past intercompany transactions as of April 29, 2017, we expect it will result in an increase in deferred income tax assets of approximately $30 million to $40 million.</w:t>
      </w:r>
    </w:p>
    <w:p>
      <w:pPr>
        <w:spacing w:after="0" w:line="162"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Other recently issued accounting pronouncements did not, or are not believed by management to, have a material effect on the Company’s present or future consolidated financial statements.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190500</wp:posOffset>
            </wp:positionV>
            <wp:extent cx="5817870" cy="482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123" w:right="1399" w:bottom="1440" w:gutter="0" w:footer="0" w:header="0"/>
        </w:sectPr>
      </w:pPr>
    </w:p>
    <w:bookmarkStart w:id="7" w:name="page8"/>
    <w:bookmarkEnd w:id="7"/>
    <w:p>
      <w:pPr>
        <w:jc w:val="center"/>
        <w:spacing w:after="0"/>
        <w:rPr>
          <w:sz w:val="20"/>
          <w:szCs w:val="20"/>
          <w:color w:val="auto"/>
        </w:rPr>
      </w:pPr>
      <w:r>
        <w:rPr>
          <w:rFonts w:ascii="Arial" w:cs="Arial" w:eastAsia="Arial" w:hAnsi="Arial"/>
          <w:sz w:val="15"/>
          <w:szCs w:val="15"/>
          <w:b w:val="1"/>
          <w:bCs w:val="1"/>
          <w:color w:val="auto"/>
        </w:rPr>
        <w:t>FOOT LOCKER,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CONDENSED CONSOLIDATED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Recently Adopted Accounting Pronouncements</w:t>
      </w:r>
    </w:p>
    <w:p>
      <w:pPr>
        <w:spacing w:after="0" w:line="144"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 xml:space="preserve">In March 2016, the FASB issued ASU 2016-09, </w:t>
      </w:r>
      <w:r>
        <w:rPr>
          <w:rFonts w:ascii="Arial" w:cs="Arial" w:eastAsia="Arial" w:hAnsi="Arial"/>
          <w:sz w:val="15"/>
          <w:szCs w:val="15"/>
          <w:i w:val="1"/>
          <w:iCs w:val="1"/>
          <w:color w:val="auto"/>
        </w:rPr>
        <w:t>Improvements to Employee Share-Based Payment Accounting.</w:t>
      </w:r>
      <w:r>
        <w:rPr>
          <w:rFonts w:ascii="Arial" w:cs="Arial" w:eastAsia="Arial" w:hAnsi="Arial"/>
          <w:sz w:val="15"/>
          <w:szCs w:val="15"/>
          <w:color w:val="auto"/>
        </w:rPr>
        <w:t xml:space="preserve"> ASU 2016-09 simplifies the accounting for share-based payment transactions, including tax consequences, forfeitures, and classifications of the tax related items in the statement of cash flows. The Company adopted ASU 2016-09 during the first quarter of 2017. Amendments relating to accounting for excess tax benefits and deficiencies have been adopted prospectively. For the thirteen weeks ended April 29, 2017, the Company recorded excess tax benefits related to share-based compensation awards of $7 million to the income statement, within the income tax provision, whereas such benefits were previously recognized in equity. Also, in the diluted net earnings per share calculation, when applying the treasury stock method for shares that could be repurchased, the assumed proceeds no longer include the amount of excess tax benefit. This ASU also requires that we now present excess tax benefits or deficiencies as operating activities in our condensed consolidated statement of cash flow. As a result of adopting this change retrospectively, we reclassified excess tax benefits of $6 million which were previously classified as cash flows from financing activities to operating activities for the first quarter of 2016. Additionally, the presentation of employee taxes paid to taxing authorities for share-based transactions of $6 million, previously classified as cash flows from operating activities were reclassified to financing activities for the first quarter of 2016. The Company has made a policy election of recording forfeitures as they occur instead of estimating forfeitures using a modified retrospective approach. The cumulative effect of this change was not significant.</w:t>
      </w:r>
    </w:p>
    <w:p>
      <w:pPr>
        <w:spacing w:after="0" w:line="144"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 xml:space="preserve">In November 2016, the FASB issued ASU 2016-18, </w:t>
      </w:r>
      <w:r>
        <w:rPr>
          <w:rFonts w:ascii="Arial" w:cs="Arial" w:eastAsia="Arial" w:hAnsi="Arial"/>
          <w:sz w:val="15"/>
          <w:szCs w:val="15"/>
          <w:i w:val="1"/>
          <w:iCs w:val="1"/>
          <w:color w:val="auto"/>
        </w:rPr>
        <w:t>Statement of Cash Flows (Topic 230): Restricted Cash.</w:t>
      </w:r>
      <w:r>
        <w:rPr>
          <w:rFonts w:ascii="Arial" w:cs="Arial" w:eastAsia="Arial" w:hAnsi="Arial"/>
          <w:sz w:val="15"/>
          <w:szCs w:val="15"/>
          <w:color w:val="auto"/>
        </w:rPr>
        <w:t xml:space="preserve"> ASU 2016-18 requires that a statement of cash flows explain the change during the period in the total cash, cash equivalents, and amounts generally described as restricted cash and restricted cash equivalents when reconciling the beginning-of-period and end-of-period total amounts. This ASU is effective for annual reporting periods beginning after December 15, 2017 including interim periods therein, with early adoption permitted. The Company has adopted this ASU as of the first quarter of 2017. Accordingly, as required by this ASU, we restated our cash and cash equivalents balances in the condensed consolidated statements of cash flows to include restricted cash of $28 million and $27 million as of April 30, 2016 and January 30, 2016, respectively, and $27 million as of January 28, 2017. As required by the ASU, we have provided a reconciliation from cash and cash equivalents as presented on our condensed consolidated balance sheets to cash, cash equivalents, and restricted cash as reported on our condensed consolidated statements of cash flows. See Note 3, </w:t>
      </w:r>
      <w:r>
        <w:rPr>
          <w:rFonts w:ascii="Arial" w:cs="Arial" w:eastAsia="Arial" w:hAnsi="Arial"/>
          <w:sz w:val="15"/>
          <w:szCs w:val="15"/>
          <w:i w:val="1"/>
          <w:iCs w:val="1"/>
          <w:color w:val="auto"/>
        </w:rPr>
        <w:t>Restricted Cash</w:t>
      </w:r>
      <w:r>
        <w:rPr>
          <w:rFonts w:ascii="Arial" w:cs="Arial" w:eastAsia="Arial" w:hAnsi="Arial"/>
          <w:sz w:val="15"/>
          <w:szCs w:val="15"/>
          <w:color w:val="auto"/>
        </w:rPr>
        <w:t>, for this reconciliation, as well as a discussion of the nature of our restricted cash balances.</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 Segment Information</w:t>
      </w:r>
    </w:p>
    <w:p>
      <w:pPr>
        <w:spacing w:after="0" w:line="101" w:lineRule="exact"/>
        <w:rPr>
          <w:sz w:val="20"/>
          <w:szCs w:val="20"/>
          <w:color w:val="auto"/>
        </w:rPr>
      </w:pPr>
    </w:p>
    <w:p>
      <w:pPr>
        <w:jc w:val="both"/>
        <w:ind w:left="20" w:right="20"/>
        <w:spacing w:after="0" w:line="242" w:lineRule="auto"/>
        <w:rPr>
          <w:sz w:val="20"/>
          <w:szCs w:val="20"/>
          <w:color w:val="auto"/>
        </w:rPr>
      </w:pPr>
      <w:r>
        <w:rPr>
          <w:rFonts w:ascii="Arial" w:cs="Arial" w:eastAsia="Arial" w:hAnsi="Arial"/>
          <w:sz w:val="15"/>
          <w:szCs w:val="15"/>
          <w:color w:val="auto"/>
        </w:rPr>
        <w:t>The Company has determined that its reportable segments are those that are based on its method of internal reporting. The Company has two reportable segments, Athletic Stores and Direct-to-Customers. The Company evaluates performance based on several factors, of which the primary financial measure is division results. Division profit reflects income before income taxes, corporate expense, non-operating income, and net interest expense.</w:t>
      </w:r>
    </w:p>
    <w:p>
      <w:pPr>
        <w:spacing w:after="0" w:line="40" w:lineRule="exact"/>
        <w:rPr>
          <w:sz w:val="20"/>
          <w:szCs w:val="20"/>
          <w:color w:val="auto"/>
        </w:rPr>
      </w:pPr>
    </w:p>
    <w:p>
      <w:pPr>
        <w:ind w:left="6100"/>
        <w:spacing w:after="0"/>
        <w:rPr>
          <w:sz w:val="20"/>
          <w:szCs w:val="20"/>
          <w:color w:val="auto"/>
        </w:rPr>
      </w:pPr>
      <w:r>
        <w:rPr>
          <w:rFonts w:ascii="Arial" w:cs="Arial" w:eastAsia="Arial" w:hAnsi="Arial"/>
          <w:sz w:val="15"/>
          <w:szCs w:val="15"/>
          <w:b w:val="1"/>
          <w:bCs w:val="1"/>
          <w:color w:val="auto"/>
        </w:rPr>
        <w:t>Thirteen weeks ended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20" w:type="dxa"/>
            <w:vAlign w:val="bottom"/>
            <w:tcBorders>
              <w:top w:val="single" w:sz="8" w:color="auto"/>
              <w:bottom w:val="single" w:sz="8" w:color="auto"/>
            </w:tcBorders>
          </w:tcPr>
          <w:p>
            <w:pPr>
              <w:spacing w:after="0"/>
              <w:rPr>
                <w:sz w:val="14"/>
                <w:szCs w:val="14"/>
                <w:color w:val="auto"/>
              </w:rPr>
            </w:pPr>
          </w:p>
        </w:tc>
        <w:tc>
          <w:tcPr>
            <w:tcW w:w="2880" w:type="dxa"/>
            <w:vAlign w:val="bottom"/>
            <w:tcBorders>
              <w:top w:val="single" w:sz="8" w:color="auto"/>
              <w:bottom w:val="single" w:sz="8" w:color="auto"/>
            </w:tcBorders>
          </w:tcPr>
          <w:p>
            <w:pPr>
              <w:jc w:val="right"/>
              <w:spacing w:after="0" w:line="163" w:lineRule="exact"/>
              <w:rPr>
                <w:sz w:val="20"/>
                <w:szCs w:val="20"/>
                <w:color w:val="auto"/>
              </w:rPr>
            </w:pPr>
            <w:r>
              <w:rPr>
                <w:rFonts w:ascii="Arial" w:cs="Arial" w:eastAsia="Arial" w:hAnsi="Arial"/>
                <w:sz w:val="15"/>
                <w:szCs w:val="15"/>
                <w:b w:val="1"/>
                <w:bCs w:val="1"/>
                <w:color w:val="auto"/>
              </w:rPr>
              <w:t>April 29, 2017</w:t>
            </w:r>
          </w:p>
        </w:tc>
        <w:tc>
          <w:tcPr>
            <w:tcW w:w="70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1640" w:type="dxa"/>
            <w:vAlign w:val="bottom"/>
            <w:tcBorders>
              <w:top w:val="single" w:sz="8" w:color="auto"/>
              <w:bottom w:val="single" w:sz="8" w:color="auto"/>
            </w:tcBorders>
          </w:tcPr>
          <w:p>
            <w:pPr>
              <w:jc w:val="right"/>
              <w:ind w:right="443"/>
              <w:spacing w:after="0" w:line="163" w:lineRule="exact"/>
              <w:rPr>
                <w:sz w:val="20"/>
                <w:szCs w:val="20"/>
                <w:color w:val="auto"/>
              </w:rPr>
            </w:pPr>
            <w:r>
              <w:rPr>
                <w:rFonts w:ascii="Arial" w:cs="Arial" w:eastAsia="Arial" w:hAnsi="Arial"/>
                <w:sz w:val="15"/>
                <w:szCs w:val="15"/>
                <w:b w:val="1"/>
                <w:bCs w:val="1"/>
                <w:color w:val="auto"/>
              </w:rPr>
              <w:t>April 30, 2016</w:t>
            </w:r>
          </w:p>
        </w:tc>
      </w:tr>
      <w:tr>
        <w:trPr>
          <w:trHeight w:val="162"/>
        </w:trPr>
        <w:tc>
          <w:tcPr>
            <w:tcW w:w="3420" w:type="dxa"/>
            <w:vAlign w:val="bottom"/>
            <w:shd w:val="clear" w:color="auto" w:fill="CCEEFF"/>
          </w:tcPr>
          <w:p>
            <w:pPr>
              <w:spacing w:after="0" w:line="163" w:lineRule="exact"/>
              <w:rPr>
                <w:sz w:val="20"/>
                <w:szCs w:val="20"/>
                <w:color w:val="auto"/>
              </w:rPr>
            </w:pPr>
            <w:r>
              <w:rPr>
                <w:rFonts w:ascii="Arial" w:cs="Arial" w:eastAsia="Arial" w:hAnsi="Arial"/>
                <w:sz w:val="15"/>
                <w:szCs w:val="15"/>
                <w:b w:val="1"/>
                <w:bCs w:val="1"/>
                <w:color w:val="auto"/>
              </w:rPr>
              <w:t>Sales</w:t>
            </w:r>
          </w:p>
        </w:tc>
        <w:tc>
          <w:tcPr>
            <w:tcW w:w="28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3"/>
              <w:spacing w:after="0" w:line="163" w:lineRule="exact"/>
              <w:rPr>
                <w:sz w:val="20"/>
                <w:szCs w:val="20"/>
                <w:color w:val="auto"/>
              </w:rPr>
            </w:pPr>
            <w:r>
              <w:rPr>
                <w:rFonts w:ascii="Arial" w:cs="Arial" w:eastAsia="Arial" w:hAnsi="Arial"/>
                <w:sz w:val="15"/>
                <w:szCs w:val="15"/>
                <w:color w:val="auto"/>
              </w:rPr>
              <w:t>($ in millions)</w:t>
            </w:r>
          </w:p>
        </w:tc>
        <w:tc>
          <w:tcPr>
            <w:tcW w:w="1640" w:type="dxa"/>
            <w:vAlign w:val="bottom"/>
            <w:shd w:val="clear" w:color="auto" w:fill="CCEEFF"/>
          </w:tcPr>
          <w:p>
            <w:pPr>
              <w:spacing w:after="0"/>
              <w:rPr>
                <w:sz w:val="14"/>
                <w:szCs w:val="14"/>
                <w:color w:val="auto"/>
              </w:rPr>
            </w:pPr>
          </w:p>
        </w:tc>
      </w:tr>
      <w:tr>
        <w:trPr>
          <w:trHeight w:val="182"/>
        </w:trPr>
        <w:tc>
          <w:tcPr>
            <w:tcW w:w="3420" w:type="dxa"/>
            <w:vAlign w:val="bottom"/>
          </w:tcPr>
          <w:p>
            <w:pPr>
              <w:spacing w:after="0"/>
              <w:rPr>
                <w:sz w:val="20"/>
                <w:szCs w:val="20"/>
                <w:color w:val="auto"/>
              </w:rPr>
            </w:pPr>
            <w:r>
              <w:rPr>
                <w:rFonts w:ascii="Arial" w:cs="Arial" w:eastAsia="Arial" w:hAnsi="Arial"/>
                <w:sz w:val="15"/>
                <w:szCs w:val="15"/>
                <w:color w:val="auto"/>
              </w:rPr>
              <w:t>Athletic Stores</w:t>
            </w:r>
          </w:p>
        </w:tc>
        <w:tc>
          <w:tcPr>
            <w:tcW w:w="2880" w:type="dxa"/>
            <w:vAlign w:val="bottom"/>
          </w:tcPr>
          <w:p>
            <w:pPr>
              <w:jc w:val="right"/>
              <w:ind w:right="1243"/>
              <w:spacing w:after="0"/>
              <w:rPr>
                <w:sz w:val="20"/>
                <w:szCs w:val="20"/>
                <w:color w:val="auto"/>
              </w:rPr>
            </w:pPr>
            <w:r>
              <w:rPr>
                <w:rFonts w:ascii="Arial" w:cs="Arial" w:eastAsia="Arial" w:hAnsi="Arial"/>
                <w:sz w:val="15"/>
                <w:szCs w:val="15"/>
                <w:b w:val="1"/>
                <w:bCs w:val="1"/>
                <w:color w:val="auto"/>
              </w:rPr>
              <w:t>$</w:t>
            </w:r>
          </w:p>
        </w:tc>
        <w:tc>
          <w:tcPr>
            <w:tcW w:w="700" w:type="dxa"/>
            <w:vAlign w:val="bottom"/>
          </w:tcPr>
          <w:p>
            <w:pPr>
              <w:jc w:val="right"/>
              <w:ind w:right="183"/>
              <w:spacing w:after="0"/>
              <w:rPr>
                <w:sz w:val="20"/>
                <w:szCs w:val="20"/>
                <w:color w:val="auto"/>
              </w:rPr>
            </w:pPr>
            <w:r>
              <w:rPr>
                <w:rFonts w:ascii="Arial" w:cs="Arial" w:eastAsia="Arial" w:hAnsi="Arial"/>
                <w:sz w:val="15"/>
                <w:szCs w:val="15"/>
                <w:b w:val="1"/>
                <w:bCs w:val="1"/>
                <w:color w:val="auto"/>
              </w:rPr>
              <w:t>1,722</w:t>
            </w:r>
          </w:p>
        </w:tc>
        <w:tc>
          <w:tcPr>
            <w:tcW w:w="46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1640" w:type="dxa"/>
            <w:vAlign w:val="bottom"/>
          </w:tcPr>
          <w:p>
            <w:pPr>
              <w:jc w:val="right"/>
              <w:spacing w:after="0"/>
              <w:rPr>
                <w:sz w:val="20"/>
                <w:szCs w:val="20"/>
                <w:color w:val="auto"/>
              </w:rPr>
            </w:pPr>
            <w:r>
              <w:rPr>
                <w:rFonts w:ascii="Arial" w:cs="Arial" w:eastAsia="Arial" w:hAnsi="Arial"/>
                <w:sz w:val="15"/>
                <w:szCs w:val="15"/>
                <w:color w:val="auto"/>
              </w:rPr>
              <w:t>1,735</w:t>
            </w:r>
          </w:p>
        </w:tc>
      </w:tr>
      <w:tr>
        <w:trPr>
          <w:trHeight w:val="182"/>
        </w:trPr>
        <w:tc>
          <w:tcPr>
            <w:tcW w:w="3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Direct-to-Customers</w:t>
            </w:r>
          </w:p>
        </w:tc>
        <w:tc>
          <w:tcPr>
            <w:tcW w:w="28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b w:val="1"/>
                <w:bCs w:val="1"/>
                <w:color w:val="auto"/>
              </w:rPr>
              <w:t>279</w:t>
            </w:r>
          </w:p>
        </w:tc>
        <w:tc>
          <w:tcPr>
            <w:tcW w:w="460" w:type="dxa"/>
            <w:vAlign w:val="bottom"/>
            <w:tcBorders>
              <w:bottom w:val="single" w:sz="8" w:color="auto"/>
            </w:tcBorders>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252</w:t>
            </w:r>
          </w:p>
        </w:tc>
      </w:tr>
      <w:tr>
        <w:trPr>
          <w:trHeight w:val="162"/>
        </w:trPr>
        <w:tc>
          <w:tcPr>
            <w:tcW w:w="3420" w:type="dxa"/>
            <w:vAlign w:val="bottom"/>
            <w:tcBorders>
              <w:bottom w:val="single" w:sz="8" w:color="auto"/>
            </w:tcBorders>
          </w:tcPr>
          <w:p>
            <w:pPr>
              <w:spacing w:after="0" w:line="163" w:lineRule="exact"/>
              <w:rPr>
                <w:sz w:val="20"/>
                <w:szCs w:val="20"/>
                <w:color w:val="auto"/>
              </w:rPr>
            </w:pPr>
            <w:r>
              <w:rPr>
                <w:rFonts w:ascii="Arial" w:cs="Arial" w:eastAsia="Arial" w:hAnsi="Arial"/>
                <w:sz w:val="15"/>
                <w:szCs w:val="15"/>
                <w:color w:val="auto"/>
              </w:rPr>
              <w:t>Total sales</w:t>
            </w:r>
          </w:p>
        </w:tc>
        <w:tc>
          <w:tcPr>
            <w:tcW w:w="2880" w:type="dxa"/>
            <w:vAlign w:val="bottom"/>
            <w:tcBorders>
              <w:bottom w:val="single" w:sz="8" w:color="auto"/>
            </w:tcBorders>
          </w:tcPr>
          <w:p>
            <w:pPr>
              <w:jc w:val="right"/>
              <w:ind w:right="1243"/>
              <w:spacing w:after="0" w:line="163" w:lineRule="exact"/>
              <w:rPr>
                <w:sz w:val="20"/>
                <w:szCs w:val="20"/>
                <w:color w:val="auto"/>
              </w:rPr>
            </w:pPr>
            <w:r>
              <w:rPr>
                <w:rFonts w:ascii="Arial" w:cs="Arial" w:eastAsia="Arial" w:hAnsi="Arial"/>
                <w:sz w:val="15"/>
                <w:szCs w:val="15"/>
                <w:b w:val="1"/>
                <w:bCs w:val="1"/>
                <w:color w:val="auto"/>
              </w:rPr>
              <w:t>$</w:t>
            </w:r>
          </w:p>
        </w:tc>
        <w:tc>
          <w:tcPr>
            <w:tcW w:w="700" w:type="dxa"/>
            <w:vAlign w:val="bottom"/>
            <w:tcBorders>
              <w:bottom w:val="single" w:sz="8" w:color="auto"/>
            </w:tcBorders>
          </w:tcPr>
          <w:p>
            <w:pPr>
              <w:jc w:val="right"/>
              <w:ind w:right="183"/>
              <w:spacing w:after="0" w:line="163" w:lineRule="exact"/>
              <w:rPr>
                <w:sz w:val="20"/>
                <w:szCs w:val="20"/>
                <w:color w:val="auto"/>
              </w:rPr>
            </w:pPr>
            <w:r>
              <w:rPr>
                <w:rFonts w:ascii="Arial" w:cs="Arial" w:eastAsia="Arial" w:hAnsi="Arial"/>
                <w:sz w:val="15"/>
                <w:szCs w:val="15"/>
                <w:b w:val="1"/>
                <w:bCs w:val="1"/>
                <w:color w:val="auto"/>
              </w:rPr>
              <w:t>2,001</w:t>
            </w:r>
          </w:p>
        </w:tc>
        <w:tc>
          <w:tcPr>
            <w:tcW w:w="460" w:type="dxa"/>
            <w:vAlign w:val="bottom"/>
            <w:tcBorders>
              <w:bottom w:val="single" w:sz="8" w:color="auto"/>
            </w:tcBorders>
          </w:tcPr>
          <w:p>
            <w:pPr>
              <w:jc w:val="right"/>
              <w:ind w:right="63"/>
              <w:spacing w:after="0" w:line="163" w:lineRule="exact"/>
              <w:rPr>
                <w:sz w:val="20"/>
                <w:szCs w:val="20"/>
                <w:color w:val="auto"/>
              </w:rPr>
            </w:pPr>
            <w:r>
              <w:rPr>
                <w:rFonts w:ascii="Arial" w:cs="Arial" w:eastAsia="Arial" w:hAnsi="Arial"/>
                <w:sz w:val="15"/>
                <w:szCs w:val="15"/>
                <w:color w:val="auto"/>
              </w:rPr>
              <w:t>$</w:t>
            </w:r>
          </w:p>
        </w:tc>
        <w:tc>
          <w:tcPr>
            <w:tcW w:w="164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color w:val="auto"/>
              </w:rPr>
              <w:t>1,987</w:t>
            </w:r>
          </w:p>
        </w:tc>
      </w:tr>
      <w:tr>
        <w:trPr>
          <w:trHeight w:val="162"/>
        </w:trPr>
        <w:tc>
          <w:tcPr>
            <w:tcW w:w="3420" w:type="dxa"/>
            <w:vAlign w:val="bottom"/>
            <w:shd w:val="clear" w:color="auto" w:fill="CCEEFF"/>
          </w:tcPr>
          <w:p>
            <w:pPr>
              <w:spacing w:after="0" w:line="163" w:lineRule="exact"/>
              <w:rPr>
                <w:sz w:val="20"/>
                <w:szCs w:val="20"/>
                <w:color w:val="auto"/>
              </w:rPr>
            </w:pPr>
            <w:r>
              <w:rPr>
                <w:rFonts w:ascii="Arial" w:cs="Arial" w:eastAsia="Arial" w:hAnsi="Arial"/>
                <w:sz w:val="15"/>
                <w:szCs w:val="15"/>
                <w:b w:val="1"/>
                <w:bCs w:val="1"/>
                <w:color w:val="auto"/>
              </w:rPr>
              <w:t>Operating Results</w:t>
            </w:r>
          </w:p>
        </w:tc>
        <w:tc>
          <w:tcPr>
            <w:tcW w:w="28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r>
      <w:tr>
        <w:trPr>
          <w:trHeight w:val="182"/>
        </w:trPr>
        <w:tc>
          <w:tcPr>
            <w:tcW w:w="3420" w:type="dxa"/>
            <w:vAlign w:val="bottom"/>
          </w:tcPr>
          <w:p>
            <w:pPr>
              <w:spacing w:after="0"/>
              <w:rPr>
                <w:sz w:val="20"/>
                <w:szCs w:val="20"/>
                <w:color w:val="auto"/>
              </w:rPr>
            </w:pPr>
            <w:r>
              <w:rPr>
                <w:rFonts w:ascii="Arial" w:cs="Arial" w:eastAsia="Arial" w:hAnsi="Arial"/>
                <w:sz w:val="15"/>
                <w:szCs w:val="15"/>
                <w:color w:val="auto"/>
              </w:rPr>
              <w:t>Athletic Stores</w:t>
            </w:r>
          </w:p>
        </w:tc>
        <w:tc>
          <w:tcPr>
            <w:tcW w:w="2880" w:type="dxa"/>
            <w:vAlign w:val="bottom"/>
          </w:tcPr>
          <w:p>
            <w:pPr>
              <w:jc w:val="right"/>
              <w:ind w:right="1243"/>
              <w:spacing w:after="0"/>
              <w:rPr>
                <w:sz w:val="20"/>
                <w:szCs w:val="20"/>
                <w:color w:val="auto"/>
              </w:rPr>
            </w:pPr>
            <w:r>
              <w:rPr>
                <w:rFonts w:ascii="Arial" w:cs="Arial" w:eastAsia="Arial" w:hAnsi="Arial"/>
                <w:sz w:val="15"/>
                <w:szCs w:val="15"/>
                <w:b w:val="1"/>
                <w:bCs w:val="1"/>
                <w:color w:val="auto"/>
              </w:rPr>
              <w:t>$</w:t>
            </w:r>
          </w:p>
        </w:tc>
        <w:tc>
          <w:tcPr>
            <w:tcW w:w="700" w:type="dxa"/>
            <w:vAlign w:val="bottom"/>
          </w:tcPr>
          <w:p>
            <w:pPr>
              <w:jc w:val="right"/>
              <w:ind w:right="183"/>
              <w:spacing w:after="0"/>
              <w:rPr>
                <w:sz w:val="20"/>
                <w:szCs w:val="20"/>
                <w:color w:val="auto"/>
              </w:rPr>
            </w:pPr>
            <w:r>
              <w:rPr>
                <w:rFonts w:ascii="Arial" w:cs="Arial" w:eastAsia="Arial" w:hAnsi="Arial"/>
                <w:sz w:val="15"/>
                <w:szCs w:val="15"/>
                <w:b w:val="1"/>
                <w:bCs w:val="1"/>
                <w:color w:val="auto"/>
              </w:rPr>
              <w:t>241</w:t>
            </w:r>
          </w:p>
        </w:tc>
        <w:tc>
          <w:tcPr>
            <w:tcW w:w="46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1640" w:type="dxa"/>
            <w:vAlign w:val="bottom"/>
          </w:tcPr>
          <w:p>
            <w:pPr>
              <w:jc w:val="right"/>
              <w:spacing w:after="0"/>
              <w:rPr>
                <w:sz w:val="20"/>
                <w:szCs w:val="20"/>
                <w:color w:val="auto"/>
              </w:rPr>
            </w:pPr>
            <w:r>
              <w:rPr>
                <w:rFonts w:ascii="Arial" w:cs="Arial" w:eastAsia="Arial" w:hAnsi="Arial"/>
                <w:sz w:val="15"/>
                <w:szCs w:val="15"/>
                <w:color w:val="auto"/>
              </w:rPr>
              <w:t>277</w:t>
            </w:r>
          </w:p>
        </w:tc>
      </w:tr>
      <w:tr>
        <w:trPr>
          <w:trHeight w:val="182"/>
        </w:trPr>
        <w:tc>
          <w:tcPr>
            <w:tcW w:w="3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Direct-to-Customers</w:t>
            </w:r>
          </w:p>
        </w:tc>
        <w:tc>
          <w:tcPr>
            <w:tcW w:w="28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b w:val="1"/>
                <w:bCs w:val="1"/>
                <w:color w:val="auto"/>
              </w:rPr>
              <w:t>42</w:t>
            </w:r>
          </w:p>
        </w:tc>
        <w:tc>
          <w:tcPr>
            <w:tcW w:w="460" w:type="dxa"/>
            <w:vAlign w:val="bottom"/>
            <w:tcBorders>
              <w:bottom w:val="single" w:sz="8" w:color="auto"/>
            </w:tcBorders>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w:t>
            </w:r>
          </w:p>
        </w:tc>
      </w:tr>
      <w:tr>
        <w:trPr>
          <w:trHeight w:val="162"/>
        </w:trPr>
        <w:tc>
          <w:tcPr>
            <w:tcW w:w="3420" w:type="dxa"/>
            <w:vAlign w:val="bottom"/>
          </w:tcPr>
          <w:p>
            <w:pPr>
              <w:spacing w:after="0" w:line="163" w:lineRule="exact"/>
              <w:rPr>
                <w:sz w:val="20"/>
                <w:szCs w:val="20"/>
                <w:color w:val="auto"/>
              </w:rPr>
            </w:pPr>
            <w:r>
              <w:rPr>
                <w:rFonts w:ascii="Arial" w:cs="Arial" w:eastAsia="Arial" w:hAnsi="Arial"/>
                <w:sz w:val="15"/>
                <w:szCs w:val="15"/>
                <w:color w:val="auto"/>
              </w:rPr>
              <w:t>Division profit</w:t>
            </w:r>
          </w:p>
        </w:tc>
        <w:tc>
          <w:tcPr>
            <w:tcW w:w="2880" w:type="dxa"/>
            <w:vAlign w:val="bottom"/>
          </w:tcPr>
          <w:p>
            <w:pPr>
              <w:spacing w:after="0"/>
              <w:rPr>
                <w:sz w:val="14"/>
                <w:szCs w:val="14"/>
                <w:color w:val="auto"/>
              </w:rPr>
            </w:pPr>
          </w:p>
        </w:tc>
        <w:tc>
          <w:tcPr>
            <w:tcW w:w="700" w:type="dxa"/>
            <w:vAlign w:val="bottom"/>
          </w:tcPr>
          <w:p>
            <w:pPr>
              <w:jc w:val="right"/>
              <w:ind w:right="183"/>
              <w:spacing w:after="0" w:line="163" w:lineRule="exact"/>
              <w:rPr>
                <w:sz w:val="20"/>
                <w:szCs w:val="20"/>
                <w:color w:val="auto"/>
              </w:rPr>
            </w:pPr>
            <w:r>
              <w:rPr>
                <w:rFonts w:ascii="Arial" w:cs="Arial" w:eastAsia="Arial" w:hAnsi="Arial"/>
                <w:sz w:val="15"/>
                <w:szCs w:val="15"/>
                <w:b w:val="1"/>
                <w:bCs w:val="1"/>
                <w:color w:val="auto"/>
              </w:rPr>
              <w:t>283</w:t>
            </w:r>
          </w:p>
        </w:tc>
        <w:tc>
          <w:tcPr>
            <w:tcW w:w="460" w:type="dxa"/>
            <w:vAlign w:val="bottom"/>
          </w:tcPr>
          <w:p>
            <w:pPr>
              <w:spacing w:after="0"/>
              <w:rPr>
                <w:sz w:val="14"/>
                <w:szCs w:val="14"/>
                <w:color w:val="auto"/>
              </w:rPr>
            </w:pPr>
          </w:p>
        </w:tc>
        <w:tc>
          <w:tcPr>
            <w:tcW w:w="1640" w:type="dxa"/>
            <w:vAlign w:val="bottom"/>
          </w:tcPr>
          <w:p>
            <w:pPr>
              <w:jc w:val="right"/>
              <w:spacing w:after="0" w:line="163" w:lineRule="exact"/>
              <w:rPr>
                <w:sz w:val="20"/>
                <w:szCs w:val="20"/>
                <w:color w:val="auto"/>
              </w:rPr>
            </w:pPr>
            <w:r>
              <w:rPr>
                <w:rFonts w:ascii="Arial" w:cs="Arial" w:eastAsia="Arial" w:hAnsi="Arial"/>
                <w:sz w:val="15"/>
                <w:szCs w:val="15"/>
                <w:color w:val="auto"/>
              </w:rPr>
              <w:t>315</w:t>
            </w:r>
          </w:p>
        </w:tc>
      </w:tr>
      <w:tr>
        <w:trPr>
          <w:trHeight w:val="182"/>
        </w:trPr>
        <w:tc>
          <w:tcPr>
            <w:tcW w:w="3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Less: Corporate expense</w:t>
            </w:r>
          </w:p>
        </w:tc>
        <w:tc>
          <w:tcPr>
            <w:tcW w:w="28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b w:val="1"/>
                <w:bCs w:val="1"/>
                <w:color w:val="auto"/>
              </w:rPr>
              <w:t>15</w:t>
            </w:r>
          </w:p>
        </w:tc>
        <w:tc>
          <w:tcPr>
            <w:tcW w:w="460" w:type="dxa"/>
            <w:vAlign w:val="bottom"/>
            <w:tcBorders>
              <w:bottom w:val="single" w:sz="8" w:color="auto"/>
            </w:tcBorders>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w:t>
            </w:r>
          </w:p>
        </w:tc>
      </w:tr>
      <w:tr>
        <w:trPr>
          <w:trHeight w:val="162"/>
        </w:trPr>
        <w:tc>
          <w:tcPr>
            <w:tcW w:w="3420" w:type="dxa"/>
            <w:vAlign w:val="bottom"/>
          </w:tcPr>
          <w:p>
            <w:pPr>
              <w:spacing w:after="0" w:line="163" w:lineRule="exact"/>
              <w:rPr>
                <w:sz w:val="20"/>
                <w:szCs w:val="20"/>
                <w:color w:val="auto"/>
              </w:rPr>
            </w:pPr>
            <w:r>
              <w:rPr>
                <w:rFonts w:ascii="Arial" w:cs="Arial" w:eastAsia="Arial" w:hAnsi="Arial"/>
                <w:sz w:val="15"/>
                <w:szCs w:val="15"/>
                <w:color w:val="auto"/>
              </w:rPr>
              <w:t>Operating profit</w:t>
            </w:r>
          </w:p>
        </w:tc>
        <w:tc>
          <w:tcPr>
            <w:tcW w:w="2880" w:type="dxa"/>
            <w:vAlign w:val="bottom"/>
          </w:tcPr>
          <w:p>
            <w:pPr>
              <w:spacing w:after="0"/>
              <w:rPr>
                <w:sz w:val="14"/>
                <w:szCs w:val="14"/>
                <w:color w:val="auto"/>
              </w:rPr>
            </w:pPr>
          </w:p>
        </w:tc>
        <w:tc>
          <w:tcPr>
            <w:tcW w:w="700" w:type="dxa"/>
            <w:vAlign w:val="bottom"/>
          </w:tcPr>
          <w:p>
            <w:pPr>
              <w:jc w:val="right"/>
              <w:ind w:right="183"/>
              <w:spacing w:after="0" w:line="163" w:lineRule="exact"/>
              <w:rPr>
                <w:sz w:val="20"/>
                <w:szCs w:val="20"/>
                <w:color w:val="auto"/>
              </w:rPr>
            </w:pPr>
            <w:r>
              <w:rPr>
                <w:rFonts w:ascii="Arial" w:cs="Arial" w:eastAsia="Arial" w:hAnsi="Arial"/>
                <w:sz w:val="15"/>
                <w:szCs w:val="15"/>
                <w:b w:val="1"/>
                <w:bCs w:val="1"/>
                <w:color w:val="auto"/>
              </w:rPr>
              <w:t>268</w:t>
            </w:r>
          </w:p>
        </w:tc>
        <w:tc>
          <w:tcPr>
            <w:tcW w:w="460" w:type="dxa"/>
            <w:vAlign w:val="bottom"/>
          </w:tcPr>
          <w:p>
            <w:pPr>
              <w:spacing w:after="0"/>
              <w:rPr>
                <w:sz w:val="14"/>
                <w:szCs w:val="14"/>
                <w:color w:val="auto"/>
              </w:rPr>
            </w:pPr>
          </w:p>
        </w:tc>
        <w:tc>
          <w:tcPr>
            <w:tcW w:w="1640" w:type="dxa"/>
            <w:vAlign w:val="bottom"/>
          </w:tcPr>
          <w:p>
            <w:pPr>
              <w:jc w:val="right"/>
              <w:spacing w:after="0" w:line="163" w:lineRule="exact"/>
              <w:rPr>
                <w:sz w:val="20"/>
                <w:szCs w:val="20"/>
                <w:color w:val="auto"/>
              </w:rPr>
            </w:pPr>
            <w:r>
              <w:rPr>
                <w:rFonts w:ascii="Arial" w:cs="Arial" w:eastAsia="Arial" w:hAnsi="Arial"/>
                <w:sz w:val="15"/>
                <w:szCs w:val="15"/>
                <w:color w:val="auto"/>
              </w:rPr>
              <w:t>296</w:t>
            </w:r>
          </w:p>
        </w:tc>
      </w:tr>
      <w:tr>
        <w:trPr>
          <w:trHeight w:val="182"/>
        </w:trPr>
        <w:tc>
          <w:tcPr>
            <w:tcW w:w="3420" w:type="dxa"/>
            <w:vAlign w:val="bottom"/>
            <w:shd w:val="clear" w:color="auto" w:fill="CCEEFF"/>
          </w:tcPr>
          <w:p>
            <w:pPr>
              <w:spacing w:after="0"/>
              <w:rPr>
                <w:sz w:val="20"/>
                <w:szCs w:val="20"/>
                <w:color w:val="auto"/>
              </w:rPr>
            </w:pPr>
            <w:r>
              <w:rPr>
                <w:rFonts w:ascii="Arial" w:cs="Arial" w:eastAsia="Arial" w:hAnsi="Arial"/>
                <w:sz w:val="15"/>
                <w:szCs w:val="15"/>
                <w:color w:val="auto"/>
              </w:rPr>
              <w:t>Interest expense, net</w:t>
            </w:r>
          </w:p>
        </w:tc>
        <w:tc>
          <w:tcPr>
            <w:tcW w:w="288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w:t>
            </w:r>
          </w:p>
        </w:tc>
        <w:tc>
          <w:tcPr>
            <w:tcW w:w="46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82"/>
        </w:trPr>
        <w:tc>
          <w:tcPr>
            <w:tcW w:w="34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 xml:space="preserve">Other income </w:t>
            </w:r>
            <w:r>
              <w:rPr>
                <w:rFonts w:ascii="Arial" w:cs="Arial" w:eastAsia="Arial" w:hAnsi="Arial"/>
                <w:sz w:val="8"/>
                <w:szCs w:val="8"/>
                <w:color w:val="auto"/>
              </w:rPr>
              <w:t>(1)</w:t>
            </w:r>
          </w:p>
        </w:tc>
        <w:tc>
          <w:tcPr>
            <w:tcW w:w="28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b w:val="1"/>
                <w:bCs w:val="1"/>
                <w:color w:val="auto"/>
              </w:rPr>
              <w:t>1</w:t>
            </w:r>
          </w:p>
        </w:tc>
        <w:tc>
          <w:tcPr>
            <w:tcW w:w="4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w:t>
            </w:r>
          </w:p>
        </w:tc>
      </w:tr>
      <w:tr>
        <w:trPr>
          <w:trHeight w:val="167"/>
        </w:trPr>
        <w:tc>
          <w:tcPr>
            <w:tcW w:w="3420" w:type="dxa"/>
            <w:vAlign w:val="bottom"/>
            <w:tcBorders>
              <w:bottom w:val="single" w:sz="8" w:color="auto"/>
            </w:tcBorders>
            <w:shd w:val="clear" w:color="auto" w:fill="CCEEFF"/>
          </w:tcPr>
          <w:p>
            <w:pPr>
              <w:spacing w:after="0" w:line="163" w:lineRule="exact"/>
              <w:rPr>
                <w:sz w:val="20"/>
                <w:szCs w:val="20"/>
                <w:color w:val="auto"/>
              </w:rPr>
            </w:pPr>
            <w:r>
              <w:rPr>
                <w:rFonts w:ascii="Arial" w:cs="Arial" w:eastAsia="Arial" w:hAnsi="Arial"/>
                <w:sz w:val="15"/>
                <w:szCs w:val="15"/>
                <w:color w:val="auto"/>
              </w:rPr>
              <w:t>Income before income taxes</w:t>
            </w:r>
          </w:p>
        </w:tc>
        <w:tc>
          <w:tcPr>
            <w:tcW w:w="2880" w:type="dxa"/>
            <w:vAlign w:val="bottom"/>
            <w:tcBorders>
              <w:bottom w:val="single" w:sz="8" w:color="auto"/>
            </w:tcBorders>
            <w:shd w:val="clear" w:color="auto" w:fill="CCEEFF"/>
          </w:tcPr>
          <w:p>
            <w:pPr>
              <w:jc w:val="right"/>
              <w:ind w:right="1243"/>
              <w:spacing w:after="0" w:line="163" w:lineRule="exact"/>
              <w:rPr>
                <w:sz w:val="20"/>
                <w:szCs w:val="20"/>
                <w:color w:val="auto"/>
              </w:rPr>
            </w:pPr>
            <w:r>
              <w:rPr>
                <w:rFonts w:ascii="Arial" w:cs="Arial" w:eastAsia="Arial" w:hAnsi="Arial"/>
                <w:sz w:val="15"/>
                <w:szCs w:val="15"/>
                <w:b w:val="1"/>
                <w:bCs w:val="1"/>
                <w:color w:val="auto"/>
              </w:rPr>
              <w:t>$</w:t>
            </w:r>
          </w:p>
        </w:tc>
        <w:tc>
          <w:tcPr>
            <w:tcW w:w="700" w:type="dxa"/>
            <w:vAlign w:val="bottom"/>
            <w:tcBorders>
              <w:bottom w:val="single" w:sz="8" w:color="auto"/>
            </w:tcBorders>
            <w:shd w:val="clear" w:color="auto" w:fill="CCEEFF"/>
          </w:tcPr>
          <w:p>
            <w:pPr>
              <w:jc w:val="right"/>
              <w:ind w:right="183"/>
              <w:spacing w:after="0" w:line="163" w:lineRule="exact"/>
              <w:rPr>
                <w:sz w:val="20"/>
                <w:szCs w:val="20"/>
                <w:color w:val="auto"/>
              </w:rPr>
            </w:pPr>
            <w:r>
              <w:rPr>
                <w:rFonts w:ascii="Arial" w:cs="Arial" w:eastAsia="Arial" w:hAnsi="Arial"/>
                <w:sz w:val="15"/>
                <w:szCs w:val="15"/>
                <w:b w:val="1"/>
                <w:bCs w:val="1"/>
                <w:color w:val="auto"/>
              </w:rPr>
              <w:t>269</w:t>
            </w:r>
          </w:p>
        </w:tc>
        <w:tc>
          <w:tcPr>
            <w:tcW w:w="460" w:type="dxa"/>
            <w:vAlign w:val="bottom"/>
            <w:tcBorders>
              <w:bottom w:val="single" w:sz="8" w:color="auto"/>
            </w:tcBorders>
            <w:shd w:val="clear" w:color="auto" w:fill="CCEEFF"/>
          </w:tcPr>
          <w:p>
            <w:pPr>
              <w:jc w:val="right"/>
              <w:ind w:right="63"/>
              <w:spacing w:after="0" w:line="163" w:lineRule="exact"/>
              <w:rPr>
                <w:sz w:val="20"/>
                <w:szCs w:val="20"/>
                <w:color w:val="auto"/>
              </w:rPr>
            </w:pPr>
            <w:r>
              <w:rPr>
                <w:rFonts w:ascii="Arial" w:cs="Arial" w:eastAsia="Arial" w:hAnsi="Arial"/>
                <w:sz w:val="15"/>
                <w:szCs w:val="15"/>
                <w:color w:val="auto"/>
              </w:rPr>
              <w:t>$</w:t>
            </w:r>
          </w:p>
        </w:tc>
        <w:tc>
          <w:tcPr>
            <w:tcW w:w="1640" w:type="dxa"/>
            <w:vAlign w:val="bottom"/>
            <w:tcBorders>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rPr>
              <w:t>298</w:t>
            </w:r>
          </w:p>
        </w:tc>
      </w:tr>
    </w:tbl>
    <w:p>
      <w:pPr>
        <w:spacing w:after="0" w:line="85" w:lineRule="exact"/>
        <w:rPr>
          <w:sz w:val="20"/>
          <w:szCs w:val="20"/>
          <w:color w:val="auto"/>
        </w:rPr>
      </w:pPr>
    </w:p>
    <w:p>
      <w:pPr>
        <w:ind w:left="660" w:right="120" w:hanging="375"/>
        <w:spacing w:after="0" w:line="246" w:lineRule="auto"/>
        <w:tabs>
          <w:tab w:leader="none" w:pos="660" w:val="left"/>
        </w:tabs>
        <w:numPr>
          <w:ilvl w:val="0"/>
          <w:numId w:val="5"/>
        </w:numPr>
        <w:rPr>
          <w:rFonts w:ascii="Arial" w:cs="Arial" w:eastAsia="Arial" w:hAnsi="Arial"/>
          <w:sz w:val="11"/>
          <w:szCs w:val="11"/>
          <w:color w:val="auto"/>
        </w:rPr>
      </w:pPr>
      <w:r>
        <w:rPr>
          <w:rFonts w:ascii="Arial" w:cs="Arial" w:eastAsia="Arial" w:hAnsi="Arial"/>
          <w:sz w:val="12"/>
          <w:szCs w:val="12"/>
          <w:color w:val="auto"/>
        </w:rPr>
        <w:t>Other income includes non-operating items, such as lease termination gains, royalty income, insurance recoveries, and the changes in fair value, premiums paid, and realized gains associated with foreign currency option contracts.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5817870" cy="482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116" w:right="1399" w:bottom="1440" w:gutter="0" w:footer="0" w:header="0"/>
        </w:sectPr>
      </w:pPr>
    </w:p>
    <w:bookmarkStart w:id="8" w:name="page9"/>
    <w:bookmarkEnd w:id="8"/>
    <w:p>
      <w:pPr>
        <w:jc w:val="center"/>
        <w:spacing w:after="0"/>
        <w:rPr>
          <w:sz w:val="20"/>
          <w:szCs w:val="20"/>
          <w:color w:val="auto"/>
        </w:rPr>
      </w:pPr>
      <w:r>
        <w:rPr>
          <w:rFonts w:ascii="Arial" w:cs="Arial" w:eastAsia="Arial" w:hAnsi="Arial"/>
          <w:sz w:val="15"/>
          <w:szCs w:val="15"/>
          <w:b w:val="1"/>
          <w:bCs w:val="1"/>
          <w:color w:val="auto"/>
        </w:rPr>
        <w:t>FOOT LOCKER,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CONDENSED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3. Restricted Cash</w:t>
      </w:r>
    </w:p>
    <w:p>
      <w:pPr>
        <w:spacing w:after="0" w:line="186"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The following table provides a reconciliation of cash and cash equivalents, as reported on our condensed consolidated balance sheets, to cash, cash equivalents, and restricted cash, as reported on our condensed consolidated statements of cash flows.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20" w:type="dxa"/>
            <w:vAlign w:val="bottom"/>
          </w:tcPr>
          <w:p>
            <w:pPr>
              <w:jc w:val="right"/>
              <w:ind w:right="463"/>
              <w:spacing w:after="0"/>
              <w:rPr>
                <w:sz w:val="20"/>
                <w:szCs w:val="20"/>
                <w:color w:val="auto"/>
              </w:rPr>
            </w:pPr>
            <w:r>
              <w:rPr>
                <w:rFonts w:ascii="Arial" w:cs="Arial" w:eastAsia="Arial" w:hAnsi="Arial"/>
                <w:sz w:val="15"/>
                <w:szCs w:val="15"/>
                <w:b w:val="1"/>
                <w:bCs w:val="1"/>
                <w:color w:val="auto"/>
              </w:rPr>
              <w:t>April 29,</w:t>
            </w:r>
          </w:p>
        </w:tc>
        <w:tc>
          <w:tcPr>
            <w:tcW w:w="340" w:type="dxa"/>
            <w:vAlign w:val="bottom"/>
          </w:tcPr>
          <w:p>
            <w:pPr>
              <w:spacing w:after="0"/>
              <w:rPr>
                <w:sz w:val="15"/>
                <w:szCs w:val="15"/>
                <w:color w:val="auto"/>
              </w:rPr>
            </w:pPr>
          </w:p>
        </w:tc>
        <w:tc>
          <w:tcPr>
            <w:tcW w:w="1220" w:type="dxa"/>
            <w:vAlign w:val="bottom"/>
          </w:tcPr>
          <w:p>
            <w:pPr>
              <w:jc w:val="center"/>
              <w:ind w:right="403"/>
              <w:spacing w:after="0"/>
              <w:rPr>
                <w:sz w:val="20"/>
                <w:szCs w:val="20"/>
                <w:color w:val="auto"/>
              </w:rPr>
            </w:pPr>
            <w:r>
              <w:rPr>
                <w:rFonts w:ascii="Arial" w:cs="Arial" w:eastAsia="Arial" w:hAnsi="Arial"/>
                <w:sz w:val="15"/>
                <w:szCs w:val="15"/>
                <w:b w:val="1"/>
                <w:bCs w:val="1"/>
                <w:color w:val="auto"/>
              </w:rPr>
              <w:t>April 30,</w:t>
            </w:r>
          </w:p>
        </w:tc>
        <w:tc>
          <w:tcPr>
            <w:tcW w:w="1400" w:type="dxa"/>
            <w:vAlign w:val="bottom"/>
            <w:gridSpan w:val="2"/>
          </w:tcPr>
          <w:p>
            <w:pPr>
              <w:jc w:val="right"/>
              <w:ind w:right="163"/>
              <w:spacing w:after="0"/>
              <w:rPr>
                <w:sz w:val="20"/>
                <w:szCs w:val="20"/>
                <w:color w:val="auto"/>
              </w:rPr>
            </w:pPr>
            <w:r>
              <w:rPr>
                <w:rFonts w:ascii="Arial" w:cs="Arial" w:eastAsia="Arial" w:hAnsi="Arial"/>
                <w:sz w:val="15"/>
                <w:szCs w:val="15"/>
                <w:b w:val="1"/>
                <w:bCs w:val="1"/>
                <w:color w:val="auto"/>
              </w:rPr>
              <w:t>January 28,</w:t>
            </w:r>
          </w:p>
        </w:tc>
      </w:tr>
      <w:tr>
        <w:trPr>
          <w:trHeight w:val="205"/>
        </w:trPr>
        <w:tc>
          <w:tcPr>
            <w:tcW w:w="4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603"/>
              <w:spacing w:after="0"/>
              <w:rPr>
                <w:sz w:val="20"/>
                <w:szCs w:val="20"/>
                <w:color w:val="auto"/>
              </w:rPr>
            </w:pPr>
            <w:r>
              <w:rPr>
                <w:rFonts w:ascii="Arial" w:cs="Arial" w:eastAsia="Arial" w:hAnsi="Arial"/>
                <w:sz w:val="15"/>
                <w:szCs w:val="15"/>
                <w:b w:val="1"/>
                <w:bCs w:val="1"/>
                <w:color w:val="auto"/>
              </w:rPr>
              <w:t>2017</w:t>
            </w: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403"/>
              <w:spacing w:after="0"/>
              <w:rPr>
                <w:sz w:val="20"/>
                <w:szCs w:val="20"/>
                <w:color w:val="auto"/>
              </w:rPr>
            </w:pPr>
            <w:r>
              <w:rPr>
                <w:rFonts w:ascii="Arial" w:cs="Arial" w:eastAsia="Arial" w:hAnsi="Arial"/>
                <w:sz w:val="15"/>
                <w:szCs w:val="15"/>
                <w:b w:val="1"/>
                <w:bCs w:val="1"/>
                <w:color w:val="auto"/>
              </w:rPr>
              <w:t>2016</w:t>
            </w:r>
          </w:p>
        </w:tc>
        <w:tc>
          <w:tcPr>
            <w:tcW w:w="4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b w:val="1"/>
                <w:bCs w:val="1"/>
                <w:color w:val="auto"/>
              </w:rPr>
              <w:t>2017</w:t>
            </w:r>
          </w:p>
        </w:tc>
      </w:tr>
      <w:tr>
        <w:trPr>
          <w:trHeight w:val="187"/>
        </w:trPr>
        <w:tc>
          <w:tcPr>
            <w:tcW w:w="4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center"/>
              <w:ind w:right="43"/>
              <w:spacing w:after="0"/>
              <w:rPr>
                <w:sz w:val="20"/>
                <w:szCs w:val="20"/>
                <w:color w:val="auto"/>
              </w:rPr>
            </w:pPr>
            <w:r>
              <w:rPr>
                <w:rFonts w:ascii="Arial" w:cs="Arial" w:eastAsia="Arial" w:hAnsi="Arial"/>
                <w:sz w:val="15"/>
                <w:szCs w:val="15"/>
                <w:color w:val="auto"/>
              </w:rPr>
              <w:t>($ in millions)</w:t>
            </w:r>
          </w:p>
        </w:tc>
        <w:tc>
          <w:tcPr>
            <w:tcW w:w="4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188"/>
        </w:trPr>
        <w:tc>
          <w:tcPr>
            <w:tcW w:w="4180" w:type="dxa"/>
            <w:vAlign w:val="bottom"/>
            <w:shd w:val="clear" w:color="auto" w:fill="CCEEFF"/>
          </w:tcPr>
          <w:p>
            <w:pPr>
              <w:spacing w:after="0"/>
              <w:rPr>
                <w:sz w:val="20"/>
                <w:szCs w:val="20"/>
                <w:color w:val="auto"/>
              </w:rPr>
            </w:pPr>
            <w:r>
              <w:rPr>
                <w:rFonts w:ascii="Arial" w:cs="Arial" w:eastAsia="Arial" w:hAnsi="Arial"/>
                <w:sz w:val="15"/>
                <w:szCs w:val="15"/>
                <w:color w:val="auto"/>
              </w:rPr>
              <w:t>Cash and cash equivalents</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22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1,049</w:t>
            </w: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1,062</w:t>
            </w:r>
          </w:p>
        </w:tc>
        <w:tc>
          <w:tcPr>
            <w:tcW w:w="4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1,046</w:t>
            </w:r>
          </w:p>
        </w:tc>
      </w:tr>
      <w:tr>
        <w:trPr>
          <w:trHeight w:val="207"/>
        </w:trPr>
        <w:tc>
          <w:tcPr>
            <w:tcW w:w="4180" w:type="dxa"/>
            <w:vAlign w:val="bottom"/>
          </w:tcPr>
          <w:p>
            <w:pPr>
              <w:spacing w:after="0"/>
              <w:rPr>
                <w:sz w:val="20"/>
                <w:szCs w:val="20"/>
                <w:color w:val="auto"/>
              </w:rPr>
            </w:pPr>
            <w:r>
              <w:rPr>
                <w:rFonts w:ascii="Arial" w:cs="Arial" w:eastAsia="Arial" w:hAnsi="Arial"/>
                <w:sz w:val="15"/>
                <w:szCs w:val="15"/>
                <w:color w:val="auto"/>
              </w:rPr>
              <w:t>Restricted cash included in other current assets</w:t>
            </w:r>
          </w:p>
        </w:tc>
        <w:tc>
          <w:tcPr>
            <w:tcW w:w="740" w:type="dxa"/>
            <w:vAlign w:val="bottom"/>
          </w:tcPr>
          <w:p>
            <w:pPr>
              <w:spacing w:after="0"/>
              <w:rPr>
                <w:sz w:val="17"/>
                <w:szCs w:val="17"/>
                <w:color w:val="auto"/>
              </w:rPr>
            </w:pPr>
          </w:p>
        </w:tc>
        <w:tc>
          <w:tcPr>
            <w:tcW w:w="1220" w:type="dxa"/>
            <w:vAlign w:val="bottom"/>
          </w:tcPr>
          <w:p>
            <w:pPr>
              <w:jc w:val="right"/>
              <w:ind w:right="143"/>
              <w:spacing w:after="0"/>
              <w:rPr>
                <w:sz w:val="20"/>
                <w:szCs w:val="20"/>
                <w:color w:val="auto"/>
              </w:rPr>
            </w:pPr>
            <w:r>
              <w:rPr>
                <w:rFonts w:ascii="Arial" w:cs="Arial" w:eastAsia="Arial" w:hAnsi="Arial"/>
                <w:sz w:val="15"/>
                <w:szCs w:val="15"/>
                <w:b w:val="1"/>
                <w:bCs w:val="1"/>
                <w:color w:val="auto"/>
              </w:rPr>
              <w:t>1</w:t>
            </w:r>
          </w:p>
        </w:tc>
        <w:tc>
          <w:tcPr>
            <w:tcW w:w="340" w:type="dxa"/>
            <w:vAlign w:val="bottom"/>
          </w:tcPr>
          <w:p>
            <w:pPr>
              <w:spacing w:after="0"/>
              <w:rPr>
                <w:sz w:val="17"/>
                <w:szCs w:val="17"/>
                <w:color w:val="auto"/>
              </w:rPr>
            </w:pPr>
          </w:p>
        </w:tc>
        <w:tc>
          <w:tcPr>
            <w:tcW w:w="1220" w:type="dxa"/>
            <w:vAlign w:val="bottom"/>
          </w:tcPr>
          <w:p>
            <w:pPr>
              <w:jc w:val="right"/>
              <w:ind w:right="143"/>
              <w:spacing w:after="0"/>
              <w:rPr>
                <w:sz w:val="20"/>
                <w:szCs w:val="20"/>
                <w:color w:val="auto"/>
              </w:rPr>
            </w:pPr>
            <w:r>
              <w:rPr>
                <w:rFonts w:ascii="Arial" w:cs="Arial" w:eastAsia="Arial" w:hAnsi="Arial"/>
                <w:sz w:val="15"/>
                <w:szCs w:val="15"/>
                <w:color w:val="auto"/>
              </w:rPr>
              <w:t>1</w:t>
            </w:r>
          </w:p>
        </w:tc>
        <w:tc>
          <w:tcPr>
            <w:tcW w:w="4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7"/>
        </w:trPr>
        <w:tc>
          <w:tcPr>
            <w:tcW w:w="4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Restricted cash included in other non-current assets</w:t>
            </w:r>
          </w:p>
        </w:tc>
        <w:tc>
          <w:tcPr>
            <w:tcW w:w="7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27</w:t>
            </w:r>
          </w:p>
        </w:tc>
        <w:tc>
          <w:tcPr>
            <w:tcW w:w="3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rPr>
              <w:t>27</w:t>
            </w:r>
          </w:p>
        </w:tc>
        <w:tc>
          <w:tcPr>
            <w:tcW w:w="4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w:t>
            </w:r>
          </w:p>
        </w:tc>
      </w:tr>
      <w:tr>
        <w:trPr>
          <w:trHeight w:val="179"/>
        </w:trPr>
        <w:tc>
          <w:tcPr>
            <w:tcW w:w="41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Cash, cash equivalents, and restricted cash</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22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b w:val="1"/>
                <w:bCs w:val="1"/>
                <w:color w:val="auto"/>
              </w:rPr>
              <w:t>1,077</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rPr>
              <w:t>1,090</w:t>
            </w:r>
          </w:p>
        </w:tc>
        <w:tc>
          <w:tcPr>
            <w:tcW w:w="4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1,073</w:t>
            </w:r>
          </w:p>
        </w:tc>
      </w:tr>
    </w:tbl>
    <w:p>
      <w:pPr>
        <w:spacing w:after="0" w:line="189"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Amounts included in restricted cash primarily relate to amounts held in escrow in connection with various leasing arrangements in Europe. In addition, restricted cash reflects deposits held in insurance trusts in order to satisfy the requirement to collateralize part of the self-insured workers’ compensation and liability claims.</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4. Goodwill</w:t>
      </w:r>
    </w:p>
    <w:p>
      <w:pPr>
        <w:spacing w:after="0" w:line="186"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Annually during the first quarter, or more frequently if impairment indicators arise, the Company reviews goodwill and intangible assets with indefinite lives for impairment. The annual review of goodwill and intangible assets with indefinite lives performed during the first quarter of 2017 did not result in the recognition of impairment. The following table provides a summary of goodwill by reportable segment. The change in the balance represents foreign currency exchange fluctuations.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900" w:type="dxa"/>
            <w:vAlign w:val="bottom"/>
          </w:tcPr>
          <w:p>
            <w:pPr>
              <w:spacing w:after="0"/>
              <w:rPr>
                <w:sz w:val="15"/>
                <w:szCs w:val="15"/>
                <w:color w:val="auto"/>
              </w:rPr>
            </w:pPr>
          </w:p>
        </w:tc>
        <w:tc>
          <w:tcPr>
            <w:tcW w:w="2420" w:type="dxa"/>
            <w:vAlign w:val="bottom"/>
          </w:tcPr>
          <w:p>
            <w:pPr>
              <w:jc w:val="right"/>
              <w:spacing w:after="0"/>
              <w:rPr>
                <w:sz w:val="20"/>
                <w:szCs w:val="20"/>
                <w:color w:val="auto"/>
              </w:rPr>
            </w:pPr>
            <w:r>
              <w:rPr>
                <w:rFonts w:ascii="Arial" w:cs="Arial" w:eastAsia="Arial" w:hAnsi="Arial"/>
                <w:sz w:val="15"/>
                <w:szCs w:val="15"/>
                <w:b w:val="1"/>
                <w:bCs w:val="1"/>
                <w:color w:val="auto"/>
              </w:rPr>
              <w:t>April 29,</w:t>
            </w: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center"/>
              <w:ind w:right="463"/>
              <w:spacing w:after="0"/>
              <w:rPr>
                <w:sz w:val="20"/>
                <w:szCs w:val="20"/>
                <w:color w:val="auto"/>
              </w:rPr>
            </w:pPr>
            <w:r>
              <w:rPr>
                <w:rFonts w:ascii="Arial" w:cs="Arial" w:eastAsia="Arial" w:hAnsi="Arial"/>
                <w:sz w:val="15"/>
                <w:szCs w:val="15"/>
                <w:b w:val="1"/>
                <w:bCs w:val="1"/>
                <w:color w:val="auto"/>
              </w:rPr>
              <w:t>April 30,</w:t>
            </w:r>
          </w:p>
        </w:tc>
        <w:tc>
          <w:tcPr>
            <w:tcW w:w="340" w:type="dxa"/>
            <w:vAlign w:val="bottom"/>
          </w:tcPr>
          <w:p>
            <w:pPr>
              <w:spacing w:after="0"/>
              <w:rPr>
                <w:sz w:val="15"/>
                <w:szCs w:val="15"/>
                <w:color w:val="auto"/>
              </w:rPr>
            </w:pPr>
          </w:p>
        </w:tc>
        <w:tc>
          <w:tcPr>
            <w:tcW w:w="1160" w:type="dxa"/>
            <w:vAlign w:val="bottom"/>
          </w:tcPr>
          <w:p>
            <w:pPr>
              <w:jc w:val="right"/>
              <w:ind w:right="223"/>
              <w:spacing w:after="0"/>
              <w:rPr>
                <w:sz w:val="20"/>
                <w:szCs w:val="20"/>
                <w:color w:val="auto"/>
              </w:rPr>
            </w:pPr>
            <w:r>
              <w:rPr>
                <w:rFonts w:ascii="Arial" w:cs="Arial" w:eastAsia="Arial" w:hAnsi="Arial"/>
                <w:sz w:val="15"/>
                <w:szCs w:val="15"/>
                <w:b w:val="1"/>
                <w:bCs w:val="1"/>
                <w:color w:val="auto"/>
              </w:rPr>
              <w:t>January 28,</w:t>
            </w:r>
          </w:p>
        </w:tc>
      </w:tr>
      <w:tr>
        <w:trPr>
          <w:trHeight w:val="205"/>
        </w:trPr>
        <w:tc>
          <w:tcPr>
            <w:tcW w:w="290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b w:val="1"/>
                <w:bCs w:val="1"/>
                <w:color w:val="auto"/>
              </w:rPr>
              <w:t>2017</w:t>
            </w:r>
          </w:p>
        </w:tc>
        <w:tc>
          <w:tcPr>
            <w:tcW w:w="5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443"/>
              <w:spacing w:after="0"/>
              <w:rPr>
                <w:sz w:val="20"/>
                <w:szCs w:val="20"/>
                <w:color w:val="auto"/>
              </w:rPr>
            </w:pPr>
            <w:r>
              <w:rPr>
                <w:rFonts w:ascii="Arial" w:cs="Arial" w:eastAsia="Arial" w:hAnsi="Arial"/>
                <w:sz w:val="15"/>
                <w:szCs w:val="15"/>
                <w:b w:val="1"/>
                <w:bCs w:val="1"/>
                <w:color w:val="auto"/>
              </w:rPr>
              <w:t>2016</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63"/>
              <w:spacing w:after="0"/>
              <w:rPr>
                <w:sz w:val="20"/>
                <w:szCs w:val="20"/>
                <w:color w:val="auto"/>
              </w:rPr>
            </w:pPr>
            <w:r>
              <w:rPr>
                <w:rFonts w:ascii="Arial" w:cs="Arial" w:eastAsia="Arial" w:hAnsi="Arial"/>
                <w:sz w:val="15"/>
                <w:szCs w:val="15"/>
                <w:b w:val="1"/>
                <w:bCs w:val="1"/>
                <w:color w:val="auto"/>
              </w:rPr>
              <w:t>2017</w:t>
            </w:r>
          </w:p>
        </w:tc>
      </w:tr>
      <w:tr>
        <w:trPr>
          <w:trHeight w:val="164"/>
        </w:trPr>
        <w:tc>
          <w:tcPr>
            <w:tcW w:w="290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2"/>
          </w:tcPr>
          <w:p>
            <w:pPr>
              <w:jc w:val="center"/>
              <w:ind w:right="83"/>
              <w:spacing w:after="0" w:line="164" w:lineRule="exact"/>
              <w:rPr>
                <w:sz w:val="20"/>
                <w:szCs w:val="20"/>
                <w:color w:val="auto"/>
              </w:rPr>
            </w:pPr>
            <w:r>
              <w:rPr>
                <w:rFonts w:ascii="Arial" w:cs="Arial" w:eastAsia="Arial" w:hAnsi="Arial"/>
                <w:sz w:val="15"/>
                <w:szCs w:val="15"/>
                <w:color w:val="auto"/>
              </w:rPr>
              <w:t>($ in millions)</w:t>
            </w: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r>
      <w:tr>
        <w:trPr>
          <w:trHeight w:val="162"/>
        </w:trPr>
        <w:tc>
          <w:tcPr>
            <w:tcW w:w="2900" w:type="dxa"/>
            <w:vAlign w:val="bottom"/>
            <w:shd w:val="clear" w:color="auto" w:fill="CCEEFF"/>
          </w:tcPr>
          <w:p>
            <w:pPr>
              <w:spacing w:after="0" w:line="163" w:lineRule="exact"/>
              <w:rPr>
                <w:sz w:val="20"/>
                <w:szCs w:val="20"/>
                <w:color w:val="auto"/>
              </w:rPr>
            </w:pPr>
            <w:r>
              <w:rPr>
                <w:rFonts w:ascii="Arial" w:cs="Arial" w:eastAsia="Arial" w:hAnsi="Arial"/>
                <w:sz w:val="15"/>
                <w:szCs w:val="15"/>
                <w:color w:val="auto"/>
              </w:rPr>
              <w:t>Athletic Stores</w:t>
            </w:r>
          </w:p>
        </w:tc>
        <w:tc>
          <w:tcPr>
            <w:tcW w:w="2420" w:type="dxa"/>
            <w:vAlign w:val="bottom"/>
            <w:shd w:val="clear" w:color="auto" w:fill="CCEEFF"/>
          </w:tcPr>
          <w:p>
            <w:pPr>
              <w:jc w:val="right"/>
              <w:ind w:right="743"/>
              <w:spacing w:after="0" w:line="163" w:lineRule="exact"/>
              <w:rPr>
                <w:sz w:val="20"/>
                <w:szCs w:val="20"/>
                <w:color w:val="auto"/>
              </w:rPr>
            </w:pPr>
            <w:r>
              <w:rPr>
                <w:rFonts w:ascii="Arial" w:cs="Arial" w:eastAsia="Arial" w:hAnsi="Arial"/>
                <w:sz w:val="15"/>
                <w:szCs w:val="15"/>
                <w:b w:val="1"/>
                <w:bCs w:val="1"/>
                <w:color w:val="auto"/>
              </w:rPr>
              <w:t>$</w:t>
            </w:r>
          </w:p>
        </w:tc>
        <w:tc>
          <w:tcPr>
            <w:tcW w:w="580" w:type="dxa"/>
            <w:vAlign w:val="bottom"/>
            <w:shd w:val="clear" w:color="auto" w:fill="CCEEFF"/>
          </w:tcPr>
          <w:p>
            <w:pPr>
              <w:jc w:val="right"/>
              <w:ind w:right="183"/>
              <w:spacing w:after="0" w:line="163" w:lineRule="exact"/>
              <w:rPr>
                <w:sz w:val="20"/>
                <w:szCs w:val="20"/>
                <w:color w:val="auto"/>
              </w:rPr>
            </w:pPr>
            <w:r>
              <w:rPr>
                <w:rFonts w:ascii="Arial" w:cs="Arial" w:eastAsia="Arial" w:hAnsi="Arial"/>
                <w:sz w:val="15"/>
                <w:szCs w:val="15"/>
                <w:b w:val="1"/>
                <w:bCs w:val="1"/>
                <w:color w:val="auto"/>
              </w:rPr>
              <w:t>16</w:t>
            </w:r>
          </w:p>
        </w:tc>
        <w:tc>
          <w:tcPr>
            <w:tcW w:w="400" w:type="dxa"/>
            <w:vAlign w:val="bottom"/>
            <w:shd w:val="clear" w:color="auto" w:fill="CCEEFF"/>
          </w:tcPr>
          <w:p>
            <w:pPr>
              <w:jc w:val="right"/>
              <w:spacing w:after="0" w:line="163" w:lineRule="exact"/>
              <w:rPr>
                <w:sz w:val="20"/>
                <w:szCs w:val="20"/>
                <w:color w:val="auto"/>
              </w:rPr>
            </w:pPr>
            <w:r>
              <w:rPr>
                <w:rFonts w:ascii="Arial" w:cs="Arial" w:eastAsia="Arial" w:hAnsi="Arial"/>
                <w:sz w:val="15"/>
                <w:szCs w:val="15"/>
                <w:color w:val="auto"/>
              </w:rPr>
              <w:t>$</w:t>
            </w:r>
          </w:p>
        </w:tc>
        <w:tc>
          <w:tcPr>
            <w:tcW w:w="1300" w:type="dxa"/>
            <w:vAlign w:val="bottom"/>
            <w:shd w:val="clear" w:color="auto" w:fill="CCEEFF"/>
          </w:tcPr>
          <w:p>
            <w:pPr>
              <w:jc w:val="right"/>
              <w:ind w:right="163"/>
              <w:spacing w:after="0" w:line="163" w:lineRule="exact"/>
              <w:rPr>
                <w:sz w:val="20"/>
                <w:szCs w:val="20"/>
                <w:color w:val="auto"/>
              </w:rPr>
            </w:pPr>
            <w:r>
              <w:rPr>
                <w:rFonts w:ascii="Arial" w:cs="Arial" w:eastAsia="Arial" w:hAnsi="Arial"/>
                <w:sz w:val="15"/>
                <w:szCs w:val="15"/>
                <w:color w:val="auto"/>
              </w:rPr>
              <w:t>17</w:t>
            </w:r>
          </w:p>
        </w:tc>
        <w:tc>
          <w:tcPr>
            <w:tcW w:w="340" w:type="dxa"/>
            <w:vAlign w:val="bottom"/>
            <w:shd w:val="clear" w:color="auto" w:fill="CCEEFF"/>
          </w:tcPr>
          <w:p>
            <w:pPr>
              <w:jc w:val="right"/>
              <w:spacing w:after="0" w:line="163" w:lineRule="exact"/>
              <w:rPr>
                <w:sz w:val="20"/>
                <w:szCs w:val="20"/>
                <w:color w:val="auto"/>
              </w:rPr>
            </w:pPr>
            <w:r>
              <w:rPr>
                <w:rFonts w:ascii="Arial" w:cs="Arial" w:eastAsia="Arial" w:hAnsi="Arial"/>
                <w:sz w:val="15"/>
                <w:szCs w:val="15"/>
                <w:color w:val="auto"/>
              </w:rPr>
              <w:t>$</w:t>
            </w:r>
          </w:p>
        </w:tc>
        <w:tc>
          <w:tcPr>
            <w:tcW w:w="1160" w:type="dxa"/>
            <w:vAlign w:val="bottom"/>
            <w:shd w:val="clear" w:color="auto" w:fill="CCEEFF"/>
          </w:tcPr>
          <w:p>
            <w:pPr>
              <w:jc w:val="right"/>
              <w:spacing w:after="0" w:line="163" w:lineRule="exact"/>
              <w:rPr>
                <w:sz w:val="20"/>
                <w:szCs w:val="20"/>
                <w:color w:val="auto"/>
              </w:rPr>
            </w:pPr>
            <w:r>
              <w:rPr>
                <w:rFonts w:ascii="Arial" w:cs="Arial" w:eastAsia="Arial" w:hAnsi="Arial"/>
                <w:sz w:val="15"/>
                <w:szCs w:val="15"/>
                <w:color w:val="auto"/>
              </w:rPr>
              <w:t>16</w:t>
            </w:r>
          </w:p>
        </w:tc>
      </w:tr>
      <w:tr>
        <w:trPr>
          <w:trHeight w:val="182"/>
        </w:trPr>
        <w:tc>
          <w:tcPr>
            <w:tcW w:w="29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Direct-to-Customers</w:t>
            </w:r>
          </w:p>
        </w:tc>
        <w:tc>
          <w:tcPr>
            <w:tcW w:w="24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b w:val="1"/>
                <w:bCs w:val="1"/>
                <w:color w:val="auto"/>
              </w:rPr>
              <w:t>140</w:t>
            </w: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rPr>
              <w:t>140</w:t>
            </w: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139</w:t>
            </w:r>
          </w:p>
        </w:tc>
      </w:tr>
      <w:tr>
        <w:trPr>
          <w:trHeight w:val="167"/>
        </w:trPr>
        <w:tc>
          <w:tcPr>
            <w:tcW w:w="2900" w:type="dxa"/>
            <w:vAlign w:val="bottom"/>
            <w:tcBorders>
              <w:bottom w:val="single" w:sz="8" w:color="auto"/>
            </w:tcBorders>
            <w:shd w:val="clear" w:color="auto" w:fill="CCEEFF"/>
          </w:tcPr>
          <w:p>
            <w:pPr>
              <w:spacing w:after="0" w:line="163" w:lineRule="exact"/>
              <w:rPr>
                <w:sz w:val="20"/>
                <w:szCs w:val="20"/>
                <w:color w:val="auto"/>
              </w:rPr>
            </w:pPr>
            <w:r>
              <w:rPr>
                <w:rFonts w:ascii="Arial" w:cs="Arial" w:eastAsia="Arial" w:hAnsi="Arial"/>
                <w:sz w:val="15"/>
                <w:szCs w:val="15"/>
                <w:color w:val="auto"/>
              </w:rPr>
              <w:t>Total goodwill</w:t>
            </w:r>
          </w:p>
        </w:tc>
        <w:tc>
          <w:tcPr>
            <w:tcW w:w="2420" w:type="dxa"/>
            <w:vAlign w:val="bottom"/>
            <w:tcBorders>
              <w:bottom w:val="single" w:sz="8" w:color="auto"/>
            </w:tcBorders>
            <w:shd w:val="clear" w:color="auto" w:fill="CCEEFF"/>
          </w:tcPr>
          <w:p>
            <w:pPr>
              <w:jc w:val="right"/>
              <w:ind w:right="743"/>
              <w:spacing w:after="0" w:line="163" w:lineRule="exact"/>
              <w:rPr>
                <w:sz w:val="20"/>
                <w:szCs w:val="20"/>
                <w:color w:val="auto"/>
              </w:rPr>
            </w:pPr>
            <w:r>
              <w:rPr>
                <w:rFonts w:ascii="Arial" w:cs="Arial" w:eastAsia="Arial" w:hAnsi="Arial"/>
                <w:sz w:val="15"/>
                <w:szCs w:val="15"/>
                <w:b w:val="1"/>
                <w:bCs w:val="1"/>
                <w:color w:val="auto"/>
              </w:rPr>
              <w:t>$</w:t>
            </w:r>
          </w:p>
        </w:tc>
        <w:tc>
          <w:tcPr>
            <w:tcW w:w="580" w:type="dxa"/>
            <w:vAlign w:val="bottom"/>
            <w:tcBorders>
              <w:bottom w:val="single" w:sz="8" w:color="auto"/>
            </w:tcBorders>
            <w:shd w:val="clear" w:color="auto" w:fill="CCEEFF"/>
          </w:tcPr>
          <w:p>
            <w:pPr>
              <w:jc w:val="right"/>
              <w:ind w:right="183"/>
              <w:spacing w:after="0" w:line="163" w:lineRule="exact"/>
              <w:rPr>
                <w:sz w:val="20"/>
                <w:szCs w:val="20"/>
                <w:color w:val="auto"/>
              </w:rPr>
            </w:pPr>
            <w:r>
              <w:rPr>
                <w:rFonts w:ascii="Arial" w:cs="Arial" w:eastAsia="Arial" w:hAnsi="Arial"/>
                <w:sz w:val="15"/>
                <w:szCs w:val="15"/>
                <w:b w:val="1"/>
                <w:bCs w:val="1"/>
                <w:color w:val="auto"/>
              </w:rPr>
              <w:t>156</w:t>
            </w:r>
          </w:p>
        </w:tc>
        <w:tc>
          <w:tcPr>
            <w:tcW w:w="400" w:type="dxa"/>
            <w:vAlign w:val="bottom"/>
            <w:tcBorders>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rPr>
              <w:t>$</w:t>
            </w:r>
          </w:p>
        </w:tc>
        <w:tc>
          <w:tcPr>
            <w:tcW w:w="1300" w:type="dxa"/>
            <w:vAlign w:val="bottom"/>
            <w:tcBorders>
              <w:bottom w:val="single" w:sz="8" w:color="auto"/>
            </w:tcBorders>
            <w:shd w:val="clear" w:color="auto" w:fill="CCEEFF"/>
          </w:tcPr>
          <w:p>
            <w:pPr>
              <w:jc w:val="right"/>
              <w:ind w:right="163"/>
              <w:spacing w:after="0" w:line="163" w:lineRule="exact"/>
              <w:rPr>
                <w:sz w:val="20"/>
                <w:szCs w:val="20"/>
                <w:color w:val="auto"/>
              </w:rPr>
            </w:pPr>
            <w:r>
              <w:rPr>
                <w:rFonts w:ascii="Arial" w:cs="Arial" w:eastAsia="Arial" w:hAnsi="Arial"/>
                <w:sz w:val="15"/>
                <w:szCs w:val="15"/>
                <w:color w:val="auto"/>
              </w:rPr>
              <w:t>157</w:t>
            </w:r>
          </w:p>
        </w:tc>
        <w:tc>
          <w:tcPr>
            <w:tcW w:w="340" w:type="dxa"/>
            <w:vAlign w:val="bottom"/>
            <w:tcBorders>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rPr>
              <w:t>155</w:t>
            </w:r>
          </w:p>
        </w:tc>
      </w:tr>
    </w:tbl>
    <w:p>
      <w:pPr>
        <w:spacing w:after="0" w:line="23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5. Other Intangible Assets, net</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color w:val="auto"/>
        </w:rPr>
        <w:t>The components of finite-lived intangible assets and intangible assets not subject to amortization are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7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right"/>
              <w:spacing w:after="0"/>
              <w:rPr>
                <w:sz w:val="20"/>
                <w:szCs w:val="20"/>
                <w:color w:val="auto"/>
              </w:rPr>
            </w:pPr>
            <w:r>
              <w:rPr>
                <w:rFonts w:ascii="Arial" w:cs="Arial" w:eastAsia="Arial" w:hAnsi="Arial"/>
                <w:sz w:val="15"/>
                <w:szCs w:val="15"/>
                <w:b w:val="1"/>
                <w:bCs w:val="1"/>
                <w:color w:val="auto"/>
              </w:rPr>
              <w:t>April 29, 2017</w:t>
            </w:r>
          </w:p>
        </w:tc>
        <w:tc>
          <w:tcPr>
            <w:tcW w:w="4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5"/>
                <w:szCs w:val="15"/>
                <w:b w:val="1"/>
                <w:bCs w:val="1"/>
                <w:color w:val="auto"/>
              </w:rPr>
              <w:t>April 30, 2016</w:t>
            </w:r>
          </w:p>
        </w:tc>
        <w:tc>
          <w:tcPr>
            <w:tcW w:w="5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5"/>
          </w:tcPr>
          <w:p>
            <w:pPr>
              <w:jc w:val="right"/>
              <w:ind w:right="343"/>
              <w:spacing w:after="0"/>
              <w:rPr>
                <w:sz w:val="20"/>
                <w:szCs w:val="20"/>
                <w:color w:val="auto"/>
              </w:rPr>
            </w:pPr>
            <w:r>
              <w:rPr>
                <w:rFonts w:ascii="Arial" w:cs="Arial" w:eastAsia="Arial" w:hAnsi="Arial"/>
                <w:sz w:val="15"/>
                <w:szCs w:val="15"/>
                <w:b w:val="1"/>
                <w:bCs w:val="1"/>
                <w:color w:val="auto"/>
              </w:rPr>
              <w:t>January 28, 2017</w:t>
            </w:r>
          </w:p>
        </w:tc>
        <w:tc>
          <w:tcPr>
            <w:tcW w:w="0" w:type="dxa"/>
            <w:vAlign w:val="bottom"/>
          </w:tcPr>
          <w:p>
            <w:pPr>
              <w:spacing w:after="0"/>
              <w:rPr>
                <w:sz w:val="1"/>
                <w:szCs w:val="1"/>
                <w:color w:val="auto"/>
              </w:rPr>
            </w:pPr>
          </w:p>
        </w:tc>
      </w:tr>
      <w:tr>
        <w:trPr>
          <w:trHeight w:val="151"/>
        </w:trPr>
        <w:tc>
          <w:tcPr>
            <w:tcW w:w="2780" w:type="dxa"/>
            <w:vAlign w:val="bottom"/>
          </w:tcPr>
          <w:p>
            <w:pPr>
              <w:spacing w:after="0"/>
              <w:rPr>
                <w:sz w:val="13"/>
                <w:szCs w:val="13"/>
                <w:color w:val="auto"/>
              </w:rPr>
            </w:pPr>
          </w:p>
        </w:tc>
        <w:tc>
          <w:tcPr>
            <w:tcW w:w="700" w:type="dxa"/>
            <w:vAlign w:val="bottom"/>
            <w:gridSpan w:val="2"/>
          </w:tcPr>
          <w:p>
            <w:pPr>
              <w:ind w:left="120"/>
              <w:spacing w:after="0" w:line="151" w:lineRule="exact"/>
              <w:rPr>
                <w:sz w:val="20"/>
                <w:szCs w:val="20"/>
                <w:color w:val="auto"/>
              </w:rPr>
            </w:pPr>
            <w:r>
              <w:rPr>
                <w:rFonts w:ascii="Arial" w:cs="Arial" w:eastAsia="Arial" w:hAnsi="Arial"/>
                <w:sz w:val="15"/>
                <w:szCs w:val="15"/>
                <w:b w:val="1"/>
                <w:bCs w:val="1"/>
                <w:color w:val="auto"/>
              </w:rPr>
              <w:t>Gross</w:t>
            </w:r>
          </w:p>
        </w:tc>
        <w:tc>
          <w:tcPr>
            <w:tcW w:w="760" w:type="dxa"/>
            <w:vAlign w:val="bottom"/>
            <w:gridSpan w:val="2"/>
          </w:tcPr>
          <w:p>
            <w:pPr>
              <w:jc w:val="right"/>
              <w:ind w:right="43"/>
              <w:spacing w:after="0" w:line="151" w:lineRule="exact"/>
              <w:rPr>
                <w:sz w:val="20"/>
                <w:szCs w:val="20"/>
                <w:color w:val="auto"/>
              </w:rPr>
            </w:pPr>
            <w:r>
              <w:rPr>
                <w:rFonts w:ascii="Arial" w:cs="Arial" w:eastAsia="Arial" w:hAnsi="Arial"/>
                <w:sz w:val="15"/>
                <w:szCs w:val="15"/>
                <w:b w:val="1"/>
                <w:bCs w:val="1"/>
                <w:color w:val="auto"/>
              </w:rPr>
              <w:t>Accum.</w:t>
            </w:r>
          </w:p>
        </w:tc>
        <w:tc>
          <w:tcPr>
            <w:tcW w:w="160" w:type="dxa"/>
            <w:vAlign w:val="bottom"/>
          </w:tcPr>
          <w:p>
            <w:pPr>
              <w:spacing w:after="0"/>
              <w:rPr>
                <w:sz w:val="13"/>
                <w:szCs w:val="13"/>
                <w:color w:val="auto"/>
              </w:rPr>
            </w:pPr>
          </w:p>
        </w:tc>
        <w:tc>
          <w:tcPr>
            <w:tcW w:w="480" w:type="dxa"/>
            <w:vAlign w:val="bottom"/>
          </w:tcPr>
          <w:p>
            <w:pPr>
              <w:jc w:val="right"/>
              <w:ind w:right="143"/>
              <w:spacing w:after="0" w:line="151" w:lineRule="exact"/>
              <w:rPr>
                <w:sz w:val="20"/>
                <w:szCs w:val="20"/>
                <w:color w:val="auto"/>
              </w:rPr>
            </w:pPr>
            <w:r>
              <w:rPr>
                <w:rFonts w:ascii="Arial" w:cs="Arial" w:eastAsia="Arial" w:hAnsi="Arial"/>
                <w:sz w:val="15"/>
                <w:szCs w:val="15"/>
                <w:b w:val="1"/>
                <w:bCs w:val="1"/>
                <w:color w:val="auto"/>
                <w:w w:val="99"/>
              </w:rPr>
              <w:t>Net</w:t>
            </w:r>
          </w:p>
        </w:tc>
        <w:tc>
          <w:tcPr>
            <w:tcW w:w="680" w:type="dxa"/>
            <w:vAlign w:val="bottom"/>
            <w:gridSpan w:val="2"/>
          </w:tcPr>
          <w:p>
            <w:pPr>
              <w:jc w:val="right"/>
              <w:ind w:right="43"/>
              <w:spacing w:after="0" w:line="151" w:lineRule="exact"/>
              <w:rPr>
                <w:sz w:val="20"/>
                <w:szCs w:val="20"/>
                <w:color w:val="auto"/>
              </w:rPr>
            </w:pPr>
            <w:r>
              <w:rPr>
                <w:rFonts w:ascii="Arial" w:cs="Arial" w:eastAsia="Arial" w:hAnsi="Arial"/>
                <w:sz w:val="15"/>
                <w:szCs w:val="15"/>
                <w:b w:val="1"/>
                <w:bCs w:val="1"/>
                <w:color w:val="auto"/>
              </w:rPr>
              <w:t>Gross</w:t>
            </w:r>
          </w:p>
        </w:tc>
        <w:tc>
          <w:tcPr>
            <w:tcW w:w="760" w:type="dxa"/>
            <w:vAlign w:val="bottom"/>
            <w:gridSpan w:val="2"/>
          </w:tcPr>
          <w:p>
            <w:pPr>
              <w:ind w:left="80"/>
              <w:spacing w:after="0" w:line="151" w:lineRule="exact"/>
              <w:rPr>
                <w:sz w:val="20"/>
                <w:szCs w:val="20"/>
                <w:color w:val="auto"/>
              </w:rPr>
            </w:pPr>
            <w:r>
              <w:rPr>
                <w:rFonts w:ascii="Arial" w:cs="Arial" w:eastAsia="Arial" w:hAnsi="Arial"/>
                <w:sz w:val="15"/>
                <w:szCs w:val="15"/>
                <w:b w:val="1"/>
                <w:bCs w:val="1"/>
                <w:color w:val="auto"/>
              </w:rPr>
              <w:t>Accum.</w:t>
            </w:r>
          </w:p>
        </w:tc>
        <w:tc>
          <w:tcPr>
            <w:tcW w:w="180" w:type="dxa"/>
            <w:vAlign w:val="bottom"/>
          </w:tcPr>
          <w:p>
            <w:pPr>
              <w:spacing w:after="0"/>
              <w:rPr>
                <w:sz w:val="13"/>
                <w:szCs w:val="13"/>
                <w:color w:val="auto"/>
              </w:rPr>
            </w:pPr>
          </w:p>
        </w:tc>
        <w:tc>
          <w:tcPr>
            <w:tcW w:w="500" w:type="dxa"/>
            <w:vAlign w:val="bottom"/>
          </w:tcPr>
          <w:p>
            <w:pPr>
              <w:jc w:val="right"/>
              <w:ind w:right="163"/>
              <w:spacing w:after="0" w:line="151" w:lineRule="exact"/>
              <w:rPr>
                <w:sz w:val="20"/>
                <w:szCs w:val="20"/>
                <w:color w:val="auto"/>
              </w:rPr>
            </w:pPr>
            <w:r>
              <w:rPr>
                <w:rFonts w:ascii="Arial" w:cs="Arial" w:eastAsia="Arial" w:hAnsi="Arial"/>
                <w:sz w:val="15"/>
                <w:szCs w:val="15"/>
                <w:b w:val="1"/>
                <w:bCs w:val="1"/>
                <w:color w:val="auto"/>
                <w:w w:val="99"/>
              </w:rPr>
              <w:t>Net</w:t>
            </w:r>
          </w:p>
        </w:tc>
        <w:tc>
          <w:tcPr>
            <w:tcW w:w="680" w:type="dxa"/>
            <w:vAlign w:val="bottom"/>
            <w:gridSpan w:val="2"/>
          </w:tcPr>
          <w:p>
            <w:pPr>
              <w:jc w:val="right"/>
              <w:ind w:right="43"/>
              <w:spacing w:after="0" w:line="151" w:lineRule="exact"/>
              <w:rPr>
                <w:sz w:val="20"/>
                <w:szCs w:val="20"/>
                <w:color w:val="auto"/>
              </w:rPr>
            </w:pPr>
            <w:r>
              <w:rPr>
                <w:rFonts w:ascii="Arial" w:cs="Arial" w:eastAsia="Arial" w:hAnsi="Arial"/>
                <w:sz w:val="15"/>
                <w:szCs w:val="15"/>
                <w:b w:val="1"/>
                <w:bCs w:val="1"/>
                <w:color w:val="auto"/>
              </w:rPr>
              <w:t>Gross</w:t>
            </w:r>
          </w:p>
        </w:tc>
        <w:tc>
          <w:tcPr>
            <w:tcW w:w="760" w:type="dxa"/>
            <w:vAlign w:val="bottom"/>
            <w:gridSpan w:val="2"/>
          </w:tcPr>
          <w:p>
            <w:pPr>
              <w:ind w:left="100"/>
              <w:spacing w:after="0" w:line="151" w:lineRule="exact"/>
              <w:rPr>
                <w:sz w:val="20"/>
                <w:szCs w:val="20"/>
                <w:color w:val="auto"/>
              </w:rPr>
            </w:pPr>
            <w:r>
              <w:rPr>
                <w:rFonts w:ascii="Arial" w:cs="Arial" w:eastAsia="Arial" w:hAnsi="Arial"/>
                <w:sz w:val="15"/>
                <w:szCs w:val="15"/>
                <w:b w:val="1"/>
                <w:bCs w:val="1"/>
                <w:color w:val="auto"/>
              </w:rPr>
              <w:t>Accum.</w:t>
            </w:r>
          </w:p>
        </w:tc>
        <w:tc>
          <w:tcPr>
            <w:tcW w:w="200" w:type="dxa"/>
            <w:vAlign w:val="bottom"/>
          </w:tcPr>
          <w:p>
            <w:pPr>
              <w:spacing w:after="0"/>
              <w:rPr>
                <w:sz w:val="13"/>
                <w:szCs w:val="13"/>
                <w:color w:val="auto"/>
              </w:rPr>
            </w:pPr>
          </w:p>
        </w:tc>
        <w:tc>
          <w:tcPr>
            <w:tcW w:w="460" w:type="dxa"/>
            <w:vAlign w:val="bottom"/>
          </w:tcPr>
          <w:p>
            <w:pPr>
              <w:jc w:val="right"/>
              <w:ind w:right="103"/>
              <w:spacing w:after="0" w:line="151" w:lineRule="exact"/>
              <w:rPr>
                <w:sz w:val="20"/>
                <w:szCs w:val="20"/>
                <w:color w:val="auto"/>
              </w:rPr>
            </w:pPr>
            <w:r>
              <w:rPr>
                <w:rFonts w:ascii="Arial" w:cs="Arial" w:eastAsia="Arial" w:hAnsi="Arial"/>
                <w:sz w:val="15"/>
                <w:szCs w:val="15"/>
                <w:b w:val="1"/>
                <w:bCs w:val="1"/>
                <w:color w:val="auto"/>
              </w:rPr>
              <w:t>Net</w:t>
            </w:r>
          </w:p>
        </w:tc>
        <w:tc>
          <w:tcPr>
            <w:tcW w:w="0" w:type="dxa"/>
            <w:vAlign w:val="bottom"/>
          </w:tcPr>
          <w:p>
            <w:pPr>
              <w:spacing w:after="0"/>
              <w:rPr>
                <w:sz w:val="1"/>
                <w:szCs w:val="1"/>
                <w:color w:val="auto"/>
              </w:rPr>
            </w:pPr>
          </w:p>
        </w:tc>
      </w:tr>
      <w:tr>
        <w:trPr>
          <w:trHeight w:val="194"/>
        </w:trPr>
        <w:tc>
          <w:tcPr>
            <w:tcW w:w="27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 in millions)</w:t>
            </w:r>
          </w:p>
        </w:tc>
        <w:tc>
          <w:tcPr>
            <w:tcW w:w="700" w:type="dxa"/>
            <w:vAlign w:val="bottom"/>
            <w:tcBorders>
              <w:bottom w:val="single" w:sz="8" w:color="auto"/>
            </w:tcBorders>
            <w:gridSpan w:val="2"/>
          </w:tcPr>
          <w:p>
            <w:pPr>
              <w:jc w:val="right"/>
              <w:ind w:right="83"/>
              <w:spacing w:after="0"/>
              <w:rPr>
                <w:sz w:val="20"/>
                <w:szCs w:val="20"/>
                <w:color w:val="auto"/>
              </w:rPr>
            </w:pPr>
            <w:r>
              <w:rPr>
                <w:rFonts w:ascii="Arial" w:cs="Arial" w:eastAsia="Arial" w:hAnsi="Arial"/>
                <w:sz w:val="15"/>
                <w:szCs w:val="15"/>
                <w:b w:val="1"/>
                <w:bCs w:val="1"/>
                <w:color w:val="auto"/>
              </w:rPr>
              <w:t>value</w:t>
            </w:r>
          </w:p>
        </w:tc>
        <w:tc>
          <w:tcPr>
            <w:tcW w:w="760" w:type="dxa"/>
            <w:vAlign w:val="bottom"/>
            <w:tcBorders>
              <w:bottom w:val="single" w:sz="8" w:color="auto"/>
            </w:tcBorders>
            <w:gridSpan w:val="2"/>
          </w:tcPr>
          <w:p>
            <w:pPr>
              <w:ind w:left="120"/>
              <w:spacing w:after="0"/>
              <w:rPr>
                <w:sz w:val="20"/>
                <w:szCs w:val="20"/>
                <w:color w:val="auto"/>
              </w:rPr>
            </w:pPr>
            <w:r>
              <w:rPr>
                <w:rFonts w:ascii="Arial" w:cs="Arial" w:eastAsia="Arial" w:hAnsi="Arial"/>
                <w:sz w:val="15"/>
                <w:szCs w:val="15"/>
                <w:b w:val="1"/>
                <w:bCs w:val="1"/>
                <w:color w:val="auto"/>
              </w:rPr>
              <w:t>amort.</w:t>
            </w:r>
          </w:p>
        </w:tc>
        <w:tc>
          <w:tcPr>
            <w:tcW w:w="640" w:type="dxa"/>
            <w:vAlign w:val="bottom"/>
            <w:tcBorders>
              <w:bottom w:val="single" w:sz="8" w:color="auto"/>
            </w:tcBorders>
            <w:gridSpan w:val="2"/>
          </w:tcPr>
          <w:p>
            <w:pPr>
              <w:jc w:val="right"/>
              <w:ind w:right="63"/>
              <w:spacing w:after="0"/>
              <w:rPr>
                <w:sz w:val="20"/>
                <w:szCs w:val="20"/>
                <w:color w:val="auto"/>
              </w:rPr>
            </w:pPr>
            <w:r>
              <w:rPr>
                <w:rFonts w:ascii="Arial" w:cs="Arial" w:eastAsia="Arial" w:hAnsi="Arial"/>
                <w:sz w:val="15"/>
                <w:szCs w:val="15"/>
                <w:b w:val="1"/>
                <w:bCs w:val="1"/>
                <w:color w:val="auto"/>
              </w:rPr>
              <w:t>Value</w:t>
            </w:r>
          </w:p>
        </w:tc>
        <w:tc>
          <w:tcPr>
            <w:tcW w:w="680" w:type="dxa"/>
            <w:vAlign w:val="bottom"/>
            <w:tcBorders>
              <w:bottom w:val="single" w:sz="8" w:color="auto"/>
            </w:tcBorders>
            <w:gridSpan w:val="2"/>
          </w:tcPr>
          <w:p>
            <w:pPr>
              <w:jc w:val="right"/>
              <w:ind w:right="63"/>
              <w:spacing w:after="0"/>
              <w:rPr>
                <w:sz w:val="20"/>
                <w:szCs w:val="20"/>
                <w:color w:val="auto"/>
              </w:rPr>
            </w:pPr>
            <w:r>
              <w:rPr>
                <w:rFonts w:ascii="Arial" w:cs="Arial" w:eastAsia="Arial" w:hAnsi="Arial"/>
                <w:sz w:val="15"/>
                <w:szCs w:val="15"/>
                <w:b w:val="1"/>
                <w:bCs w:val="1"/>
                <w:color w:val="auto"/>
              </w:rPr>
              <w:t>Value</w:t>
            </w:r>
          </w:p>
        </w:tc>
        <w:tc>
          <w:tcPr>
            <w:tcW w:w="760" w:type="dxa"/>
            <w:vAlign w:val="bottom"/>
            <w:tcBorders>
              <w:bottom w:val="single" w:sz="8" w:color="auto"/>
            </w:tcBorders>
            <w:gridSpan w:val="2"/>
          </w:tcPr>
          <w:p>
            <w:pPr>
              <w:jc w:val="right"/>
              <w:ind w:right="83"/>
              <w:spacing w:after="0"/>
              <w:rPr>
                <w:sz w:val="20"/>
                <w:szCs w:val="20"/>
                <w:color w:val="auto"/>
              </w:rPr>
            </w:pPr>
            <w:r>
              <w:rPr>
                <w:rFonts w:ascii="Arial" w:cs="Arial" w:eastAsia="Arial" w:hAnsi="Arial"/>
                <w:sz w:val="15"/>
                <w:szCs w:val="15"/>
                <w:b w:val="1"/>
                <w:bCs w:val="1"/>
                <w:color w:val="auto"/>
              </w:rPr>
              <w:t>amort.</w:t>
            </w:r>
          </w:p>
        </w:tc>
        <w:tc>
          <w:tcPr>
            <w:tcW w:w="680" w:type="dxa"/>
            <w:vAlign w:val="bottom"/>
            <w:tcBorders>
              <w:bottom w:val="single" w:sz="8" w:color="auto"/>
            </w:tcBorders>
            <w:gridSpan w:val="2"/>
          </w:tcPr>
          <w:p>
            <w:pPr>
              <w:jc w:val="right"/>
              <w:ind w:right="83"/>
              <w:spacing w:after="0"/>
              <w:rPr>
                <w:sz w:val="20"/>
                <w:szCs w:val="20"/>
                <w:color w:val="auto"/>
              </w:rPr>
            </w:pPr>
            <w:r>
              <w:rPr>
                <w:rFonts w:ascii="Arial" w:cs="Arial" w:eastAsia="Arial" w:hAnsi="Arial"/>
                <w:sz w:val="15"/>
                <w:szCs w:val="15"/>
                <w:b w:val="1"/>
                <w:bCs w:val="1"/>
                <w:color w:val="auto"/>
              </w:rPr>
              <w:t>Value</w:t>
            </w:r>
          </w:p>
        </w:tc>
        <w:tc>
          <w:tcPr>
            <w:tcW w:w="680" w:type="dxa"/>
            <w:vAlign w:val="bottom"/>
            <w:tcBorders>
              <w:bottom w:val="single" w:sz="8" w:color="auto"/>
            </w:tcBorders>
            <w:gridSpan w:val="2"/>
          </w:tcPr>
          <w:p>
            <w:pPr>
              <w:jc w:val="right"/>
              <w:ind w:right="63"/>
              <w:spacing w:after="0"/>
              <w:rPr>
                <w:sz w:val="20"/>
                <w:szCs w:val="20"/>
                <w:color w:val="auto"/>
              </w:rPr>
            </w:pPr>
            <w:r>
              <w:rPr>
                <w:rFonts w:ascii="Arial" w:cs="Arial" w:eastAsia="Arial" w:hAnsi="Arial"/>
                <w:sz w:val="15"/>
                <w:szCs w:val="15"/>
                <w:b w:val="1"/>
                <w:bCs w:val="1"/>
                <w:color w:val="auto"/>
              </w:rPr>
              <w:t>value</w:t>
            </w:r>
          </w:p>
        </w:tc>
        <w:tc>
          <w:tcPr>
            <w:tcW w:w="760" w:type="dxa"/>
            <w:vAlign w:val="bottom"/>
            <w:tcBorders>
              <w:bottom w:val="single" w:sz="8" w:color="auto"/>
            </w:tcBorders>
            <w:gridSpan w:val="2"/>
          </w:tcPr>
          <w:p>
            <w:pPr>
              <w:jc w:val="right"/>
              <w:ind w:right="63"/>
              <w:spacing w:after="0"/>
              <w:rPr>
                <w:sz w:val="20"/>
                <w:szCs w:val="20"/>
                <w:color w:val="auto"/>
              </w:rPr>
            </w:pPr>
            <w:r>
              <w:rPr>
                <w:rFonts w:ascii="Arial" w:cs="Arial" w:eastAsia="Arial" w:hAnsi="Arial"/>
                <w:sz w:val="15"/>
                <w:szCs w:val="15"/>
                <w:b w:val="1"/>
                <w:bCs w:val="1"/>
                <w:color w:val="auto"/>
              </w:rPr>
              <w:t>amort.</w:t>
            </w:r>
          </w:p>
        </w:tc>
        <w:tc>
          <w:tcPr>
            <w:tcW w:w="660" w:type="dxa"/>
            <w:vAlign w:val="bottom"/>
            <w:tcBorders>
              <w:bottom w:val="single" w:sz="8" w:color="auto"/>
            </w:tcBorders>
            <w:gridSpan w:val="2"/>
          </w:tcPr>
          <w:p>
            <w:pPr>
              <w:jc w:val="right"/>
              <w:ind w:right="43"/>
              <w:spacing w:after="0"/>
              <w:rPr>
                <w:sz w:val="20"/>
                <w:szCs w:val="20"/>
                <w:color w:val="auto"/>
              </w:rPr>
            </w:pPr>
            <w:r>
              <w:rPr>
                <w:rFonts w:ascii="Arial" w:cs="Arial" w:eastAsia="Arial" w:hAnsi="Arial"/>
                <w:sz w:val="15"/>
                <w:szCs w:val="15"/>
                <w:b w:val="1"/>
                <w:bCs w:val="1"/>
                <w:color w:val="auto"/>
              </w:rPr>
              <w:t>Value</w:t>
            </w:r>
          </w:p>
        </w:tc>
        <w:tc>
          <w:tcPr>
            <w:tcW w:w="0" w:type="dxa"/>
            <w:vAlign w:val="bottom"/>
          </w:tcPr>
          <w:p>
            <w:pPr>
              <w:spacing w:after="0"/>
              <w:rPr>
                <w:sz w:val="1"/>
                <w:szCs w:val="1"/>
                <w:color w:val="auto"/>
              </w:rPr>
            </w:pPr>
          </w:p>
        </w:tc>
      </w:tr>
      <w:tr>
        <w:trPr>
          <w:trHeight w:val="162"/>
        </w:trPr>
        <w:tc>
          <w:tcPr>
            <w:tcW w:w="2780" w:type="dxa"/>
            <w:vAlign w:val="bottom"/>
          </w:tcPr>
          <w:p>
            <w:pPr>
              <w:spacing w:after="0" w:line="163" w:lineRule="exact"/>
              <w:rPr>
                <w:sz w:val="20"/>
                <w:szCs w:val="20"/>
                <w:color w:val="auto"/>
              </w:rPr>
            </w:pPr>
            <w:r>
              <w:rPr>
                <w:rFonts w:ascii="Arial" w:cs="Arial" w:eastAsia="Arial" w:hAnsi="Arial"/>
                <w:sz w:val="15"/>
                <w:szCs w:val="15"/>
                <w:color w:val="auto"/>
              </w:rPr>
              <w:t xml:space="preserve">Amortized intangible assets: </w:t>
            </w:r>
            <w:r>
              <w:rPr>
                <w:rFonts w:ascii="Arial" w:cs="Arial" w:eastAsia="Arial" w:hAnsi="Arial"/>
                <w:sz w:val="8"/>
                <w:szCs w:val="8"/>
                <w:color w:val="auto"/>
              </w:rPr>
              <w:t>(1)</w:t>
            </w: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7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Lease acquisition costs</w:t>
            </w:r>
          </w:p>
        </w:tc>
        <w:tc>
          <w:tcPr>
            <w:tcW w:w="280" w:type="dxa"/>
            <w:vAlign w:val="bottom"/>
            <w:shd w:val="clear" w:color="auto" w:fill="CCEEFF"/>
          </w:tcPr>
          <w:p>
            <w:pPr>
              <w:ind w:left="100"/>
              <w:spacing w:after="0"/>
              <w:rPr>
                <w:sz w:val="20"/>
                <w:szCs w:val="20"/>
                <w:color w:val="auto"/>
              </w:rPr>
            </w:pPr>
            <w:r>
              <w:rPr>
                <w:rFonts w:ascii="Arial" w:cs="Arial" w:eastAsia="Arial" w:hAnsi="Arial"/>
                <w:sz w:val="15"/>
                <w:szCs w:val="15"/>
                <w:b w:val="1"/>
                <w:bCs w:val="1"/>
                <w:color w:val="auto"/>
              </w:rPr>
              <w:t>$</w:t>
            </w:r>
          </w:p>
        </w:tc>
        <w:tc>
          <w:tcPr>
            <w:tcW w:w="42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118</w:t>
            </w:r>
          </w:p>
        </w:tc>
        <w:tc>
          <w:tcPr>
            <w:tcW w:w="260" w:type="dxa"/>
            <w:vAlign w:val="bottom"/>
            <w:shd w:val="clear" w:color="auto" w:fill="CCEEFF"/>
          </w:tcPr>
          <w:p>
            <w:pPr>
              <w:ind w:left="100"/>
              <w:spacing w:after="0"/>
              <w:rPr>
                <w:sz w:val="20"/>
                <w:szCs w:val="20"/>
                <w:color w:val="auto"/>
              </w:rPr>
            </w:pPr>
            <w:r>
              <w:rPr>
                <w:rFonts w:ascii="Arial" w:cs="Arial" w:eastAsia="Arial" w:hAnsi="Arial"/>
                <w:sz w:val="15"/>
                <w:szCs w:val="15"/>
                <w:b w:val="1"/>
                <w:bCs w:val="1"/>
                <w:color w:val="auto"/>
              </w:rPr>
              <w:t>$</w:t>
            </w:r>
          </w:p>
        </w:tc>
        <w:tc>
          <w:tcPr>
            <w:tcW w:w="50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(107)</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11</w:t>
            </w:r>
          </w:p>
        </w:tc>
        <w:tc>
          <w:tcPr>
            <w:tcW w:w="2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123</w:t>
            </w:r>
          </w:p>
        </w:tc>
        <w:tc>
          <w:tcPr>
            <w:tcW w:w="260" w:type="dxa"/>
            <w:vAlign w:val="bottom"/>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12</w:t>
            </w:r>
          </w:p>
        </w:tc>
        <w:tc>
          <w:tcPr>
            <w:tcW w:w="2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116</w:t>
            </w:r>
          </w:p>
        </w:tc>
        <w:tc>
          <w:tcPr>
            <w:tcW w:w="280" w:type="dxa"/>
            <w:vAlign w:val="bottom"/>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182"/>
        </w:trPr>
        <w:tc>
          <w:tcPr>
            <w:tcW w:w="2780" w:type="dxa"/>
            <w:vAlign w:val="bottom"/>
          </w:tcPr>
          <w:p>
            <w:pPr>
              <w:ind w:left="320"/>
              <w:spacing w:after="0"/>
              <w:rPr>
                <w:sz w:val="20"/>
                <w:szCs w:val="20"/>
                <w:color w:val="auto"/>
              </w:rPr>
            </w:pPr>
            <w:r>
              <w:rPr>
                <w:rFonts w:ascii="Arial" w:cs="Arial" w:eastAsia="Arial" w:hAnsi="Arial"/>
                <w:sz w:val="15"/>
                <w:szCs w:val="15"/>
                <w:color w:val="auto"/>
              </w:rPr>
              <w:t>Trademarks / trade names</w:t>
            </w:r>
          </w:p>
        </w:tc>
        <w:tc>
          <w:tcPr>
            <w:tcW w:w="280" w:type="dxa"/>
            <w:vAlign w:val="bottom"/>
          </w:tcPr>
          <w:p>
            <w:pPr>
              <w:spacing w:after="0"/>
              <w:rPr>
                <w:sz w:val="15"/>
                <w:szCs w:val="15"/>
                <w:color w:val="auto"/>
              </w:rPr>
            </w:pPr>
          </w:p>
        </w:tc>
        <w:tc>
          <w:tcPr>
            <w:tcW w:w="420" w:type="dxa"/>
            <w:vAlign w:val="bottom"/>
          </w:tcPr>
          <w:p>
            <w:pPr>
              <w:jc w:val="right"/>
              <w:ind w:right="3"/>
              <w:spacing w:after="0"/>
              <w:rPr>
                <w:sz w:val="20"/>
                <w:szCs w:val="20"/>
                <w:color w:val="auto"/>
              </w:rPr>
            </w:pPr>
            <w:r>
              <w:rPr>
                <w:rFonts w:ascii="Arial" w:cs="Arial" w:eastAsia="Arial" w:hAnsi="Arial"/>
                <w:sz w:val="15"/>
                <w:szCs w:val="15"/>
                <w:b w:val="1"/>
                <w:bCs w:val="1"/>
                <w:color w:val="auto"/>
              </w:rPr>
              <w:t>20</w:t>
            </w:r>
          </w:p>
        </w:tc>
        <w:tc>
          <w:tcPr>
            <w:tcW w:w="260" w:type="dxa"/>
            <w:vAlign w:val="bottom"/>
          </w:tcPr>
          <w:p>
            <w:pPr>
              <w:spacing w:after="0"/>
              <w:rPr>
                <w:sz w:val="15"/>
                <w:szCs w:val="15"/>
                <w:color w:val="auto"/>
              </w:rPr>
            </w:pPr>
          </w:p>
        </w:tc>
        <w:tc>
          <w:tcPr>
            <w:tcW w:w="500" w:type="dxa"/>
            <w:vAlign w:val="bottom"/>
          </w:tcPr>
          <w:p>
            <w:pPr>
              <w:jc w:val="right"/>
              <w:ind w:right="3"/>
              <w:spacing w:after="0"/>
              <w:rPr>
                <w:sz w:val="20"/>
                <w:szCs w:val="20"/>
                <w:color w:val="auto"/>
              </w:rPr>
            </w:pPr>
            <w:r>
              <w:rPr>
                <w:rFonts w:ascii="Arial" w:cs="Arial" w:eastAsia="Arial" w:hAnsi="Arial"/>
                <w:sz w:val="15"/>
                <w:szCs w:val="15"/>
                <w:b w:val="1"/>
                <w:bCs w:val="1"/>
                <w:color w:val="auto"/>
              </w:rPr>
              <w:t>(13)</w:t>
            </w:r>
          </w:p>
        </w:tc>
        <w:tc>
          <w:tcPr>
            <w:tcW w:w="160" w:type="dxa"/>
            <w:vAlign w:val="bottom"/>
          </w:tcPr>
          <w:p>
            <w:pPr>
              <w:spacing w:after="0"/>
              <w:rPr>
                <w:sz w:val="15"/>
                <w:szCs w:val="15"/>
                <w:color w:val="auto"/>
              </w:rPr>
            </w:pPr>
          </w:p>
        </w:tc>
        <w:tc>
          <w:tcPr>
            <w:tcW w:w="480" w:type="dxa"/>
            <w:vAlign w:val="bottom"/>
          </w:tcPr>
          <w:p>
            <w:pPr>
              <w:jc w:val="right"/>
              <w:ind w:right="3"/>
              <w:spacing w:after="0"/>
              <w:rPr>
                <w:sz w:val="20"/>
                <w:szCs w:val="20"/>
                <w:color w:val="auto"/>
              </w:rPr>
            </w:pPr>
            <w:r>
              <w:rPr>
                <w:rFonts w:ascii="Arial" w:cs="Arial" w:eastAsia="Arial" w:hAnsi="Arial"/>
                <w:sz w:val="15"/>
                <w:szCs w:val="15"/>
                <w:b w:val="1"/>
                <w:bCs w:val="1"/>
                <w:color w:val="auto"/>
              </w:rPr>
              <w:t>7</w:t>
            </w:r>
          </w:p>
        </w:tc>
        <w:tc>
          <w:tcPr>
            <w:tcW w:w="260" w:type="dxa"/>
            <w:vAlign w:val="bottom"/>
          </w:tcPr>
          <w:p>
            <w:pPr>
              <w:spacing w:after="0"/>
              <w:rPr>
                <w:sz w:val="15"/>
                <w:szCs w:val="15"/>
                <w:color w:val="auto"/>
              </w:rPr>
            </w:pPr>
          </w:p>
        </w:tc>
        <w:tc>
          <w:tcPr>
            <w:tcW w:w="420" w:type="dxa"/>
            <w:vAlign w:val="bottom"/>
          </w:tcPr>
          <w:p>
            <w:pPr>
              <w:jc w:val="right"/>
              <w:ind w:right="3"/>
              <w:spacing w:after="0"/>
              <w:rPr>
                <w:sz w:val="20"/>
                <w:szCs w:val="20"/>
                <w:color w:val="auto"/>
              </w:rPr>
            </w:pPr>
            <w:r>
              <w:rPr>
                <w:rFonts w:ascii="Arial" w:cs="Arial" w:eastAsia="Arial" w:hAnsi="Arial"/>
                <w:sz w:val="15"/>
                <w:szCs w:val="15"/>
                <w:color w:val="auto"/>
              </w:rPr>
              <w:t>21</w:t>
            </w:r>
          </w:p>
        </w:tc>
        <w:tc>
          <w:tcPr>
            <w:tcW w:w="2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(13)</w:t>
            </w:r>
          </w:p>
        </w:tc>
        <w:tc>
          <w:tcPr>
            <w:tcW w:w="180" w:type="dxa"/>
            <w:vAlign w:val="bottom"/>
          </w:tcPr>
          <w:p>
            <w:pPr>
              <w:spacing w:after="0"/>
              <w:rPr>
                <w:sz w:val="15"/>
                <w:szCs w:val="15"/>
                <w:color w:val="auto"/>
              </w:rPr>
            </w:pPr>
          </w:p>
        </w:tc>
        <w:tc>
          <w:tcPr>
            <w:tcW w:w="500" w:type="dxa"/>
            <w:vAlign w:val="bottom"/>
          </w:tcPr>
          <w:p>
            <w:pPr>
              <w:jc w:val="right"/>
              <w:ind w:right="23"/>
              <w:spacing w:after="0"/>
              <w:rPr>
                <w:sz w:val="20"/>
                <w:szCs w:val="20"/>
                <w:color w:val="auto"/>
              </w:rPr>
            </w:pPr>
            <w:r>
              <w:rPr>
                <w:rFonts w:ascii="Arial" w:cs="Arial" w:eastAsia="Arial" w:hAnsi="Arial"/>
                <w:sz w:val="15"/>
                <w:szCs w:val="15"/>
                <w:color w:val="auto"/>
              </w:rPr>
              <w:t>8</w:t>
            </w:r>
          </w:p>
        </w:tc>
        <w:tc>
          <w:tcPr>
            <w:tcW w:w="260" w:type="dxa"/>
            <w:vAlign w:val="bottom"/>
          </w:tcPr>
          <w:p>
            <w:pPr>
              <w:spacing w:after="0"/>
              <w:rPr>
                <w:sz w:val="15"/>
                <w:szCs w:val="15"/>
                <w:color w:val="auto"/>
              </w:rPr>
            </w:pPr>
          </w:p>
        </w:tc>
        <w:tc>
          <w:tcPr>
            <w:tcW w:w="420" w:type="dxa"/>
            <w:vAlign w:val="bottom"/>
          </w:tcPr>
          <w:p>
            <w:pPr>
              <w:jc w:val="right"/>
              <w:ind w:right="3"/>
              <w:spacing w:after="0"/>
              <w:rPr>
                <w:sz w:val="20"/>
                <w:szCs w:val="20"/>
                <w:color w:val="auto"/>
              </w:rPr>
            </w:pPr>
            <w:r>
              <w:rPr>
                <w:rFonts w:ascii="Arial" w:cs="Arial" w:eastAsia="Arial" w:hAnsi="Arial"/>
                <w:sz w:val="15"/>
                <w:szCs w:val="15"/>
                <w:color w:val="auto"/>
              </w:rPr>
              <w:t>20</w:t>
            </w:r>
          </w:p>
        </w:tc>
        <w:tc>
          <w:tcPr>
            <w:tcW w:w="2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(13)</w:t>
            </w:r>
          </w:p>
        </w:tc>
        <w:tc>
          <w:tcPr>
            <w:tcW w:w="2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182"/>
        </w:trPr>
        <w:tc>
          <w:tcPr>
            <w:tcW w:w="27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5"/>
                <w:szCs w:val="15"/>
                <w:color w:val="auto"/>
              </w:rPr>
              <w:t>Favorable leases</w:t>
            </w:r>
          </w:p>
        </w:tc>
        <w:tc>
          <w:tcPr>
            <w:tcW w:w="28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7</w:t>
            </w:r>
          </w:p>
        </w:tc>
        <w:tc>
          <w:tcPr>
            <w:tcW w:w="26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(5)</w:t>
            </w:r>
          </w:p>
        </w:tc>
        <w:tc>
          <w:tcPr>
            <w:tcW w:w="16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2</w:t>
            </w:r>
          </w:p>
        </w:tc>
        <w:tc>
          <w:tcPr>
            <w:tcW w:w="26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7</w:t>
            </w:r>
          </w:p>
        </w:tc>
        <w:tc>
          <w:tcPr>
            <w:tcW w:w="26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18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2</w:t>
            </w:r>
          </w:p>
        </w:tc>
        <w:tc>
          <w:tcPr>
            <w:tcW w:w="26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7</w:t>
            </w:r>
          </w:p>
        </w:tc>
        <w:tc>
          <w:tcPr>
            <w:tcW w:w="2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20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62"/>
        </w:trPr>
        <w:tc>
          <w:tcPr>
            <w:tcW w:w="27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ind w:left="100"/>
              <w:spacing w:after="0" w:line="163" w:lineRule="exact"/>
              <w:rPr>
                <w:sz w:val="20"/>
                <w:szCs w:val="20"/>
                <w:color w:val="auto"/>
              </w:rPr>
            </w:pPr>
            <w:r>
              <w:rPr>
                <w:rFonts w:ascii="Arial" w:cs="Arial" w:eastAsia="Arial" w:hAnsi="Arial"/>
                <w:sz w:val="15"/>
                <w:szCs w:val="15"/>
                <w:b w:val="1"/>
                <w:bCs w:val="1"/>
                <w:color w:val="auto"/>
              </w:rPr>
              <w:t>$</w:t>
            </w:r>
          </w:p>
        </w:tc>
        <w:tc>
          <w:tcPr>
            <w:tcW w:w="420" w:type="dxa"/>
            <w:vAlign w:val="bottom"/>
            <w:tcBorders>
              <w:bottom w:val="single" w:sz="8" w:color="auto"/>
            </w:tcBorders>
          </w:tcPr>
          <w:p>
            <w:pPr>
              <w:jc w:val="right"/>
              <w:ind w:right="3"/>
              <w:spacing w:after="0" w:line="163" w:lineRule="exact"/>
              <w:rPr>
                <w:sz w:val="20"/>
                <w:szCs w:val="20"/>
                <w:color w:val="auto"/>
              </w:rPr>
            </w:pPr>
            <w:r>
              <w:rPr>
                <w:rFonts w:ascii="Arial" w:cs="Arial" w:eastAsia="Arial" w:hAnsi="Arial"/>
                <w:sz w:val="15"/>
                <w:szCs w:val="15"/>
                <w:b w:val="1"/>
                <w:bCs w:val="1"/>
                <w:color w:val="auto"/>
              </w:rPr>
              <w:t>145</w:t>
            </w:r>
          </w:p>
        </w:tc>
        <w:tc>
          <w:tcPr>
            <w:tcW w:w="260" w:type="dxa"/>
            <w:vAlign w:val="bottom"/>
            <w:tcBorders>
              <w:bottom w:val="single" w:sz="8" w:color="auto"/>
            </w:tcBorders>
          </w:tcPr>
          <w:p>
            <w:pPr>
              <w:ind w:left="100"/>
              <w:spacing w:after="0" w:line="163" w:lineRule="exact"/>
              <w:rPr>
                <w:sz w:val="20"/>
                <w:szCs w:val="20"/>
                <w:color w:val="auto"/>
              </w:rPr>
            </w:pPr>
            <w:r>
              <w:rPr>
                <w:rFonts w:ascii="Arial" w:cs="Arial" w:eastAsia="Arial" w:hAnsi="Arial"/>
                <w:sz w:val="15"/>
                <w:szCs w:val="15"/>
                <w:b w:val="1"/>
                <w:bCs w:val="1"/>
                <w:color w:val="auto"/>
              </w:rPr>
              <w:t>$</w:t>
            </w:r>
          </w:p>
        </w:tc>
        <w:tc>
          <w:tcPr>
            <w:tcW w:w="500" w:type="dxa"/>
            <w:vAlign w:val="bottom"/>
            <w:tcBorders>
              <w:bottom w:val="single" w:sz="8" w:color="auto"/>
            </w:tcBorders>
          </w:tcPr>
          <w:p>
            <w:pPr>
              <w:jc w:val="right"/>
              <w:ind w:right="3"/>
              <w:spacing w:after="0" w:line="163" w:lineRule="exact"/>
              <w:rPr>
                <w:sz w:val="20"/>
                <w:szCs w:val="20"/>
                <w:color w:val="auto"/>
              </w:rPr>
            </w:pPr>
            <w:r>
              <w:rPr>
                <w:rFonts w:ascii="Arial" w:cs="Arial" w:eastAsia="Arial" w:hAnsi="Arial"/>
                <w:sz w:val="15"/>
                <w:szCs w:val="15"/>
                <w:b w:val="1"/>
                <w:bCs w:val="1"/>
                <w:color w:val="auto"/>
              </w:rPr>
              <w:t>(125)</w:t>
            </w:r>
          </w:p>
        </w:tc>
        <w:tc>
          <w:tcPr>
            <w:tcW w:w="16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b w:val="1"/>
                <w:bCs w:val="1"/>
                <w:color w:val="auto"/>
              </w:rPr>
              <w:t>$</w:t>
            </w:r>
          </w:p>
        </w:tc>
        <w:tc>
          <w:tcPr>
            <w:tcW w:w="480" w:type="dxa"/>
            <w:vAlign w:val="bottom"/>
            <w:tcBorders>
              <w:bottom w:val="single" w:sz="8" w:color="auto"/>
            </w:tcBorders>
          </w:tcPr>
          <w:p>
            <w:pPr>
              <w:jc w:val="right"/>
              <w:ind w:right="3"/>
              <w:spacing w:after="0" w:line="163" w:lineRule="exact"/>
              <w:rPr>
                <w:sz w:val="20"/>
                <w:szCs w:val="20"/>
                <w:color w:val="auto"/>
              </w:rPr>
            </w:pPr>
            <w:r>
              <w:rPr>
                <w:rFonts w:ascii="Arial" w:cs="Arial" w:eastAsia="Arial" w:hAnsi="Arial"/>
                <w:sz w:val="15"/>
                <w:szCs w:val="15"/>
                <w:b w:val="1"/>
                <w:bCs w:val="1"/>
                <w:color w:val="auto"/>
              </w:rPr>
              <w:t>20</w:t>
            </w:r>
          </w:p>
        </w:tc>
        <w:tc>
          <w:tcPr>
            <w:tcW w:w="260" w:type="dxa"/>
            <w:vAlign w:val="bottom"/>
            <w:tcBorders>
              <w:bottom w:val="single" w:sz="8" w:color="auto"/>
            </w:tcBorders>
          </w:tcPr>
          <w:p>
            <w:pPr>
              <w:jc w:val="right"/>
              <w:ind w:right="3"/>
              <w:spacing w:after="0" w:line="163" w:lineRule="exact"/>
              <w:rPr>
                <w:sz w:val="20"/>
                <w:szCs w:val="20"/>
                <w:color w:val="auto"/>
              </w:rPr>
            </w:pPr>
            <w:r>
              <w:rPr>
                <w:rFonts w:ascii="Arial" w:cs="Arial" w:eastAsia="Arial" w:hAnsi="Arial"/>
                <w:sz w:val="15"/>
                <w:szCs w:val="15"/>
                <w:color w:val="auto"/>
              </w:rPr>
              <w:t>$</w:t>
            </w:r>
          </w:p>
        </w:tc>
        <w:tc>
          <w:tcPr>
            <w:tcW w:w="420" w:type="dxa"/>
            <w:vAlign w:val="bottom"/>
            <w:tcBorders>
              <w:bottom w:val="single" w:sz="8" w:color="auto"/>
            </w:tcBorders>
          </w:tcPr>
          <w:p>
            <w:pPr>
              <w:jc w:val="right"/>
              <w:ind w:right="3"/>
              <w:spacing w:after="0" w:line="163" w:lineRule="exact"/>
              <w:rPr>
                <w:sz w:val="20"/>
                <w:szCs w:val="20"/>
                <w:color w:val="auto"/>
              </w:rPr>
            </w:pPr>
            <w:r>
              <w:rPr>
                <w:rFonts w:ascii="Arial" w:cs="Arial" w:eastAsia="Arial" w:hAnsi="Arial"/>
                <w:sz w:val="15"/>
                <w:szCs w:val="15"/>
                <w:color w:val="auto"/>
              </w:rPr>
              <w:t>151</w:t>
            </w:r>
          </w:p>
        </w:tc>
        <w:tc>
          <w:tcPr>
            <w:tcW w:w="260" w:type="dxa"/>
            <w:vAlign w:val="bottom"/>
            <w:tcBorders>
              <w:bottom w:val="single" w:sz="8" w:color="auto"/>
            </w:tcBorders>
          </w:tcPr>
          <w:p>
            <w:pPr>
              <w:ind w:left="100"/>
              <w:spacing w:after="0" w:line="163" w:lineRule="exact"/>
              <w:rPr>
                <w:sz w:val="20"/>
                <w:szCs w:val="20"/>
                <w:color w:val="auto"/>
              </w:rPr>
            </w:pPr>
            <w:r>
              <w:rPr>
                <w:rFonts w:ascii="Arial" w:cs="Arial" w:eastAsia="Arial" w:hAnsi="Arial"/>
                <w:sz w:val="15"/>
                <w:szCs w:val="15"/>
                <w:color w:val="auto"/>
              </w:rPr>
              <w:t>$</w:t>
            </w:r>
          </w:p>
        </w:tc>
        <w:tc>
          <w:tcPr>
            <w:tcW w:w="50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color w:val="auto"/>
              </w:rPr>
              <w:t>(129)</w:t>
            </w:r>
          </w:p>
        </w:tc>
        <w:tc>
          <w:tcPr>
            <w:tcW w:w="18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color w:val="auto"/>
              </w:rPr>
              <w:t>$</w:t>
            </w:r>
          </w:p>
        </w:tc>
        <w:tc>
          <w:tcPr>
            <w:tcW w:w="500" w:type="dxa"/>
            <w:vAlign w:val="bottom"/>
            <w:tcBorders>
              <w:bottom w:val="single" w:sz="8" w:color="auto"/>
            </w:tcBorders>
          </w:tcPr>
          <w:p>
            <w:pPr>
              <w:jc w:val="right"/>
              <w:ind w:right="23"/>
              <w:spacing w:after="0" w:line="163" w:lineRule="exact"/>
              <w:rPr>
                <w:sz w:val="20"/>
                <w:szCs w:val="20"/>
                <w:color w:val="auto"/>
              </w:rPr>
            </w:pPr>
            <w:r>
              <w:rPr>
                <w:rFonts w:ascii="Arial" w:cs="Arial" w:eastAsia="Arial" w:hAnsi="Arial"/>
                <w:sz w:val="15"/>
                <w:szCs w:val="15"/>
                <w:color w:val="auto"/>
              </w:rPr>
              <w:t>22</w:t>
            </w:r>
          </w:p>
        </w:tc>
        <w:tc>
          <w:tcPr>
            <w:tcW w:w="260" w:type="dxa"/>
            <w:vAlign w:val="bottom"/>
            <w:tcBorders>
              <w:bottom w:val="single" w:sz="8" w:color="auto"/>
            </w:tcBorders>
          </w:tcPr>
          <w:p>
            <w:pPr>
              <w:jc w:val="right"/>
              <w:ind w:right="23"/>
              <w:spacing w:after="0" w:line="163" w:lineRule="exact"/>
              <w:rPr>
                <w:sz w:val="20"/>
                <w:szCs w:val="20"/>
                <w:color w:val="auto"/>
              </w:rPr>
            </w:pPr>
            <w:r>
              <w:rPr>
                <w:rFonts w:ascii="Arial" w:cs="Arial" w:eastAsia="Arial" w:hAnsi="Arial"/>
                <w:sz w:val="15"/>
                <w:szCs w:val="15"/>
                <w:color w:val="auto"/>
              </w:rPr>
              <w:t>$</w:t>
            </w:r>
          </w:p>
        </w:tc>
        <w:tc>
          <w:tcPr>
            <w:tcW w:w="420" w:type="dxa"/>
            <w:vAlign w:val="bottom"/>
            <w:tcBorders>
              <w:bottom w:val="single" w:sz="8" w:color="auto"/>
            </w:tcBorders>
          </w:tcPr>
          <w:p>
            <w:pPr>
              <w:jc w:val="right"/>
              <w:ind w:right="3"/>
              <w:spacing w:after="0" w:line="163" w:lineRule="exact"/>
              <w:rPr>
                <w:sz w:val="20"/>
                <w:szCs w:val="20"/>
                <w:color w:val="auto"/>
              </w:rPr>
            </w:pPr>
            <w:r>
              <w:rPr>
                <w:rFonts w:ascii="Arial" w:cs="Arial" w:eastAsia="Arial" w:hAnsi="Arial"/>
                <w:sz w:val="15"/>
                <w:szCs w:val="15"/>
                <w:color w:val="auto"/>
              </w:rPr>
              <w:t>143</w:t>
            </w:r>
          </w:p>
        </w:tc>
        <w:tc>
          <w:tcPr>
            <w:tcW w:w="280" w:type="dxa"/>
            <w:vAlign w:val="bottom"/>
            <w:tcBorders>
              <w:bottom w:val="single" w:sz="8" w:color="auto"/>
            </w:tcBorders>
          </w:tcPr>
          <w:p>
            <w:pPr>
              <w:ind w:left="100"/>
              <w:spacing w:after="0" w:line="163" w:lineRule="exact"/>
              <w:rPr>
                <w:sz w:val="20"/>
                <w:szCs w:val="20"/>
                <w:color w:val="auto"/>
              </w:rPr>
            </w:pPr>
            <w:r>
              <w:rPr>
                <w:rFonts w:ascii="Arial" w:cs="Arial" w:eastAsia="Arial" w:hAnsi="Arial"/>
                <w:sz w:val="15"/>
                <w:szCs w:val="15"/>
                <w:color w:val="auto"/>
              </w:rPr>
              <w:t>$</w:t>
            </w:r>
          </w:p>
        </w:tc>
        <w:tc>
          <w:tcPr>
            <w:tcW w:w="48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color w:val="auto"/>
              </w:rPr>
              <w:t>(123)</w:t>
            </w:r>
          </w:p>
        </w:tc>
        <w:tc>
          <w:tcPr>
            <w:tcW w:w="20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color w:val="auto"/>
              </w:rPr>
              <w:t>$</w:t>
            </w:r>
          </w:p>
        </w:tc>
        <w:tc>
          <w:tcPr>
            <w:tcW w:w="46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color w:val="auto"/>
              </w:rPr>
              <w:t>20</w:t>
            </w:r>
          </w:p>
        </w:tc>
        <w:tc>
          <w:tcPr>
            <w:tcW w:w="0" w:type="dxa"/>
            <w:vAlign w:val="bottom"/>
          </w:tcPr>
          <w:p>
            <w:pPr>
              <w:spacing w:after="0"/>
              <w:rPr>
                <w:sz w:val="1"/>
                <w:szCs w:val="1"/>
                <w:color w:val="auto"/>
              </w:rPr>
            </w:pPr>
          </w:p>
        </w:tc>
      </w:tr>
      <w:tr>
        <w:trPr>
          <w:trHeight w:val="199"/>
        </w:trPr>
        <w:tc>
          <w:tcPr>
            <w:tcW w:w="2780" w:type="dxa"/>
            <w:vAlign w:val="bottom"/>
            <w:shd w:val="clear" w:color="auto" w:fill="CCEEFF"/>
          </w:tcPr>
          <w:p>
            <w:pPr>
              <w:spacing w:after="0"/>
              <w:rPr>
                <w:sz w:val="20"/>
                <w:szCs w:val="20"/>
                <w:color w:val="auto"/>
              </w:rPr>
            </w:pPr>
            <w:r>
              <w:rPr>
                <w:rFonts w:ascii="Arial" w:cs="Arial" w:eastAsia="Arial" w:hAnsi="Arial"/>
                <w:sz w:val="15"/>
                <w:szCs w:val="15"/>
                <w:color w:val="auto"/>
              </w:rPr>
              <w:t xml:space="preserve">Indefinite life intangible assets: </w:t>
            </w:r>
            <w:r>
              <w:rPr>
                <w:rFonts w:ascii="Arial" w:cs="Arial" w:eastAsia="Arial" w:hAnsi="Arial"/>
                <w:sz w:val="8"/>
                <w:szCs w:val="8"/>
                <w:color w:val="auto"/>
              </w:rPr>
              <w:t>(1)</w:t>
            </w: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780" w:type="dxa"/>
            <w:vAlign w:val="bottom"/>
          </w:tcPr>
          <w:p>
            <w:pPr>
              <w:ind w:left="320"/>
              <w:spacing w:after="0"/>
              <w:rPr>
                <w:sz w:val="20"/>
                <w:szCs w:val="20"/>
                <w:color w:val="auto"/>
              </w:rPr>
            </w:pPr>
            <w:r>
              <w:rPr>
                <w:rFonts w:ascii="Arial" w:cs="Arial" w:eastAsia="Arial" w:hAnsi="Arial"/>
                <w:sz w:val="15"/>
                <w:szCs w:val="15"/>
                <w:color w:val="auto"/>
              </w:rPr>
              <w:t>Runners Point Group trademarks /</w:t>
            </w: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480" w:type="dxa"/>
            <w:vAlign w:val="bottom"/>
            <w:vMerge w:val="restart"/>
          </w:tcPr>
          <w:p>
            <w:pPr>
              <w:jc w:val="right"/>
              <w:ind w:right="3"/>
              <w:spacing w:after="0"/>
              <w:rPr>
                <w:sz w:val="20"/>
                <w:szCs w:val="20"/>
                <w:color w:val="auto"/>
              </w:rPr>
            </w:pPr>
            <w:r>
              <w:rPr>
                <w:rFonts w:ascii="Arial" w:cs="Arial" w:eastAsia="Arial" w:hAnsi="Arial"/>
                <w:sz w:val="15"/>
                <w:szCs w:val="15"/>
                <w:b w:val="1"/>
                <w:bCs w:val="1"/>
                <w:color w:val="auto"/>
              </w:rPr>
              <w:t>23</w:t>
            </w: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780" w:type="dxa"/>
            <w:vAlign w:val="bottom"/>
            <w:tcBorders>
              <w:bottom w:val="single" w:sz="8" w:color="auto"/>
            </w:tcBorders>
          </w:tcPr>
          <w:p>
            <w:pPr>
              <w:ind w:left="320"/>
              <w:spacing w:after="0"/>
              <w:rPr>
                <w:sz w:val="20"/>
                <w:szCs w:val="20"/>
                <w:color w:val="auto"/>
              </w:rPr>
            </w:pPr>
            <w:r>
              <w:rPr>
                <w:rFonts w:ascii="Arial" w:cs="Arial" w:eastAsia="Arial" w:hAnsi="Arial"/>
                <w:sz w:val="15"/>
                <w:szCs w:val="15"/>
                <w:color w:val="auto"/>
              </w:rPr>
              <w:t>trade names</w:t>
            </w:r>
          </w:p>
        </w:tc>
        <w:tc>
          <w:tcPr>
            <w:tcW w:w="2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vMerge w:val="continue"/>
          </w:tcPr>
          <w:p>
            <w:pPr>
              <w:spacing w:after="0"/>
              <w:rPr>
                <w:sz w:val="15"/>
                <w:szCs w:val="15"/>
                <w:color w:val="auto"/>
              </w:rPr>
            </w:pPr>
          </w:p>
        </w:tc>
        <w:tc>
          <w:tcPr>
            <w:tcW w:w="48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5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24</w:t>
            </w:r>
          </w:p>
        </w:tc>
        <w:tc>
          <w:tcPr>
            <w:tcW w:w="2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w:t>
            </w:r>
          </w:p>
        </w:tc>
        <w:tc>
          <w:tcPr>
            <w:tcW w:w="0" w:type="dxa"/>
            <w:vAlign w:val="bottom"/>
          </w:tcPr>
          <w:p>
            <w:pPr>
              <w:spacing w:after="0"/>
              <w:rPr>
                <w:sz w:val="1"/>
                <w:szCs w:val="1"/>
                <w:color w:val="auto"/>
              </w:rPr>
            </w:pPr>
          </w:p>
        </w:tc>
      </w:tr>
      <w:tr>
        <w:trPr>
          <w:trHeight w:val="167"/>
        </w:trPr>
        <w:tc>
          <w:tcPr>
            <w:tcW w:w="2780" w:type="dxa"/>
            <w:vAlign w:val="bottom"/>
            <w:tcBorders>
              <w:bottom w:val="single" w:sz="8" w:color="auto"/>
            </w:tcBorders>
            <w:shd w:val="clear" w:color="auto" w:fill="CCEEFF"/>
          </w:tcPr>
          <w:p>
            <w:pPr>
              <w:spacing w:after="0" w:line="163" w:lineRule="exact"/>
              <w:rPr>
                <w:sz w:val="20"/>
                <w:szCs w:val="20"/>
                <w:color w:val="auto"/>
              </w:rPr>
            </w:pPr>
            <w:r>
              <w:rPr>
                <w:rFonts w:ascii="Arial" w:cs="Arial" w:eastAsia="Arial" w:hAnsi="Arial"/>
                <w:sz w:val="15"/>
                <w:szCs w:val="15"/>
                <w:color w:val="auto"/>
              </w:rPr>
              <w:t>Other intangible assets, net</w:t>
            </w:r>
          </w:p>
        </w:tc>
        <w:tc>
          <w:tcPr>
            <w:tcW w:w="28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b w:val="1"/>
                <w:bCs w:val="1"/>
                <w:color w:val="auto"/>
              </w:rPr>
              <w:t>$</w:t>
            </w:r>
          </w:p>
        </w:tc>
        <w:tc>
          <w:tcPr>
            <w:tcW w:w="480" w:type="dxa"/>
            <w:vAlign w:val="bottom"/>
            <w:tcBorders>
              <w:bottom w:val="single" w:sz="8" w:color="auto"/>
            </w:tcBorders>
            <w:shd w:val="clear" w:color="auto" w:fill="CCEEFF"/>
          </w:tcPr>
          <w:p>
            <w:pPr>
              <w:jc w:val="right"/>
              <w:ind w:right="3"/>
              <w:spacing w:after="0" w:line="163" w:lineRule="exact"/>
              <w:rPr>
                <w:sz w:val="20"/>
                <w:szCs w:val="20"/>
                <w:color w:val="auto"/>
              </w:rPr>
            </w:pPr>
            <w:r>
              <w:rPr>
                <w:rFonts w:ascii="Arial" w:cs="Arial" w:eastAsia="Arial" w:hAnsi="Arial"/>
                <w:sz w:val="15"/>
                <w:szCs w:val="15"/>
                <w:b w:val="1"/>
                <w:bCs w:val="1"/>
                <w:color w:val="auto"/>
              </w:rPr>
              <w:t>43</w:t>
            </w:r>
          </w:p>
        </w:tc>
        <w:tc>
          <w:tcPr>
            <w:tcW w:w="26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rPr>
              <w:t>$</w:t>
            </w:r>
          </w:p>
        </w:tc>
        <w:tc>
          <w:tcPr>
            <w:tcW w:w="500" w:type="dxa"/>
            <w:vAlign w:val="bottom"/>
            <w:tcBorders>
              <w:bottom w:val="single" w:sz="8" w:color="auto"/>
            </w:tcBorders>
            <w:shd w:val="clear" w:color="auto" w:fill="CCEEFF"/>
          </w:tcPr>
          <w:p>
            <w:pPr>
              <w:jc w:val="right"/>
              <w:ind w:right="23"/>
              <w:spacing w:after="0" w:line="163" w:lineRule="exact"/>
              <w:rPr>
                <w:sz w:val="20"/>
                <w:szCs w:val="20"/>
                <w:color w:val="auto"/>
              </w:rPr>
            </w:pPr>
            <w:r>
              <w:rPr>
                <w:rFonts w:ascii="Arial" w:cs="Arial" w:eastAsia="Arial" w:hAnsi="Arial"/>
                <w:sz w:val="15"/>
                <w:szCs w:val="15"/>
                <w:color w:val="auto"/>
              </w:rPr>
              <w:t>46</w:t>
            </w:r>
          </w:p>
        </w:tc>
        <w:tc>
          <w:tcPr>
            <w:tcW w:w="26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rPr>
              <w:t>$</w:t>
            </w:r>
          </w:p>
        </w:tc>
        <w:tc>
          <w:tcPr>
            <w:tcW w:w="460" w:type="dxa"/>
            <w:vAlign w:val="bottom"/>
            <w:tcBorders>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rPr>
              <w:t>42</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660" w:right="120" w:hanging="375"/>
        <w:spacing w:after="0" w:line="246" w:lineRule="auto"/>
        <w:tabs>
          <w:tab w:leader="none" w:pos="660" w:val="left"/>
        </w:tabs>
        <w:numPr>
          <w:ilvl w:val="0"/>
          <w:numId w:val="6"/>
        </w:numPr>
        <w:rPr>
          <w:rFonts w:ascii="Arial" w:cs="Arial" w:eastAsia="Arial" w:hAnsi="Arial"/>
          <w:sz w:val="11"/>
          <w:szCs w:val="11"/>
          <w:color w:val="auto"/>
        </w:rPr>
      </w:pPr>
      <w:r>
        <w:rPr>
          <w:rFonts w:ascii="Arial" w:cs="Arial" w:eastAsia="Arial" w:hAnsi="Arial"/>
          <w:sz w:val="12"/>
          <w:szCs w:val="12"/>
          <w:color w:val="auto"/>
        </w:rPr>
        <w:t>The change in the ending balances also reflects the effect of foreign currency fluctuations due primarily to the movements of the euro in relation to the U.S. dollar.</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5817870" cy="482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115" w:right="139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5"/>
          <w:szCs w:val="15"/>
          <w:b w:val="1"/>
          <w:bCs w:val="1"/>
          <w:color w:val="auto"/>
        </w:rPr>
        <w:t>FOOT LOCKER, INC.</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NOTES TO CONDENSED CONSOLIDATED FINANCIAL STATEMENTS</w:t>
      </w:r>
    </w:p>
    <w:p>
      <w:pPr>
        <w:spacing w:after="0" w:line="192" w:lineRule="exact"/>
        <w:rPr>
          <w:sz w:val="20"/>
          <w:szCs w:val="20"/>
          <w:color w:val="auto"/>
        </w:rPr>
      </w:pPr>
    </w:p>
    <w:p>
      <w:pPr>
        <w:jc w:val="both"/>
        <w:ind w:right="20"/>
        <w:spacing w:after="0" w:line="245" w:lineRule="auto"/>
        <w:rPr>
          <w:sz w:val="20"/>
          <w:szCs w:val="20"/>
          <w:color w:val="auto"/>
        </w:rPr>
      </w:pPr>
      <w:r>
        <w:rPr>
          <w:rFonts w:ascii="Arial" w:cs="Arial" w:eastAsia="Arial" w:hAnsi="Arial"/>
          <w:sz w:val="15"/>
          <w:szCs w:val="15"/>
          <w:color w:val="auto"/>
        </w:rPr>
        <w:t>During the thirteen week period ended April 29, 2017, the Company recorded $1 million of lease acquisition additions, primarily related to our European businesses. These additions are being amortized over a weighted-average life of 9 years. Amortization expense recorded is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20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Thirteen weeks ended</w:t>
            </w:r>
          </w:p>
        </w:tc>
        <w:tc>
          <w:tcPr>
            <w:tcW w:w="12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r>
      <w:tr>
        <w:trPr>
          <w:trHeight w:val="164"/>
        </w:trPr>
        <w:tc>
          <w:tcPr>
            <w:tcW w:w="3200" w:type="dxa"/>
            <w:vAlign w:val="bottom"/>
            <w:tcBorders>
              <w:bottom w:val="single" w:sz="8" w:color="auto"/>
            </w:tcBorders>
          </w:tcPr>
          <w:p>
            <w:pPr>
              <w:spacing w:after="0" w:line="164" w:lineRule="exact"/>
              <w:rPr>
                <w:sz w:val="20"/>
                <w:szCs w:val="20"/>
                <w:color w:val="auto"/>
              </w:rPr>
            </w:pPr>
            <w:r>
              <w:rPr>
                <w:rFonts w:ascii="Arial" w:cs="Arial" w:eastAsia="Arial" w:hAnsi="Arial"/>
                <w:sz w:val="15"/>
                <w:szCs w:val="15"/>
                <w:color w:val="auto"/>
              </w:rPr>
              <w:t>($ in millions)</w:t>
            </w:r>
          </w:p>
        </w:tc>
        <w:tc>
          <w:tcPr>
            <w:tcW w:w="19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jc w:val="right"/>
              <w:ind w:right="583"/>
              <w:spacing w:after="0" w:line="164" w:lineRule="exact"/>
              <w:rPr>
                <w:sz w:val="20"/>
                <w:szCs w:val="20"/>
                <w:color w:val="auto"/>
              </w:rPr>
            </w:pPr>
            <w:r>
              <w:rPr>
                <w:rFonts w:ascii="Arial" w:cs="Arial" w:eastAsia="Arial" w:hAnsi="Arial"/>
                <w:sz w:val="15"/>
                <w:szCs w:val="15"/>
                <w:b w:val="1"/>
                <w:bCs w:val="1"/>
                <w:color w:val="auto"/>
              </w:rPr>
              <w:t>April 29, 2017</w:t>
            </w:r>
          </w:p>
        </w:tc>
        <w:tc>
          <w:tcPr>
            <w:tcW w:w="6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83"/>
              <w:spacing w:after="0" w:line="164" w:lineRule="exact"/>
              <w:rPr>
                <w:sz w:val="20"/>
                <w:szCs w:val="20"/>
                <w:color w:val="auto"/>
              </w:rPr>
            </w:pPr>
            <w:r>
              <w:rPr>
                <w:rFonts w:ascii="Arial" w:cs="Arial" w:eastAsia="Arial" w:hAnsi="Arial"/>
                <w:sz w:val="15"/>
                <w:szCs w:val="15"/>
                <w:b w:val="1"/>
                <w:bCs w:val="1"/>
                <w:color w:val="auto"/>
              </w:rPr>
              <w:t>April 30, 2016</w:t>
            </w:r>
          </w:p>
        </w:tc>
        <w:tc>
          <w:tcPr>
            <w:tcW w:w="160" w:type="dxa"/>
            <w:vAlign w:val="bottom"/>
            <w:tcBorders>
              <w:bottom w:val="single" w:sz="8" w:color="auto"/>
            </w:tcBorders>
          </w:tcPr>
          <w:p>
            <w:pPr>
              <w:spacing w:after="0"/>
              <w:rPr>
                <w:sz w:val="14"/>
                <w:szCs w:val="14"/>
                <w:color w:val="auto"/>
              </w:rPr>
            </w:pPr>
          </w:p>
        </w:tc>
      </w:tr>
      <w:tr>
        <w:trPr>
          <w:trHeight w:val="211"/>
        </w:trPr>
        <w:tc>
          <w:tcPr>
            <w:tcW w:w="3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Amortization expense</w:t>
            </w:r>
          </w:p>
        </w:tc>
        <w:tc>
          <w:tcPr>
            <w:tcW w:w="19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b w:val="1"/>
                <w:bCs w:val="1"/>
                <w:color w:val="auto"/>
              </w:rPr>
              <w:t>$</w:t>
            </w:r>
          </w:p>
        </w:tc>
        <w:tc>
          <w:tcPr>
            <w:tcW w:w="1820" w:type="dxa"/>
            <w:vAlign w:val="bottom"/>
            <w:tcBorders>
              <w:bottom w:val="single" w:sz="8" w:color="auto"/>
            </w:tcBorders>
            <w:shd w:val="clear" w:color="auto" w:fill="CCEEFF"/>
          </w:tcPr>
          <w:p>
            <w:pPr>
              <w:jc w:val="right"/>
              <w:ind w:right="303"/>
              <w:spacing w:after="0"/>
              <w:rPr>
                <w:sz w:val="20"/>
                <w:szCs w:val="20"/>
                <w:color w:val="auto"/>
              </w:rPr>
            </w:pPr>
            <w:r>
              <w:rPr>
                <w:rFonts w:ascii="Arial" w:cs="Arial" w:eastAsia="Arial" w:hAnsi="Arial"/>
                <w:sz w:val="15"/>
                <w:szCs w:val="15"/>
                <w:b w:val="1"/>
                <w:bCs w:val="1"/>
                <w:color w:val="auto"/>
              </w:rPr>
              <w:t>1</w:t>
            </w:r>
          </w:p>
        </w:tc>
        <w:tc>
          <w:tcPr>
            <w:tcW w:w="68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w:t>
            </w:r>
          </w:p>
        </w:tc>
      </w:tr>
      <w:tr>
        <w:trPr>
          <w:trHeight w:val="367"/>
        </w:trPr>
        <w:tc>
          <w:tcPr>
            <w:tcW w:w="7000" w:type="dxa"/>
            <w:vAlign w:val="bottom"/>
            <w:gridSpan w:val="3"/>
          </w:tcPr>
          <w:p>
            <w:pPr>
              <w:spacing w:after="0"/>
              <w:rPr>
                <w:sz w:val="20"/>
                <w:szCs w:val="20"/>
                <w:color w:val="auto"/>
              </w:rPr>
            </w:pPr>
            <w:r>
              <w:rPr>
                <w:rFonts w:ascii="Arial" w:cs="Arial" w:eastAsia="Arial" w:hAnsi="Arial"/>
                <w:sz w:val="15"/>
                <w:szCs w:val="15"/>
                <w:color w:val="auto"/>
              </w:rPr>
              <w:t>Estimated future amortization expense for finite life intangible assets is as follows:</w:t>
            </w:r>
          </w:p>
        </w:tc>
        <w:tc>
          <w:tcPr>
            <w:tcW w:w="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22"/>
        </w:trPr>
        <w:tc>
          <w:tcPr>
            <w:tcW w:w="32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 in millions)</w:t>
            </w:r>
          </w:p>
        </w:tc>
        <w:tc>
          <w:tcPr>
            <w:tcW w:w="160" w:type="dxa"/>
            <w:vAlign w:val="bottom"/>
            <w:tcBorders>
              <w:bottom w:val="single" w:sz="8" w:color="auto"/>
            </w:tcBorders>
          </w:tcPr>
          <w:p>
            <w:pPr>
              <w:spacing w:after="0"/>
              <w:rPr>
                <w:sz w:val="19"/>
                <w:szCs w:val="19"/>
                <w:color w:val="auto"/>
              </w:rPr>
            </w:pPr>
          </w:p>
        </w:tc>
      </w:tr>
      <w:tr>
        <w:trPr>
          <w:trHeight w:val="187"/>
        </w:trPr>
        <w:tc>
          <w:tcPr>
            <w:tcW w:w="3200" w:type="dxa"/>
            <w:vAlign w:val="bottom"/>
            <w:shd w:val="clear" w:color="auto" w:fill="CCEEFF"/>
          </w:tcPr>
          <w:p>
            <w:pPr>
              <w:spacing w:after="0"/>
              <w:rPr>
                <w:sz w:val="20"/>
                <w:szCs w:val="20"/>
                <w:color w:val="auto"/>
              </w:rPr>
            </w:pPr>
            <w:r>
              <w:rPr>
                <w:rFonts w:ascii="Arial" w:cs="Arial" w:eastAsia="Arial" w:hAnsi="Arial"/>
                <w:sz w:val="15"/>
                <w:szCs w:val="15"/>
                <w:color w:val="auto"/>
              </w:rPr>
              <w:t>Remainder of 2017</w:t>
            </w:r>
          </w:p>
        </w:tc>
        <w:tc>
          <w:tcPr>
            <w:tcW w:w="198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1043"/>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w:t>
            </w:r>
          </w:p>
        </w:tc>
      </w:tr>
      <w:tr>
        <w:trPr>
          <w:trHeight w:val="207"/>
        </w:trPr>
        <w:tc>
          <w:tcPr>
            <w:tcW w:w="3200" w:type="dxa"/>
            <w:vAlign w:val="bottom"/>
          </w:tcPr>
          <w:p>
            <w:pPr>
              <w:spacing w:after="0"/>
              <w:rPr>
                <w:sz w:val="20"/>
                <w:szCs w:val="20"/>
                <w:color w:val="auto"/>
              </w:rPr>
            </w:pPr>
            <w:r>
              <w:rPr>
                <w:rFonts w:ascii="Arial" w:cs="Arial" w:eastAsia="Arial" w:hAnsi="Arial"/>
                <w:sz w:val="15"/>
                <w:szCs w:val="15"/>
                <w:color w:val="auto"/>
              </w:rPr>
              <w:t>2018</w:t>
            </w:r>
          </w:p>
        </w:tc>
        <w:tc>
          <w:tcPr>
            <w:tcW w:w="19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rPr>
              <w:t>3</w:t>
            </w:r>
          </w:p>
        </w:tc>
      </w:tr>
      <w:tr>
        <w:trPr>
          <w:trHeight w:val="207"/>
        </w:trPr>
        <w:tc>
          <w:tcPr>
            <w:tcW w:w="3200" w:type="dxa"/>
            <w:vAlign w:val="bottom"/>
            <w:shd w:val="clear" w:color="auto" w:fill="CCEEFF"/>
          </w:tcPr>
          <w:p>
            <w:pPr>
              <w:spacing w:after="0"/>
              <w:rPr>
                <w:sz w:val="20"/>
                <w:szCs w:val="20"/>
                <w:color w:val="auto"/>
              </w:rPr>
            </w:pPr>
            <w:r>
              <w:rPr>
                <w:rFonts w:ascii="Arial" w:cs="Arial" w:eastAsia="Arial" w:hAnsi="Arial"/>
                <w:sz w:val="15"/>
                <w:szCs w:val="15"/>
                <w:color w:val="auto"/>
              </w:rPr>
              <w:t>2019</w:t>
            </w:r>
          </w:p>
        </w:tc>
        <w:tc>
          <w:tcPr>
            <w:tcW w:w="198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w:t>
            </w:r>
          </w:p>
        </w:tc>
      </w:tr>
      <w:tr>
        <w:trPr>
          <w:trHeight w:val="207"/>
        </w:trPr>
        <w:tc>
          <w:tcPr>
            <w:tcW w:w="3200" w:type="dxa"/>
            <w:vAlign w:val="bottom"/>
          </w:tcPr>
          <w:p>
            <w:pPr>
              <w:spacing w:after="0"/>
              <w:rPr>
                <w:sz w:val="20"/>
                <w:szCs w:val="20"/>
                <w:color w:val="auto"/>
              </w:rPr>
            </w:pPr>
            <w:r>
              <w:rPr>
                <w:rFonts w:ascii="Arial" w:cs="Arial" w:eastAsia="Arial" w:hAnsi="Arial"/>
                <w:sz w:val="15"/>
                <w:szCs w:val="15"/>
                <w:color w:val="auto"/>
              </w:rPr>
              <w:t>2020</w:t>
            </w:r>
          </w:p>
        </w:tc>
        <w:tc>
          <w:tcPr>
            <w:tcW w:w="19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rPr>
              <w:t>3</w:t>
            </w:r>
          </w:p>
        </w:tc>
      </w:tr>
      <w:tr>
        <w:trPr>
          <w:trHeight w:val="207"/>
        </w:trPr>
        <w:tc>
          <w:tcPr>
            <w:tcW w:w="3200" w:type="dxa"/>
            <w:vAlign w:val="bottom"/>
            <w:shd w:val="clear" w:color="auto" w:fill="CCEEFF"/>
          </w:tcPr>
          <w:p>
            <w:pPr>
              <w:spacing w:after="0"/>
              <w:rPr>
                <w:sz w:val="20"/>
                <w:szCs w:val="20"/>
                <w:color w:val="auto"/>
              </w:rPr>
            </w:pPr>
            <w:r>
              <w:rPr>
                <w:rFonts w:ascii="Arial" w:cs="Arial" w:eastAsia="Arial" w:hAnsi="Arial"/>
                <w:sz w:val="15"/>
                <w:szCs w:val="15"/>
                <w:color w:val="auto"/>
              </w:rPr>
              <w:t>2021</w:t>
            </w:r>
          </w:p>
        </w:tc>
        <w:tc>
          <w:tcPr>
            <w:tcW w:w="198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r>
      <w:tr>
        <w:trPr>
          <w:trHeight w:val="207"/>
        </w:trPr>
        <w:tc>
          <w:tcPr>
            <w:tcW w:w="32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2022</w:t>
            </w:r>
          </w:p>
        </w:tc>
        <w:tc>
          <w:tcPr>
            <w:tcW w:w="198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6. Accumulated Other Comprehensive Loss</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auto"/>
        </w:rPr>
        <w:t>Accumulated other comprehensive loss (“AOCL”), net of tax, is comprised of the following:</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0" w:type="dxa"/>
            <w:vAlign w:val="bottom"/>
          </w:tcPr>
          <w:p>
            <w:pPr>
              <w:jc w:val="right"/>
              <w:ind w:right="463"/>
              <w:spacing w:after="0"/>
              <w:rPr>
                <w:sz w:val="20"/>
                <w:szCs w:val="20"/>
                <w:color w:val="auto"/>
              </w:rPr>
            </w:pPr>
            <w:r>
              <w:rPr>
                <w:rFonts w:ascii="Arial" w:cs="Arial" w:eastAsia="Arial" w:hAnsi="Arial"/>
                <w:sz w:val="15"/>
                <w:szCs w:val="15"/>
                <w:b w:val="1"/>
                <w:bCs w:val="1"/>
                <w:color w:val="auto"/>
              </w:rPr>
              <w:t>April 29,</w:t>
            </w:r>
          </w:p>
        </w:tc>
        <w:tc>
          <w:tcPr>
            <w:tcW w:w="340" w:type="dxa"/>
            <w:vAlign w:val="bottom"/>
          </w:tcPr>
          <w:p>
            <w:pPr>
              <w:spacing w:after="0"/>
              <w:rPr>
                <w:sz w:val="15"/>
                <w:szCs w:val="15"/>
                <w:color w:val="auto"/>
              </w:rPr>
            </w:pPr>
          </w:p>
        </w:tc>
        <w:tc>
          <w:tcPr>
            <w:tcW w:w="1200" w:type="dxa"/>
            <w:vAlign w:val="bottom"/>
          </w:tcPr>
          <w:p>
            <w:pPr>
              <w:jc w:val="center"/>
              <w:ind w:right="403"/>
              <w:spacing w:after="0"/>
              <w:rPr>
                <w:sz w:val="20"/>
                <w:szCs w:val="20"/>
                <w:color w:val="auto"/>
              </w:rPr>
            </w:pPr>
            <w:r>
              <w:rPr>
                <w:rFonts w:ascii="Arial" w:cs="Arial" w:eastAsia="Arial" w:hAnsi="Arial"/>
                <w:sz w:val="15"/>
                <w:szCs w:val="15"/>
                <w:b w:val="1"/>
                <w:bCs w:val="1"/>
                <w:color w:val="auto"/>
              </w:rPr>
              <w:t>April 30,</w:t>
            </w:r>
          </w:p>
        </w:tc>
        <w:tc>
          <w:tcPr>
            <w:tcW w:w="1340" w:type="dxa"/>
            <w:vAlign w:val="bottom"/>
            <w:gridSpan w:val="2"/>
          </w:tcPr>
          <w:p>
            <w:pPr>
              <w:jc w:val="right"/>
              <w:ind w:right="143"/>
              <w:spacing w:after="0"/>
              <w:rPr>
                <w:sz w:val="20"/>
                <w:szCs w:val="20"/>
                <w:color w:val="auto"/>
              </w:rPr>
            </w:pPr>
            <w:r>
              <w:rPr>
                <w:rFonts w:ascii="Arial" w:cs="Arial" w:eastAsia="Arial" w:hAnsi="Arial"/>
                <w:sz w:val="15"/>
                <w:szCs w:val="15"/>
                <w:b w:val="1"/>
                <w:bCs w:val="1"/>
                <w:color w:val="auto"/>
              </w:rPr>
              <w:t>January 28,</w:t>
            </w:r>
          </w:p>
        </w:tc>
      </w:tr>
      <w:tr>
        <w:trPr>
          <w:trHeight w:val="194"/>
        </w:trPr>
        <w:tc>
          <w:tcPr>
            <w:tcW w:w="4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83"/>
              <w:spacing w:after="0"/>
              <w:rPr>
                <w:sz w:val="20"/>
                <w:szCs w:val="20"/>
                <w:color w:val="auto"/>
              </w:rPr>
            </w:pPr>
            <w:r>
              <w:rPr>
                <w:rFonts w:ascii="Arial" w:cs="Arial" w:eastAsia="Arial" w:hAnsi="Arial"/>
                <w:sz w:val="15"/>
                <w:szCs w:val="15"/>
                <w:b w:val="1"/>
                <w:bCs w:val="1"/>
                <w:color w:val="auto"/>
              </w:rPr>
              <w:t>2017</w:t>
            </w: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423"/>
              <w:spacing w:after="0"/>
              <w:rPr>
                <w:sz w:val="20"/>
                <w:szCs w:val="20"/>
                <w:color w:val="auto"/>
              </w:rPr>
            </w:pPr>
            <w:r>
              <w:rPr>
                <w:rFonts w:ascii="Arial" w:cs="Arial" w:eastAsia="Arial" w:hAnsi="Arial"/>
                <w:sz w:val="15"/>
                <w:szCs w:val="15"/>
                <w:b w:val="1"/>
                <w:bCs w:val="1"/>
                <w:color w:val="auto"/>
              </w:rPr>
              <w:t>2016</w:t>
            </w:r>
          </w:p>
        </w:tc>
        <w:tc>
          <w:tcPr>
            <w:tcW w:w="4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b w:val="1"/>
                <w:bCs w:val="1"/>
                <w:color w:val="auto"/>
              </w:rPr>
              <w:t>2017</w:t>
            </w:r>
          </w:p>
        </w:tc>
      </w:tr>
      <w:tr>
        <w:trPr>
          <w:trHeight w:val="187"/>
        </w:trPr>
        <w:tc>
          <w:tcPr>
            <w:tcW w:w="4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63"/>
              <w:spacing w:after="0"/>
              <w:rPr>
                <w:sz w:val="20"/>
                <w:szCs w:val="20"/>
                <w:color w:val="auto"/>
              </w:rPr>
            </w:pPr>
            <w:r>
              <w:rPr>
                <w:rFonts w:ascii="Arial" w:cs="Arial" w:eastAsia="Arial" w:hAnsi="Arial"/>
                <w:sz w:val="15"/>
                <w:szCs w:val="15"/>
                <w:color w:val="auto"/>
              </w:rPr>
              <w:t>($ in millions)</w:t>
            </w:r>
          </w:p>
        </w:tc>
        <w:tc>
          <w:tcPr>
            <w:tcW w:w="4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187"/>
        </w:trPr>
        <w:tc>
          <w:tcPr>
            <w:tcW w:w="4300" w:type="dxa"/>
            <w:vAlign w:val="bottom"/>
            <w:shd w:val="clear" w:color="auto" w:fill="CCEEFF"/>
          </w:tcPr>
          <w:p>
            <w:pPr>
              <w:spacing w:after="0"/>
              <w:rPr>
                <w:sz w:val="20"/>
                <w:szCs w:val="20"/>
                <w:color w:val="auto"/>
              </w:rPr>
            </w:pPr>
            <w:r>
              <w:rPr>
                <w:rFonts w:ascii="Arial" w:cs="Arial" w:eastAsia="Arial" w:hAnsi="Arial"/>
                <w:sz w:val="15"/>
                <w:szCs w:val="15"/>
                <w:color w:val="auto"/>
              </w:rPr>
              <w:t>Foreign currency translation adjustments</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200" w:type="dxa"/>
            <w:vAlign w:val="bottom"/>
            <w:shd w:val="clear" w:color="auto" w:fill="CCEEFF"/>
          </w:tcPr>
          <w:p>
            <w:pPr>
              <w:jc w:val="right"/>
              <w:ind w:right="123"/>
              <w:spacing w:after="0"/>
              <w:rPr>
                <w:sz w:val="20"/>
                <w:szCs w:val="20"/>
                <w:color w:val="auto"/>
              </w:rPr>
            </w:pPr>
            <w:r>
              <w:rPr>
                <w:rFonts w:ascii="Arial" w:cs="Arial" w:eastAsia="Arial" w:hAnsi="Arial"/>
                <w:sz w:val="15"/>
                <w:szCs w:val="15"/>
                <w:b w:val="1"/>
                <w:bCs w:val="1"/>
                <w:color w:val="auto"/>
              </w:rPr>
              <w:t>(123)</w:t>
            </w: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(75)</w:t>
            </w:r>
          </w:p>
        </w:tc>
        <w:tc>
          <w:tcPr>
            <w:tcW w:w="4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(127)</w:t>
            </w:r>
          </w:p>
        </w:tc>
      </w:tr>
      <w:tr>
        <w:trPr>
          <w:trHeight w:val="207"/>
        </w:trPr>
        <w:tc>
          <w:tcPr>
            <w:tcW w:w="4300" w:type="dxa"/>
            <w:vAlign w:val="bottom"/>
          </w:tcPr>
          <w:p>
            <w:pPr>
              <w:spacing w:after="0"/>
              <w:rPr>
                <w:sz w:val="20"/>
                <w:szCs w:val="20"/>
                <w:color w:val="auto"/>
              </w:rPr>
            </w:pPr>
            <w:r>
              <w:rPr>
                <w:rFonts w:ascii="Arial" w:cs="Arial" w:eastAsia="Arial" w:hAnsi="Arial"/>
                <w:sz w:val="15"/>
                <w:szCs w:val="15"/>
                <w:color w:val="auto"/>
              </w:rPr>
              <w:t>Cash flow hedges</w:t>
            </w:r>
          </w:p>
        </w:tc>
        <w:tc>
          <w:tcPr>
            <w:tcW w:w="720" w:type="dxa"/>
            <w:vAlign w:val="bottom"/>
          </w:tcPr>
          <w:p>
            <w:pPr>
              <w:spacing w:after="0"/>
              <w:rPr>
                <w:sz w:val="17"/>
                <w:szCs w:val="17"/>
                <w:color w:val="auto"/>
              </w:rPr>
            </w:pPr>
          </w:p>
        </w:tc>
        <w:tc>
          <w:tcPr>
            <w:tcW w:w="1200" w:type="dxa"/>
            <w:vAlign w:val="bottom"/>
          </w:tcPr>
          <w:p>
            <w:pPr>
              <w:jc w:val="right"/>
              <w:ind w:right="123"/>
              <w:spacing w:after="0"/>
              <w:rPr>
                <w:sz w:val="20"/>
                <w:szCs w:val="20"/>
                <w:color w:val="auto"/>
              </w:rPr>
            </w:pPr>
            <w:r>
              <w:rPr>
                <w:rFonts w:ascii="Arial" w:cs="Arial" w:eastAsia="Arial" w:hAnsi="Arial"/>
                <w:sz w:val="15"/>
                <w:szCs w:val="15"/>
                <w:b w:val="1"/>
                <w:bCs w:val="1"/>
                <w:color w:val="auto"/>
              </w:rPr>
              <w:t>—</w:t>
            </w:r>
          </w:p>
        </w:tc>
        <w:tc>
          <w:tcPr>
            <w:tcW w:w="340" w:type="dxa"/>
            <w:vAlign w:val="bottom"/>
          </w:tcPr>
          <w:p>
            <w:pPr>
              <w:spacing w:after="0"/>
              <w:rPr>
                <w:sz w:val="17"/>
                <w:szCs w:val="17"/>
                <w:color w:val="auto"/>
              </w:rPr>
            </w:pPr>
          </w:p>
        </w:tc>
        <w:tc>
          <w:tcPr>
            <w:tcW w:w="1200" w:type="dxa"/>
            <w:vAlign w:val="bottom"/>
          </w:tcPr>
          <w:p>
            <w:pPr>
              <w:jc w:val="right"/>
              <w:ind w:right="163"/>
              <w:spacing w:after="0"/>
              <w:rPr>
                <w:sz w:val="20"/>
                <w:szCs w:val="20"/>
                <w:color w:val="auto"/>
              </w:rPr>
            </w:pPr>
            <w:r>
              <w:rPr>
                <w:rFonts w:ascii="Arial" w:cs="Arial" w:eastAsia="Arial" w:hAnsi="Arial"/>
                <w:sz w:val="15"/>
                <w:szCs w:val="15"/>
                <w:color w:val="auto"/>
              </w:rPr>
              <w:t>2</w:t>
            </w:r>
          </w:p>
        </w:tc>
        <w:tc>
          <w:tcPr>
            <w:tcW w:w="4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207"/>
        </w:trPr>
        <w:tc>
          <w:tcPr>
            <w:tcW w:w="4300" w:type="dxa"/>
            <w:vAlign w:val="bottom"/>
            <w:shd w:val="clear" w:color="auto" w:fill="CCEEFF"/>
          </w:tcPr>
          <w:p>
            <w:pPr>
              <w:spacing w:after="0"/>
              <w:rPr>
                <w:sz w:val="20"/>
                <w:szCs w:val="20"/>
                <w:color w:val="auto"/>
              </w:rPr>
            </w:pPr>
            <w:r>
              <w:rPr>
                <w:rFonts w:ascii="Arial" w:cs="Arial" w:eastAsia="Arial" w:hAnsi="Arial"/>
                <w:sz w:val="15"/>
                <w:szCs w:val="15"/>
                <w:color w:val="auto"/>
              </w:rPr>
              <w:t>Unrecognized pension cost and postretirement benefit</w:t>
            </w:r>
          </w:p>
        </w:tc>
        <w:tc>
          <w:tcPr>
            <w:tcW w:w="72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23"/>
              <w:spacing w:after="0"/>
              <w:rPr>
                <w:sz w:val="20"/>
                <w:szCs w:val="20"/>
                <w:color w:val="auto"/>
              </w:rPr>
            </w:pPr>
            <w:r>
              <w:rPr>
                <w:rFonts w:ascii="Arial" w:cs="Arial" w:eastAsia="Arial" w:hAnsi="Arial"/>
                <w:sz w:val="15"/>
                <w:szCs w:val="15"/>
                <w:b w:val="1"/>
                <w:bCs w:val="1"/>
                <w:color w:val="auto"/>
              </w:rPr>
              <w:t>(233)</w:t>
            </w: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(249)</w:t>
            </w:r>
          </w:p>
        </w:tc>
        <w:tc>
          <w:tcPr>
            <w:tcW w:w="4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(236)</w:t>
            </w:r>
          </w:p>
        </w:tc>
      </w:tr>
      <w:tr>
        <w:trPr>
          <w:trHeight w:val="207"/>
        </w:trPr>
        <w:tc>
          <w:tcPr>
            <w:tcW w:w="43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Unrealized loss on available-for-sale security</w:t>
            </w:r>
          </w:p>
        </w:tc>
        <w:tc>
          <w:tcPr>
            <w:tcW w:w="7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b w:val="1"/>
                <w:bCs w:val="1"/>
                <w:color w:val="auto"/>
              </w:rPr>
              <w:t>(1)</w:t>
            </w: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(1)</w:t>
            </w:r>
          </w:p>
        </w:tc>
        <w:tc>
          <w:tcPr>
            <w:tcW w:w="4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r>
      <w:tr>
        <w:trPr>
          <w:trHeight w:val="179"/>
        </w:trPr>
        <w:tc>
          <w:tcPr>
            <w:tcW w:w="43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2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b w:val="1"/>
                <w:bCs w:val="1"/>
                <w:color w:val="auto"/>
              </w:rPr>
              <w:t>(357)</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(323)</w:t>
            </w:r>
          </w:p>
        </w:tc>
        <w:tc>
          <w:tcPr>
            <w:tcW w:w="4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(363)</w:t>
            </w:r>
          </w:p>
        </w:tc>
      </w:tr>
    </w:tbl>
    <w:p>
      <w:pPr>
        <w:spacing w:after="0" w:line="128" w:lineRule="exact"/>
        <w:rPr>
          <w:sz w:val="20"/>
          <w:szCs w:val="20"/>
          <w:color w:val="auto"/>
        </w:rPr>
      </w:pPr>
    </w:p>
    <w:p>
      <w:pPr>
        <w:spacing w:after="0"/>
        <w:rPr>
          <w:sz w:val="20"/>
          <w:szCs w:val="20"/>
          <w:color w:val="auto"/>
        </w:rPr>
      </w:pPr>
      <w:r>
        <w:rPr>
          <w:rFonts w:ascii="Arial" w:cs="Arial" w:eastAsia="Arial" w:hAnsi="Arial"/>
          <w:sz w:val="15"/>
          <w:szCs w:val="15"/>
          <w:color w:val="auto"/>
        </w:rPr>
        <w:t>The changes in AOCL for the thirteen weeks ended April 29, 2017 were as follows: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vMerge w:val="restart"/>
          </w:tcPr>
          <w:p>
            <w:pPr>
              <w:jc w:val="center"/>
              <w:ind w:right="243"/>
              <w:spacing w:after="0"/>
              <w:rPr>
                <w:sz w:val="20"/>
                <w:szCs w:val="20"/>
                <w:color w:val="auto"/>
              </w:rPr>
            </w:pPr>
            <w:r>
              <w:rPr>
                <w:rFonts w:ascii="Arial" w:cs="Arial" w:eastAsia="Arial" w:hAnsi="Arial"/>
                <w:sz w:val="15"/>
                <w:szCs w:val="15"/>
                <w:b w:val="1"/>
                <w:bCs w:val="1"/>
                <w:color w:val="auto"/>
              </w:rPr>
              <w:t>Foreign</w:t>
            </w: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80" w:type="dxa"/>
            <w:vAlign w:val="bottom"/>
            <w:gridSpan w:val="2"/>
          </w:tcPr>
          <w:p>
            <w:pPr>
              <w:jc w:val="center"/>
              <w:spacing w:after="0"/>
              <w:rPr>
                <w:sz w:val="20"/>
                <w:szCs w:val="20"/>
                <w:color w:val="auto"/>
              </w:rPr>
            </w:pPr>
            <w:r>
              <w:rPr>
                <w:rFonts w:ascii="Arial" w:cs="Arial" w:eastAsia="Arial" w:hAnsi="Arial"/>
                <w:sz w:val="15"/>
                <w:szCs w:val="15"/>
                <w:b w:val="1"/>
                <w:bCs w:val="1"/>
                <w:color w:val="auto"/>
              </w:rPr>
              <w:t>Items Related</w:t>
            </w:r>
          </w:p>
        </w:tc>
        <w:tc>
          <w:tcPr>
            <w:tcW w:w="1420" w:type="dxa"/>
            <w:vAlign w:val="bottom"/>
            <w:gridSpan w:val="2"/>
            <w:vMerge w:val="restart"/>
          </w:tcPr>
          <w:p>
            <w:pPr>
              <w:jc w:val="center"/>
              <w:ind w:right="3"/>
              <w:spacing w:after="0"/>
              <w:rPr>
                <w:sz w:val="20"/>
                <w:szCs w:val="20"/>
                <w:color w:val="auto"/>
              </w:rPr>
            </w:pPr>
            <w:r>
              <w:rPr>
                <w:rFonts w:ascii="Arial" w:cs="Arial" w:eastAsia="Arial" w:hAnsi="Arial"/>
                <w:sz w:val="15"/>
                <w:szCs w:val="15"/>
                <w:b w:val="1"/>
                <w:bCs w:val="1"/>
                <w:color w:val="auto"/>
              </w:rPr>
              <w:t>Unrealized Loss</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20" w:type="dxa"/>
            <w:vAlign w:val="bottom"/>
          </w:tcPr>
          <w:p>
            <w:pPr>
              <w:jc w:val="center"/>
              <w:ind w:right="243"/>
              <w:spacing w:after="0"/>
              <w:rPr>
                <w:sz w:val="20"/>
                <w:szCs w:val="20"/>
                <w:color w:val="auto"/>
              </w:rPr>
            </w:pPr>
            <w:r>
              <w:rPr>
                <w:rFonts w:ascii="Arial" w:cs="Arial" w:eastAsia="Arial" w:hAnsi="Arial"/>
                <w:sz w:val="15"/>
                <w:szCs w:val="15"/>
                <w:b w:val="1"/>
                <w:bCs w:val="1"/>
                <w:color w:val="auto"/>
              </w:rPr>
              <w:t>Currency</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80" w:type="dxa"/>
            <w:vAlign w:val="bottom"/>
            <w:gridSpan w:val="2"/>
          </w:tcPr>
          <w:p>
            <w:pPr>
              <w:jc w:val="center"/>
              <w:ind w:right="3"/>
              <w:spacing w:after="0"/>
              <w:rPr>
                <w:sz w:val="20"/>
                <w:szCs w:val="20"/>
                <w:color w:val="auto"/>
              </w:rPr>
            </w:pPr>
            <w:r>
              <w:rPr>
                <w:rFonts w:ascii="Arial" w:cs="Arial" w:eastAsia="Arial" w:hAnsi="Arial"/>
                <w:sz w:val="15"/>
                <w:szCs w:val="15"/>
                <w:b w:val="1"/>
                <w:bCs w:val="1"/>
                <w:color w:val="auto"/>
              </w:rPr>
              <w:t>to Pension and</w:t>
            </w:r>
          </w:p>
        </w:tc>
        <w:tc>
          <w:tcPr>
            <w:tcW w:w="380" w:type="dxa"/>
            <w:vAlign w:val="bottom"/>
          </w:tcPr>
          <w:p>
            <w:pPr>
              <w:spacing w:after="0"/>
              <w:rPr>
                <w:sz w:val="15"/>
                <w:szCs w:val="15"/>
                <w:color w:val="auto"/>
              </w:rPr>
            </w:pPr>
          </w:p>
        </w:tc>
        <w:tc>
          <w:tcPr>
            <w:tcW w:w="1040" w:type="dxa"/>
            <w:vAlign w:val="bottom"/>
          </w:tcPr>
          <w:p>
            <w:pPr>
              <w:jc w:val="center"/>
              <w:ind w:right="383"/>
              <w:spacing w:after="0"/>
              <w:rPr>
                <w:sz w:val="20"/>
                <w:szCs w:val="20"/>
                <w:color w:val="auto"/>
              </w:rPr>
            </w:pPr>
            <w:r>
              <w:rPr>
                <w:rFonts w:ascii="Arial" w:cs="Arial" w:eastAsia="Arial" w:hAnsi="Arial"/>
                <w:sz w:val="15"/>
                <w:szCs w:val="15"/>
                <w:b w:val="1"/>
                <w:bCs w:val="1"/>
                <w:color w:val="auto"/>
                <w:w w:val="97"/>
              </w:rPr>
              <w:t>on</w:t>
            </w: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540" w:type="dxa"/>
            <w:vAlign w:val="bottom"/>
          </w:tcPr>
          <w:p>
            <w:pPr>
              <w:spacing w:after="0"/>
              <w:rPr>
                <w:sz w:val="15"/>
                <w:szCs w:val="15"/>
                <w:color w:val="auto"/>
              </w:rPr>
            </w:pPr>
          </w:p>
        </w:tc>
        <w:tc>
          <w:tcPr>
            <w:tcW w:w="1500" w:type="dxa"/>
            <w:vAlign w:val="bottom"/>
            <w:gridSpan w:val="2"/>
          </w:tcPr>
          <w:p>
            <w:pPr>
              <w:jc w:val="center"/>
              <w:ind w:left="83"/>
              <w:spacing w:after="0"/>
              <w:rPr>
                <w:sz w:val="20"/>
                <w:szCs w:val="20"/>
                <w:color w:val="auto"/>
              </w:rPr>
            </w:pPr>
            <w:r>
              <w:rPr>
                <w:rFonts w:ascii="Arial" w:cs="Arial" w:eastAsia="Arial" w:hAnsi="Arial"/>
                <w:sz w:val="15"/>
                <w:szCs w:val="15"/>
                <w:b w:val="1"/>
                <w:bCs w:val="1"/>
                <w:color w:val="auto"/>
              </w:rPr>
              <w:t>Translation</w:t>
            </w:r>
          </w:p>
        </w:tc>
        <w:tc>
          <w:tcPr>
            <w:tcW w:w="1200" w:type="dxa"/>
            <w:vAlign w:val="bottom"/>
            <w:gridSpan w:val="2"/>
          </w:tcPr>
          <w:p>
            <w:pPr>
              <w:jc w:val="right"/>
              <w:ind w:right="183"/>
              <w:spacing w:after="0"/>
              <w:rPr>
                <w:sz w:val="20"/>
                <w:szCs w:val="20"/>
                <w:color w:val="auto"/>
              </w:rPr>
            </w:pPr>
            <w:r>
              <w:rPr>
                <w:rFonts w:ascii="Arial" w:cs="Arial" w:eastAsia="Arial" w:hAnsi="Arial"/>
                <w:sz w:val="15"/>
                <w:szCs w:val="15"/>
                <w:b w:val="1"/>
                <w:bCs w:val="1"/>
                <w:color w:val="auto"/>
              </w:rPr>
              <w:t>Cash Flow</w:t>
            </w:r>
          </w:p>
        </w:tc>
        <w:tc>
          <w:tcPr>
            <w:tcW w:w="1380" w:type="dxa"/>
            <w:vAlign w:val="bottom"/>
            <w:gridSpan w:val="2"/>
          </w:tcPr>
          <w:p>
            <w:pPr>
              <w:jc w:val="center"/>
              <w:ind w:right="3"/>
              <w:spacing w:after="0"/>
              <w:rPr>
                <w:sz w:val="20"/>
                <w:szCs w:val="20"/>
                <w:color w:val="auto"/>
              </w:rPr>
            </w:pPr>
            <w:r>
              <w:rPr>
                <w:rFonts w:ascii="Arial" w:cs="Arial" w:eastAsia="Arial" w:hAnsi="Arial"/>
                <w:sz w:val="15"/>
                <w:szCs w:val="15"/>
                <w:b w:val="1"/>
                <w:bCs w:val="1"/>
                <w:color w:val="auto"/>
              </w:rPr>
              <w:t>Postretirement</w:t>
            </w:r>
          </w:p>
        </w:tc>
        <w:tc>
          <w:tcPr>
            <w:tcW w:w="1420" w:type="dxa"/>
            <w:vAlign w:val="bottom"/>
            <w:gridSpan w:val="2"/>
          </w:tcPr>
          <w:p>
            <w:pPr>
              <w:jc w:val="center"/>
              <w:ind w:right="3"/>
              <w:spacing w:after="0"/>
              <w:rPr>
                <w:sz w:val="20"/>
                <w:szCs w:val="20"/>
                <w:color w:val="auto"/>
              </w:rPr>
            </w:pPr>
            <w:r>
              <w:rPr>
                <w:rFonts w:ascii="Arial" w:cs="Arial" w:eastAsia="Arial" w:hAnsi="Arial"/>
                <w:sz w:val="15"/>
                <w:szCs w:val="15"/>
                <w:b w:val="1"/>
                <w:bCs w:val="1"/>
                <w:color w:val="auto"/>
              </w:rPr>
              <w:t>Available-For-</w:t>
            </w: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5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 in millions)</w:t>
            </w:r>
          </w:p>
        </w:tc>
        <w:tc>
          <w:tcPr>
            <w:tcW w:w="1500" w:type="dxa"/>
            <w:vAlign w:val="bottom"/>
            <w:tcBorders>
              <w:bottom w:val="single" w:sz="8" w:color="auto"/>
            </w:tcBorders>
            <w:gridSpan w:val="2"/>
          </w:tcPr>
          <w:p>
            <w:pPr>
              <w:jc w:val="center"/>
              <w:ind w:left="83"/>
              <w:spacing w:after="0"/>
              <w:rPr>
                <w:sz w:val="20"/>
                <w:szCs w:val="20"/>
                <w:color w:val="auto"/>
              </w:rPr>
            </w:pPr>
            <w:r>
              <w:rPr>
                <w:rFonts w:ascii="Arial" w:cs="Arial" w:eastAsia="Arial" w:hAnsi="Arial"/>
                <w:sz w:val="15"/>
                <w:szCs w:val="15"/>
                <w:b w:val="1"/>
                <w:bCs w:val="1"/>
                <w:color w:val="auto"/>
              </w:rPr>
              <w:t>Adjustments</w:t>
            </w: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03"/>
              <w:spacing w:after="0"/>
              <w:rPr>
                <w:sz w:val="20"/>
                <w:szCs w:val="20"/>
                <w:color w:val="auto"/>
              </w:rPr>
            </w:pPr>
            <w:r>
              <w:rPr>
                <w:rFonts w:ascii="Arial" w:cs="Arial" w:eastAsia="Arial" w:hAnsi="Arial"/>
                <w:sz w:val="15"/>
                <w:szCs w:val="15"/>
                <w:b w:val="1"/>
                <w:bCs w:val="1"/>
                <w:color w:val="auto"/>
              </w:rPr>
              <w:t>Hedges</w:t>
            </w: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303"/>
              <w:spacing w:after="0"/>
              <w:rPr>
                <w:sz w:val="20"/>
                <w:szCs w:val="20"/>
                <w:color w:val="auto"/>
              </w:rPr>
            </w:pPr>
            <w:r>
              <w:rPr>
                <w:rFonts w:ascii="Arial" w:cs="Arial" w:eastAsia="Arial" w:hAnsi="Arial"/>
                <w:sz w:val="15"/>
                <w:szCs w:val="15"/>
                <w:b w:val="1"/>
                <w:bCs w:val="1"/>
                <w:color w:val="auto"/>
              </w:rPr>
              <w:t>Benefits</w:t>
            </w:r>
          </w:p>
        </w:tc>
        <w:tc>
          <w:tcPr>
            <w:tcW w:w="1420" w:type="dxa"/>
            <w:vAlign w:val="bottom"/>
            <w:tcBorders>
              <w:bottom w:val="single" w:sz="8" w:color="auto"/>
            </w:tcBorders>
            <w:gridSpan w:val="2"/>
          </w:tcPr>
          <w:p>
            <w:pPr>
              <w:jc w:val="center"/>
              <w:ind w:right="23"/>
              <w:spacing w:after="0"/>
              <w:rPr>
                <w:sz w:val="20"/>
                <w:szCs w:val="20"/>
                <w:color w:val="auto"/>
              </w:rPr>
            </w:pPr>
            <w:r>
              <w:rPr>
                <w:rFonts w:ascii="Arial" w:cs="Arial" w:eastAsia="Arial" w:hAnsi="Arial"/>
                <w:sz w:val="15"/>
                <w:szCs w:val="15"/>
                <w:b w:val="1"/>
                <w:bCs w:val="1"/>
                <w:color w:val="auto"/>
              </w:rPr>
              <w:t>Sale Security</w:t>
            </w: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87"/>
        </w:trPr>
        <w:tc>
          <w:tcPr>
            <w:tcW w:w="2540" w:type="dxa"/>
            <w:vAlign w:val="bottom"/>
            <w:shd w:val="clear" w:color="auto" w:fill="CCEEFF"/>
          </w:tcPr>
          <w:p>
            <w:pPr>
              <w:spacing w:after="0"/>
              <w:rPr>
                <w:sz w:val="20"/>
                <w:szCs w:val="20"/>
                <w:color w:val="auto"/>
              </w:rPr>
            </w:pPr>
            <w:r>
              <w:rPr>
                <w:rFonts w:ascii="Arial" w:cs="Arial" w:eastAsia="Arial" w:hAnsi="Arial"/>
                <w:sz w:val="15"/>
                <w:szCs w:val="15"/>
                <w:color w:val="auto"/>
              </w:rPr>
              <w:t>Balance as of January 28, 2017</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(127)</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1</w:t>
            </w:r>
          </w:p>
        </w:tc>
        <w:tc>
          <w:tcPr>
            <w:tcW w:w="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(236)</w:t>
            </w:r>
          </w:p>
        </w:tc>
        <w:tc>
          <w:tcPr>
            <w:tcW w:w="3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w:t>
            </w:r>
          </w:p>
        </w:tc>
        <w:tc>
          <w:tcPr>
            <w:tcW w:w="2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(363)</w:t>
            </w:r>
          </w:p>
        </w:tc>
        <w:tc>
          <w:tcPr>
            <w:tcW w:w="0" w:type="dxa"/>
            <w:vAlign w:val="bottom"/>
          </w:tcPr>
          <w:p>
            <w:pPr>
              <w:spacing w:after="0"/>
              <w:rPr>
                <w:sz w:val="1"/>
                <w:szCs w:val="1"/>
                <w:color w:val="auto"/>
              </w:rPr>
            </w:pPr>
          </w:p>
        </w:tc>
      </w:tr>
      <w:tr>
        <w:trPr>
          <w:trHeight w:val="207"/>
        </w:trPr>
        <w:tc>
          <w:tcPr>
            <w:tcW w:w="2540" w:type="dxa"/>
            <w:vAlign w:val="bottom"/>
          </w:tcPr>
          <w:p>
            <w:pPr>
              <w:spacing w:after="0"/>
              <w:rPr>
                <w:sz w:val="20"/>
                <w:szCs w:val="20"/>
                <w:color w:val="auto"/>
              </w:rPr>
            </w:pPr>
            <w:r>
              <w:rPr>
                <w:rFonts w:ascii="Arial" w:cs="Arial" w:eastAsia="Arial" w:hAnsi="Arial"/>
                <w:sz w:val="15"/>
                <w:szCs w:val="15"/>
                <w:color w:val="auto"/>
              </w:rPr>
              <w:t>OCI before reclassification</w:t>
            </w:r>
          </w:p>
        </w:tc>
        <w:tc>
          <w:tcPr>
            <w:tcW w:w="480" w:type="dxa"/>
            <w:vAlign w:val="bottom"/>
          </w:tcPr>
          <w:p>
            <w:pPr>
              <w:spacing w:after="0"/>
              <w:rPr>
                <w:sz w:val="17"/>
                <w:szCs w:val="17"/>
                <w:color w:val="auto"/>
              </w:rPr>
            </w:pPr>
          </w:p>
        </w:tc>
        <w:tc>
          <w:tcPr>
            <w:tcW w:w="1020" w:type="dxa"/>
            <w:vAlign w:val="bottom"/>
          </w:tcPr>
          <w:p>
            <w:pPr>
              <w:jc w:val="right"/>
              <w:ind w:right="63"/>
              <w:spacing w:after="0"/>
              <w:rPr>
                <w:sz w:val="20"/>
                <w:szCs w:val="20"/>
                <w:color w:val="auto"/>
              </w:rPr>
            </w:pPr>
            <w:r>
              <w:rPr>
                <w:rFonts w:ascii="Arial" w:cs="Arial" w:eastAsia="Arial" w:hAnsi="Arial"/>
                <w:sz w:val="15"/>
                <w:szCs w:val="15"/>
                <w:color w:val="auto"/>
              </w:rPr>
              <w:t>4</w:t>
            </w:r>
          </w:p>
        </w:tc>
        <w:tc>
          <w:tcPr>
            <w:tcW w:w="240" w:type="dxa"/>
            <w:vAlign w:val="bottom"/>
          </w:tcPr>
          <w:p>
            <w:pPr>
              <w:spacing w:after="0"/>
              <w:rPr>
                <w:sz w:val="17"/>
                <w:szCs w:val="17"/>
                <w:color w:val="auto"/>
              </w:rPr>
            </w:pPr>
          </w:p>
        </w:tc>
        <w:tc>
          <w:tcPr>
            <w:tcW w:w="960" w:type="dxa"/>
            <w:vAlign w:val="bottom"/>
          </w:tcPr>
          <w:p>
            <w:pPr>
              <w:jc w:val="right"/>
              <w:ind w:right="23"/>
              <w:spacing w:after="0"/>
              <w:rPr>
                <w:sz w:val="20"/>
                <w:szCs w:val="20"/>
                <w:color w:val="auto"/>
              </w:rPr>
            </w:pPr>
            <w:r>
              <w:rPr>
                <w:rFonts w:ascii="Arial" w:cs="Arial" w:eastAsia="Arial" w:hAnsi="Arial"/>
                <w:sz w:val="15"/>
                <w:szCs w:val="15"/>
                <w:color w:val="auto"/>
              </w:rPr>
              <w:t>(1)</w:t>
            </w:r>
          </w:p>
        </w:tc>
        <w:tc>
          <w:tcPr>
            <w:tcW w:w="300" w:type="dxa"/>
            <w:vAlign w:val="bottom"/>
          </w:tcPr>
          <w:p>
            <w:pPr>
              <w:spacing w:after="0"/>
              <w:rPr>
                <w:sz w:val="17"/>
                <w:szCs w:val="17"/>
                <w:color w:val="auto"/>
              </w:rPr>
            </w:pPr>
          </w:p>
        </w:tc>
        <w:tc>
          <w:tcPr>
            <w:tcW w:w="1080" w:type="dxa"/>
            <w:vAlign w:val="bottom"/>
          </w:tcPr>
          <w:p>
            <w:pPr>
              <w:jc w:val="right"/>
              <w:ind w:right="43"/>
              <w:spacing w:after="0"/>
              <w:rPr>
                <w:sz w:val="20"/>
                <w:szCs w:val="20"/>
                <w:color w:val="auto"/>
              </w:rPr>
            </w:pPr>
            <w:r>
              <w:rPr>
                <w:rFonts w:ascii="Arial" w:cs="Arial" w:eastAsia="Arial" w:hAnsi="Arial"/>
                <w:sz w:val="15"/>
                <w:szCs w:val="15"/>
                <w:color w:val="auto"/>
              </w:rPr>
              <w:t>1</w:t>
            </w:r>
          </w:p>
        </w:tc>
        <w:tc>
          <w:tcPr>
            <w:tcW w:w="380" w:type="dxa"/>
            <w:vAlign w:val="bottom"/>
          </w:tcPr>
          <w:p>
            <w:pPr>
              <w:spacing w:after="0"/>
              <w:rPr>
                <w:sz w:val="17"/>
                <w:szCs w:val="17"/>
                <w:color w:val="auto"/>
              </w:rPr>
            </w:pPr>
          </w:p>
        </w:tc>
        <w:tc>
          <w:tcPr>
            <w:tcW w:w="104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07"/>
        </w:trPr>
        <w:tc>
          <w:tcPr>
            <w:tcW w:w="2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Reclassified from AOCL</w:t>
            </w:r>
          </w:p>
        </w:tc>
        <w:tc>
          <w:tcPr>
            <w:tcW w:w="4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3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w:t>
            </w:r>
          </w:p>
        </w:tc>
        <w:tc>
          <w:tcPr>
            <w:tcW w:w="3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87"/>
        </w:trPr>
        <w:tc>
          <w:tcPr>
            <w:tcW w:w="25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Other comprehensive income</w:t>
            </w:r>
          </w:p>
        </w:tc>
        <w:tc>
          <w:tcPr>
            <w:tcW w:w="4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4</w:t>
            </w: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w:t>
            </w: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3</w:t>
            </w: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179"/>
        </w:trPr>
        <w:tc>
          <w:tcPr>
            <w:tcW w:w="2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Balance as of April 29, 2017</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0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(123)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9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(233)</w:t>
            </w:r>
          </w:p>
        </w:tc>
        <w:tc>
          <w:tcPr>
            <w:tcW w:w="3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w:t>
            </w:r>
          </w:p>
        </w:tc>
        <w:tc>
          <w:tcPr>
            <w:tcW w:w="10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(1)</w:t>
            </w:r>
          </w:p>
        </w:tc>
        <w:tc>
          <w:tcPr>
            <w:tcW w:w="2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(357)</w:t>
            </w: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Reclassifications from AOCL for the thirteen weeks ended April 29, 2017 were as follows: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160" w:type="dxa"/>
            <w:vAlign w:val="bottom"/>
          </w:tcPr>
          <w:p>
            <w:pPr>
              <w:spacing w:after="0"/>
              <w:rPr>
                <w:sz w:val="15"/>
                <w:szCs w:val="15"/>
                <w:color w:val="auto"/>
              </w:rPr>
            </w:pPr>
          </w:p>
        </w:tc>
        <w:tc>
          <w:tcPr>
            <w:tcW w:w="3840" w:type="dxa"/>
            <w:vAlign w:val="bottom"/>
          </w:tcPr>
          <w:p>
            <w:pPr>
              <w:jc w:val="right"/>
              <w:spacing w:after="0"/>
              <w:rPr>
                <w:sz w:val="20"/>
                <w:szCs w:val="20"/>
                <w:color w:val="auto"/>
              </w:rPr>
            </w:pPr>
            <w:r>
              <w:rPr>
                <w:rFonts w:ascii="Arial" w:cs="Arial" w:eastAsia="Arial" w:hAnsi="Arial"/>
                <w:sz w:val="15"/>
                <w:szCs w:val="15"/>
                <w:color w:val="auto"/>
              </w:rPr>
              <w:t>($</w:t>
            </w:r>
          </w:p>
        </w:tc>
        <w:tc>
          <w:tcPr>
            <w:tcW w:w="1120" w:type="dxa"/>
            <w:vAlign w:val="bottom"/>
            <w:gridSpan w:val="2"/>
          </w:tcPr>
          <w:p>
            <w:pPr>
              <w:ind w:left="20"/>
              <w:spacing w:after="0"/>
              <w:rPr>
                <w:sz w:val="20"/>
                <w:szCs w:val="20"/>
                <w:color w:val="auto"/>
              </w:rPr>
            </w:pPr>
            <w:r>
              <w:rPr>
                <w:rFonts w:ascii="Arial" w:cs="Arial" w:eastAsia="Arial" w:hAnsi="Arial"/>
                <w:sz w:val="15"/>
                <w:szCs w:val="15"/>
                <w:color w:val="auto"/>
              </w:rPr>
              <w:t>in millions)</w:t>
            </w:r>
          </w:p>
        </w:tc>
      </w:tr>
      <w:tr>
        <w:trPr>
          <w:trHeight w:val="187"/>
        </w:trPr>
        <w:tc>
          <w:tcPr>
            <w:tcW w:w="4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Amortization of actuarial (gain) loss:</w:t>
            </w:r>
          </w:p>
        </w:tc>
        <w:tc>
          <w:tcPr>
            <w:tcW w:w="384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07"/>
        </w:trPr>
        <w:tc>
          <w:tcPr>
            <w:tcW w:w="4160" w:type="dxa"/>
            <w:vAlign w:val="bottom"/>
          </w:tcPr>
          <w:p>
            <w:pPr>
              <w:ind w:left="180"/>
              <w:spacing w:after="0"/>
              <w:rPr>
                <w:sz w:val="20"/>
                <w:szCs w:val="20"/>
                <w:color w:val="auto"/>
              </w:rPr>
            </w:pPr>
            <w:r>
              <w:rPr>
                <w:rFonts w:ascii="Arial" w:cs="Arial" w:eastAsia="Arial" w:hAnsi="Arial"/>
                <w:sz w:val="15"/>
                <w:szCs w:val="15"/>
                <w:color w:val="auto"/>
              </w:rPr>
              <w:t>Pension benefits- amortization of actuarial loss</w:t>
            </w:r>
          </w:p>
        </w:tc>
        <w:tc>
          <w:tcPr>
            <w:tcW w:w="3840" w:type="dxa"/>
            <w:vAlign w:val="bottom"/>
          </w:tcPr>
          <w:p>
            <w:pPr>
              <w:jc w:val="right"/>
              <w:ind w:right="403"/>
              <w:spacing w:after="0"/>
              <w:rPr>
                <w:sz w:val="20"/>
                <w:szCs w:val="20"/>
                <w:color w:val="auto"/>
              </w:rPr>
            </w:pPr>
            <w:r>
              <w:rPr>
                <w:rFonts w:ascii="Arial" w:cs="Arial" w:eastAsia="Arial" w:hAnsi="Arial"/>
                <w:sz w:val="15"/>
                <w:szCs w:val="15"/>
                <w:color w:val="auto"/>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3</w:t>
            </w:r>
          </w:p>
        </w:tc>
        <w:tc>
          <w:tcPr>
            <w:tcW w:w="20" w:type="dxa"/>
            <w:vAlign w:val="bottom"/>
          </w:tcPr>
          <w:p>
            <w:pPr>
              <w:spacing w:after="0"/>
              <w:rPr>
                <w:sz w:val="17"/>
                <w:szCs w:val="17"/>
                <w:color w:val="auto"/>
              </w:rPr>
            </w:pPr>
          </w:p>
        </w:tc>
      </w:tr>
      <w:tr>
        <w:trPr>
          <w:trHeight w:val="207"/>
        </w:trPr>
        <w:tc>
          <w:tcPr>
            <w:tcW w:w="41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5"/>
                <w:szCs w:val="15"/>
                <w:color w:val="auto"/>
              </w:rPr>
              <w:t>Postretirement benefits- amortization of actuarial gain</w:t>
            </w:r>
          </w:p>
        </w:tc>
        <w:tc>
          <w:tcPr>
            <w:tcW w:w="38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r>
      <w:tr>
        <w:trPr>
          <w:trHeight w:val="187"/>
        </w:trPr>
        <w:tc>
          <w:tcPr>
            <w:tcW w:w="4160" w:type="dxa"/>
            <w:vAlign w:val="bottom"/>
          </w:tcPr>
          <w:p>
            <w:pPr>
              <w:spacing w:after="0"/>
              <w:rPr>
                <w:sz w:val="20"/>
                <w:szCs w:val="20"/>
                <w:color w:val="auto"/>
              </w:rPr>
            </w:pPr>
            <w:r>
              <w:rPr>
                <w:rFonts w:ascii="Arial" w:cs="Arial" w:eastAsia="Arial" w:hAnsi="Arial"/>
                <w:sz w:val="15"/>
                <w:szCs w:val="15"/>
                <w:color w:val="auto"/>
              </w:rPr>
              <w:t>Net periodic benefit cost (see Note 10)</w:t>
            </w:r>
          </w:p>
        </w:tc>
        <w:tc>
          <w:tcPr>
            <w:tcW w:w="38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w:t>
            </w:r>
          </w:p>
        </w:tc>
        <w:tc>
          <w:tcPr>
            <w:tcW w:w="20" w:type="dxa"/>
            <w:vAlign w:val="bottom"/>
          </w:tcPr>
          <w:p>
            <w:pPr>
              <w:spacing w:after="0"/>
              <w:rPr>
                <w:sz w:val="16"/>
                <w:szCs w:val="16"/>
                <w:color w:val="auto"/>
              </w:rPr>
            </w:pPr>
          </w:p>
        </w:tc>
      </w:tr>
      <w:tr>
        <w:trPr>
          <w:trHeight w:val="207"/>
        </w:trPr>
        <w:tc>
          <w:tcPr>
            <w:tcW w:w="4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Income tax benefit</w:t>
            </w:r>
          </w:p>
        </w:tc>
        <w:tc>
          <w:tcPr>
            <w:tcW w:w="38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20" w:type="dxa"/>
            <w:vAlign w:val="bottom"/>
          </w:tcPr>
          <w:p>
            <w:pPr>
              <w:spacing w:after="0"/>
              <w:rPr>
                <w:sz w:val="17"/>
                <w:szCs w:val="17"/>
                <w:color w:val="auto"/>
              </w:rPr>
            </w:pPr>
          </w:p>
        </w:tc>
      </w:tr>
      <w:tr>
        <w:trPr>
          <w:trHeight w:val="179"/>
        </w:trPr>
        <w:tc>
          <w:tcPr>
            <w:tcW w:w="41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Net of tax</w:t>
            </w:r>
          </w:p>
        </w:tc>
        <w:tc>
          <w:tcPr>
            <w:tcW w:w="384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w:t>
            </w:r>
          </w:p>
        </w:tc>
        <w:tc>
          <w:tcPr>
            <w:tcW w:w="20" w:type="dxa"/>
            <w:vAlign w:val="bottom"/>
          </w:tcPr>
          <w:p>
            <w:pPr>
              <w:spacing w:after="0"/>
              <w:rPr>
                <w:sz w:val="15"/>
                <w:szCs w:val="15"/>
                <w:color w:val="auto"/>
              </w:rPr>
            </w:pPr>
          </w:p>
        </w:tc>
      </w:tr>
      <w:tr>
        <w:trPr>
          <w:trHeight w:val="885"/>
        </w:trPr>
        <w:tc>
          <w:tcPr>
            <w:tcW w:w="4160" w:type="dxa"/>
            <w:vAlign w:val="bottom"/>
          </w:tcPr>
          <w:p>
            <w:pPr>
              <w:spacing w:after="0"/>
              <w:rPr>
                <w:sz w:val="24"/>
                <w:szCs w:val="24"/>
                <w:color w:val="auto"/>
              </w:rPr>
            </w:pPr>
          </w:p>
        </w:tc>
        <w:tc>
          <w:tcPr>
            <w:tcW w:w="3840" w:type="dxa"/>
            <w:vAlign w:val="bottom"/>
          </w:tcPr>
          <w:p>
            <w:pPr>
              <w:jc w:val="right"/>
              <w:ind w:right="3323"/>
              <w:spacing w:after="0"/>
              <w:rPr>
                <w:sz w:val="20"/>
                <w:szCs w:val="20"/>
                <w:color w:val="auto"/>
              </w:rPr>
            </w:pPr>
            <w:r>
              <w:rPr>
                <w:rFonts w:ascii="Arial" w:cs="Arial" w:eastAsia="Arial" w:hAnsi="Arial"/>
                <w:sz w:val="15"/>
                <w:szCs w:val="15"/>
                <w:color w:val="auto"/>
              </w:rPr>
              <w:t>8</w:t>
            </w: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8"/>
        </w:trPr>
        <w:tc>
          <w:tcPr>
            <w:tcW w:w="4160" w:type="dxa"/>
            <w:vAlign w:val="bottom"/>
            <w:tcBorders>
              <w:bottom w:val="single" w:sz="8" w:color="9A9A9A"/>
            </w:tcBorders>
          </w:tcPr>
          <w:p>
            <w:pPr>
              <w:spacing w:after="0"/>
              <w:rPr>
                <w:sz w:val="7"/>
                <w:szCs w:val="7"/>
                <w:color w:val="auto"/>
              </w:rPr>
            </w:pPr>
          </w:p>
        </w:tc>
        <w:tc>
          <w:tcPr>
            <w:tcW w:w="384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r>
        <w:trPr>
          <w:trHeight w:val="20"/>
        </w:trPr>
        <w:tc>
          <w:tcPr>
            <w:tcW w:w="4160" w:type="dxa"/>
            <w:vAlign w:val="bottom"/>
            <w:tcBorders>
              <w:bottom w:val="single" w:sz="8" w:color="EEEEEE"/>
            </w:tcBorders>
          </w:tcPr>
          <w:p>
            <w:pPr>
              <w:spacing w:after="0" w:line="20" w:lineRule="exact"/>
              <w:rPr>
                <w:sz w:val="1"/>
                <w:szCs w:val="1"/>
                <w:color w:val="auto"/>
              </w:rPr>
            </w:pPr>
          </w:p>
        </w:tc>
        <w:tc>
          <w:tcPr>
            <w:tcW w:w="3840" w:type="dxa"/>
            <w:vAlign w:val="bottom"/>
            <w:tcBorders>
              <w:bottom w:val="single" w:sz="8" w:color="EEEEEE"/>
            </w:tcBorders>
          </w:tcPr>
          <w:p>
            <w:pPr>
              <w:spacing w:after="0" w:line="20" w:lineRule="exact"/>
              <w:rPr>
                <w:sz w:val="1"/>
                <w:szCs w:val="1"/>
                <w:color w:val="auto"/>
              </w:rPr>
            </w:pPr>
          </w:p>
        </w:tc>
        <w:tc>
          <w:tcPr>
            <w:tcW w:w="11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5775325</wp:posOffset>
            </wp:positionH>
            <wp:positionV relativeFrom="paragraph">
              <wp:posOffset>-34925</wp:posOffset>
            </wp:positionV>
            <wp:extent cx="33020" cy="482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020" cy="4826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-34925</wp:posOffset>
            </wp:positionV>
            <wp:extent cx="33020" cy="482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020" cy="48260"/>
                    </a:xfrm>
                    <a:prstGeom prst="rect">
                      <a:avLst/>
                    </a:prstGeom>
                    <a:noFill/>
                  </pic:spPr>
                </pic:pic>
              </a:graphicData>
            </a:graphic>
          </wp:anchor>
        </w:drawing>
      </w:r>
    </w:p>
    <w:p>
      <w:pPr>
        <w:sectPr>
          <w:pgSz w:w="11900" w:h="16838" w:orient="portrait"/>
          <w:cols w:equalWidth="0" w:num="1">
            <w:col w:w="9120"/>
          </w:cols>
          <w:pgMar w:left="1400" w:top="116" w:right="1379" w:bottom="1440" w:gutter="0" w:footer="0" w:header="0"/>
        </w:sectPr>
      </w:pPr>
    </w:p>
    <w:bookmarkStart w:id="10" w:name="page11"/>
    <w:bookmarkEnd w:id="10"/>
    <w:p>
      <w:pPr>
        <w:jc w:val="center"/>
        <w:spacing w:after="0"/>
        <w:rPr>
          <w:sz w:val="20"/>
          <w:szCs w:val="20"/>
          <w:color w:val="auto"/>
        </w:rPr>
      </w:pPr>
      <w:r>
        <w:rPr>
          <w:rFonts w:ascii="Arial" w:cs="Arial" w:eastAsia="Arial" w:hAnsi="Arial"/>
          <w:sz w:val="15"/>
          <w:szCs w:val="15"/>
          <w:b w:val="1"/>
          <w:bCs w:val="1"/>
          <w:color w:val="auto"/>
        </w:rPr>
        <w:t>FOOT LOCKER,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CONDENSED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7. Financial Instruments</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15"/>
          <w:szCs w:val="15"/>
          <w:color w:val="auto"/>
        </w:rPr>
        <w:t xml:space="preserve">The Company operates internationally and utilizes certain derivative financial instruments to mitigate its foreign currency exposures, primarily related to third-party and intercompany forecasted transactions. As a result of the use of derivative instruments, the Company is exposed to the risk that counterparties will fail to meet their contractual obligations. To mitigate this counterparty credit risk, the Company has a practice of entering into contracts only with major financial institutions selected based upon their credit ratings and other financial factors. The Company monitors the creditworthiness of counterparties throughout the duration of the derivative instrument. Additional information is contained within Note 8, </w:t>
      </w:r>
      <w:r>
        <w:rPr>
          <w:rFonts w:ascii="Arial" w:cs="Arial" w:eastAsia="Arial" w:hAnsi="Arial"/>
          <w:sz w:val="15"/>
          <w:szCs w:val="15"/>
          <w:i w:val="1"/>
          <w:iCs w:val="1"/>
          <w:color w:val="auto"/>
        </w:rPr>
        <w:t>Fair Value Measurements</w:t>
      </w:r>
      <w:r>
        <w:rPr>
          <w:rFonts w:ascii="Arial" w:cs="Arial" w:eastAsia="Arial" w:hAnsi="Arial"/>
          <w:sz w:val="15"/>
          <w:szCs w:val="15"/>
          <w:color w:val="auto"/>
        </w:rPr>
        <w:t>.</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Derivative Holdings Designated as Hedges</w:t>
      </w:r>
    </w:p>
    <w:p>
      <w:pPr>
        <w:spacing w:after="0" w:line="184" w:lineRule="exact"/>
        <w:rPr>
          <w:sz w:val="20"/>
          <w:szCs w:val="20"/>
          <w:color w:val="auto"/>
        </w:rPr>
      </w:pPr>
    </w:p>
    <w:p>
      <w:pPr>
        <w:jc w:val="both"/>
        <w:spacing w:after="0" w:line="239" w:lineRule="auto"/>
        <w:rPr>
          <w:sz w:val="20"/>
          <w:szCs w:val="20"/>
          <w:color w:val="auto"/>
        </w:rPr>
      </w:pPr>
      <w:r>
        <w:rPr>
          <w:rFonts w:ascii="Arial" w:cs="Arial" w:eastAsia="Arial" w:hAnsi="Arial"/>
          <w:sz w:val="15"/>
          <w:szCs w:val="15"/>
          <w:color w:val="auto"/>
        </w:rPr>
        <w:t>For a derivative to qualify as a hedge at inception and throughout the hedged period, the Company formally documents the nature of the hedged items and the relationships between the hedging instruments and the hedged items, as well as its risk-management objectives, strategies for undertaking the various hedge transactions, and the methods of assessing hedge effectiveness and ineffectiveness. In addition, for hedges of forecasted transactions, the significant characteristics and expected terms of a forecasted transaction must be specifically identified, and it must be probable that each forecasted transaction would occur. If it were deemed probable that the forecasted transaction would not occur, the gain or loss on the derivative instrument would be recognized in earnings immediately. No such gains or losses were recognized in earnings for any of the periods presented. Derivative financial instruments qualifying for hedge accounting must maintain a specified level of effectiveness between the hedging instrument and the item being hedged, both at inception and throughout the hedged period, which management evaluates periodically.</w:t>
      </w:r>
    </w:p>
    <w:p>
      <w:pPr>
        <w:spacing w:after="0" w:line="157" w:lineRule="exact"/>
        <w:rPr>
          <w:sz w:val="20"/>
          <w:szCs w:val="20"/>
          <w:color w:val="auto"/>
        </w:rPr>
      </w:pPr>
    </w:p>
    <w:p>
      <w:pPr>
        <w:jc w:val="both"/>
        <w:spacing w:after="0" w:line="238" w:lineRule="auto"/>
        <w:rPr>
          <w:sz w:val="20"/>
          <w:szCs w:val="20"/>
          <w:color w:val="auto"/>
        </w:rPr>
      </w:pPr>
      <w:r>
        <w:rPr>
          <w:rFonts w:ascii="Arial" w:cs="Arial" w:eastAsia="Arial" w:hAnsi="Arial"/>
          <w:sz w:val="15"/>
          <w:szCs w:val="15"/>
          <w:color w:val="auto"/>
        </w:rPr>
        <w:t>The primary currencies to which the Company is exposed are the euro, British pound, Canadian dollar, and Australian dollar. For the most part, merchandise inventories are purchased by each geographic area in their respective local currency. The most significant exception to this is the United Kingdom, whose merchandise inventory purchases are denominated in euros. For option and foreign exchange forward contracts designated as cash flow hedges of the purchase of inventory, the effective portion of gains and losses is deferred as a component of AOCL and is recognized as a component of cost of sales when the related inventory is sold. The amount reclassified to cost of sales related to such contracts was not significant for any of the periods presented. The effective portion of gains or losses associated with other forward contracts is deferred as a component of AOCL until the underlying transaction is reported in earnings. The ineffective portion of gains and losses related to cash flow hedges recorded to earnings was also not significant for any of the periods presented. When using a forward contract as a hedging instrument, the Company excludes the time value of the contract from the assessment of effectiveness. At quarter-end, substantially all of the Company’s hedged forecasted transactions were less than twelve months into the future, and the Company expects the derivative-related amounts reported in AOCL to be reclassified to earnings within twelve months.</w:t>
      </w:r>
    </w:p>
    <w:p>
      <w:pPr>
        <w:spacing w:after="0" w:line="161"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The net change in the fair value of the foreign exchange derivative financial instruments designated as cash flow hedges of the purchase of inventory was a $1 million loss for the thirteen weeks ended April 29, 2017, and therefore increased AOCL. At April 29, 2017, the amount included in AOCL was not significant. For the thirteen weeks ended April 30, 2016, the net change in fair value was not significant. The notional value of the foreign exchange contracts designed as hedges outstanding at April 29, 2017 was $137 million, and these contracts mature at various dates through August 2018.</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Derivative Holdings Not Designated as Hedges</w:t>
      </w:r>
    </w:p>
    <w:p>
      <w:pPr>
        <w:spacing w:after="0" w:line="184" w:lineRule="exact"/>
        <w:rPr>
          <w:sz w:val="20"/>
          <w:szCs w:val="20"/>
          <w:color w:val="auto"/>
        </w:rPr>
      </w:pPr>
    </w:p>
    <w:p>
      <w:pPr>
        <w:jc w:val="both"/>
        <w:spacing w:after="0"/>
        <w:rPr>
          <w:sz w:val="20"/>
          <w:szCs w:val="20"/>
          <w:color w:val="auto"/>
        </w:rPr>
      </w:pPr>
      <w:r>
        <w:rPr>
          <w:rFonts w:ascii="Arial" w:cs="Arial" w:eastAsia="Arial" w:hAnsi="Arial"/>
          <w:sz w:val="15"/>
          <w:szCs w:val="15"/>
          <w:color w:val="auto"/>
        </w:rPr>
        <w:t>The Company enters into certain derivative contracts that are not designated as hedges, such as foreign exchange forward contracts and currency option contracts. These derivative contracts are used to manage certain costs of foreign currency-denominated merchandise purchases, intercompany transactions, and the effect of fluctuating foreign exchange rates on the reporting of foreign currency-denominated earnings. Changes in the fair value of derivative holdings not designated as hedges, as well as realized gains and premiums paid, are recorded in earnings immediately within selling, general and administrative expenses or other income, depending on the type of transaction. The net change in fair value was not significant for the thirteen weeks ended April 29, 2017. The net change in fair value resulted in expense of $1 million for the thirteen weeks ended April 30, 2016. The notional value of the foreign exchange contract not designed as a hedge outstanding at April 29, 2017 was $2 million, and this contract matures in May 2017.</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5817870" cy="482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116" w:right="139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15"/>
          <w:szCs w:val="15"/>
          <w:b w:val="1"/>
          <w:bCs w:val="1"/>
          <w:color w:val="auto"/>
        </w:rPr>
        <w:t>FOOT LOCKER, INC.</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NOTES TO CONDENSED CONSOLIDATED FINANCIAL STATEMENTS</w:t>
      </w:r>
    </w:p>
    <w:p>
      <w:pPr>
        <w:spacing w:after="0" w:line="192" w:lineRule="exact"/>
        <w:rPr>
          <w:sz w:val="20"/>
          <w:szCs w:val="20"/>
          <w:color w:val="auto"/>
        </w:rPr>
      </w:pPr>
    </w:p>
    <w:p>
      <w:pPr>
        <w:jc w:val="both"/>
        <w:ind w:right="20"/>
        <w:spacing w:after="0"/>
        <w:rPr>
          <w:sz w:val="20"/>
          <w:szCs w:val="20"/>
          <w:color w:val="auto"/>
        </w:rPr>
      </w:pPr>
      <w:r>
        <w:rPr>
          <w:rFonts w:ascii="Arial" w:cs="Arial" w:eastAsia="Arial" w:hAnsi="Arial"/>
          <w:sz w:val="15"/>
          <w:szCs w:val="15"/>
          <w:color w:val="auto"/>
        </w:rPr>
        <w:t>From time to time, the Company mitigates the effect of fluctuating foreign exchange rates on the reporting of foreign-currency denominated earnings by entering into currency option contracts. Changes in the fair value of these foreign currency option contracts, which are not designated as hedges, are recorded in earnings immediately within other income. The realized gains, premiums paid, and changes in the fair market value recorded were not significant for any of the periods presented. The notional value of the currency option contract not designated as a hedge outstanding at April 29, 2017 was 40 million euro, and this contract matures in July 2017.</w:t>
      </w:r>
    </w:p>
    <w:p>
      <w:pPr>
        <w:spacing w:after="0" w:line="330" w:lineRule="exact"/>
        <w:rPr>
          <w:sz w:val="20"/>
          <w:szCs w:val="20"/>
          <w:color w:val="auto"/>
        </w:rPr>
      </w:pPr>
    </w:p>
    <w:p>
      <w:pPr>
        <w:jc w:val="both"/>
        <w:ind w:right="20"/>
        <w:spacing w:after="0" w:line="242" w:lineRule="auto"/>
        <w:rPr>
          <w:sz w:val="20"/>
          <w:szCs w:val="20"/>
          <w:color w:val="auto"/>
        </w:rPr>
      </w:pPr>
      <w:r>
        <w:rPr>
          <w:rFonts w:ascii="Arial" w:cs="Arial" w:eastAsia="Arial" w:hAnsi="Arial"/>
          <w:sz w:val="15"/>
          <w:szCs w:val="15"/>
          <w:color w:val="auto"/>
        </w:rPr>
        <w:t>Additionally, the Company enters into diesel fuel forward and option contracts to mitigate a portion of the Company’s freight expense due to the variability caused by fuel surcharges imposed by our third-party freight carriers. Changes in the fair value of these contracts are recorded in earnings immediately. The effect was not significant for any of the periods presented. No such contracts were outstanding at April 29, 2017.</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Fair Value of Derivative Contracts</w:t>
      </w:r>
    </w:p>
    <w:p>
      <w:pPr>
        <w:spacing w:after="0" w:line="184" w:lineRule="exact"/>
        <w:rPr>
          <w:sz w:val="20"/>
          <w:szCs w:val="20"/>
          <w:color w:val="auto"/>
        </w:rPr>
      </w:pPr>
    </w:p>
    <w:p>
      <w:pPr>
        <w:jc w:val="both"/>
        <w:ind w:right="20"/>
        <w:spacing w:after="0" w:line="254" w:lineRule="auto"/>
        <w:rPr>
          <w:sz w:val="20"/>
          <w:szCs w:val="20"/>
          <w:color w:val="auto"/>
        </w:rPr>
      </w:pPr>
      <w:r>
        <w:rPr>
          <w:rFonts w:ascii="Arial" w:cs="Arial" w:eastAsia="Arial" w:hAnsi="Arial"/>
          <w:sz w:val="15"/>
          <w:szCs w:val="15"/>
          <w:color w:val="auto"/>
        </w:rPr>
        <w:t>The following represents the fair value of the Company’s derivative contracts. Many of the Company’s agreements allow for a netting arrangement. The following is presented on a gross basis, by type of contract:</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900" w:type="dxa"/>
            <w:vAlign w:val="bottom"/>
          </w:tcPr>
          <w:p>
            <w:pPr>
              <w:spacing w:after="0"/>
              <w:rPr>
                <w:sz w:val="15"/>
                <w:szCs w:val="15"/>
                <w:color w:val="auto"/>
              </w:rPr>
            </w:pPr>
          </w:p>
        </w:tc>
        <w:tc>
          <w:tcPr>
            <w:tcW w:w="2100" w:type="dxa"/>
            <w:vAlign w:val="bottom"/>
          </w:tcPr>
          <w:p>
            <w:pPr>
              <w:jc w:val="center"/>
              <w:ind w:left="123"/>
              <w:spacing w:after="0"/>
              <w:rPr>
                <w:sz w:val="20"/>
                <w:szCs w:val="20"/>
                <w:color w:val="auto"/>
              </w:rPr>
            </w:pPr>
            <w:r>
              <w:rPr>
                <w:rFonts w:ascii="Arial" w:cs="Arial" w:eastAsia="Arial" w:hAnsi="Arial"/>
                <w:sz w:val="15"/>
                <w:szCs w:val="15"/>
                <w:b w:val="1"/>
                <w:bCs w:val="1"/>
                <w:color w:val="auto"/>
              </w:rPr>
              <w:t>Balance Sheet</w:t>
            </w:r>
          </w:p>
        </w:tc>
        <w:tc>
          <w:tcPr>
            <w:tcW w:w="380" w:type="dxa"/>
            <w:vAlign w:val="bottom"/>
          </w:tcPr>
          <w:p>
            <w:pPr>
              <w:spacing w:after="0"/>
              <w:rPr>
                <w:sz w:val="15"/>
                <w:szCs w:val="15"/>
                <w:color w:val="auto"/>
              </w:rPr>
            </w:pPr>
          </w:p>
        </w:tc>
        <w:tc>
          <w:tcPr>
            <w:tcW w:w="1100" w:type="dxa"/>
            <w:vAlign w:val="bottom"/>
          </w:tcPr>
          <w:p>
            <w:pPr>
              <w:jc w:val="center"/>
              <w:ind w:right="303"/>
              <w:spacing w:after="0"/>
              <w:rPr>
                <w:sz w:val="20"/>
                <w:szCs w:val="20"/>
                <w:color w:val="auto"/>
              </w:rPr>
            </w:pPr>
            <w:r>
              <w:rPr>
                <w:rFonts w:ascii="Arial" w:cs="Arial" w:eastAsia="Arial" w:hAnsi="Arial"/>
                <w:sz w:val="15"/>
                <w:szCs w:val="15"/>
                <w:b w:val="1"/>
                <w:bCs w:val="1"/>
                <w:color w:val="auto"/>
              </w:rPr>
              <w:t>April 29,</w:t>
            </w:r>
          </w:p>
        </w:tc>
        <w:tc>
          <w:tcPr>
            <w:tcW w:w="280" w:type="dxa"/>
            <w:vAlign w:val="bottom"/>
          </w:tcPr>
          <w:p>
            <w:pPr>
              <w:spacing w:after="0"/>
              <w:rPr>
                <w:sz w:val="15"/>
                <w:szCs w:val="15"/>
                <w:color w:val="auto"/>
              </w:rPr>
            </w:pPr>
          </w:p>
        </w:tc>
        <w:tc>
          <w:tcPr>
            <w:tcW w:w="1100" w:type="dxa"/>
            <w:vAlign w:val="bottom"/>
          </w:tcPr>
          <w:p>
            <w:pPr>
              <w:jc w:val="center"/>
              <w:ind w:right="303"/>
              <w:spacing w:after="0"/>
              <w:rPr>
                <w:sz w:val="20"/>
                <w:szCs w:val="20"/>
                <w:color w:val="auto"/>
              </w:rPr>
            </w:pPr>
            <w:r>
              <w:rPr>
                <w:rFonts w:ascii="Arial" w:cs="Arial" w:eastAsia="Arial" w:hAnsi="Arial"/>
                <w:sz w:val="15"/>
                <w:szCs w:val="15"/>
                <w:b w:val="1"/>
                <w:bCs w:val="1"/>
                <w:color w:val="auto"/>
              </w:rPr>
              <w:t>April 30,</w:t>
            </w: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January 28,</w:t>
            </w:r>
          </w:p>
        </w:tc>
        <w:tc>
          <w:tcPr>
            <w:tcW w:w="160" w:type="dxa"/>
            <w:vAlign w:val="bottom"/>
          </w:tcPr>
          <w:p>
            <w:pPr>
              <w:spacing w:after="0"/>
              <w:rPr>
                <w:sz w:val="15"/>
                <w:szCs w:val="15"/>
                <w:color w:val="auto"/>
              </w:rPr>
            </w:pPr>
          </w:p>
        </w:tc>
      </w:tr>
      <w:tr>
        <w:trPr>
          <w:trHeight w:val="194"/>
        </w:trPr>
        <w:tc>
          <w:tcPr>
            <w:tcW w:w="29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 in millions)</w:t>
            </w:r>
          </w:p>
        </w:tc>
        <w:tc>
          <w:tcPr>
            <w:tcW w:w="2100" w:type="dxa"/>
            <w:vAlign w:val="bottom"/>
            <w:tcBorders>
              <w:bottom w:val="single" w:sz="8" w:color="auto"/>
            </w:tcBorders>
          </w:tcPr>
          <w:p>
            <w:pPr>
              <w:jc w:val="center"/>
              <w:ind w:left="123"/>
              <w:spacing w:after="0"/>
              <w:rPr>
                <w:sz w:val="20"/>
                <w:szCs w:val="20"/>
                <w:color w:val="auto"/>
              </w:rPr>
            </w:pPr>
            <w:r>
              <w:rPr>
                <w:rFonts w:ascii="Arial" w:cs="Arial" w:eastAsia="Arial" w:hAnsi="Arial"/>
                <w:sz w:val="15"/>
                <w:szCs w:val="15"/>
                <w:b w:val="1"/>
                <w:bCs w:val="1"/>
                <w:color w:val="auto"/>
              </w:rPr>
              <w:t>Caption</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3"/>
              <w:spacing w:after="0"/>
              <w:rPr>
                <w:sz w:val="20"/>
                <w:szCs w:val="20"/>
                <w:color w:val="auto"/>
              </w:rPr>
            </w:pPr>
            <w:r>
              <w:rPr>
                <w:rFonts w:ascii="Arial" w:cs="Arial" w:eastAsia="Arial" w:hAnsi="Arial"/>
                <w:sz w:val="15"/>
                <w:szCs w:val="15"/>
                <w:b w:val="1"/>
                <w:bCs w:val="1"/>
                <w:color w:val="auto"/>
              </w:rPr>
              <w:t>2017</w:t>
            </w: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3"/>
              <w:spacing w:after="0"/>
              <w:rPr>
                <w:sz w:val="20"/>
                <w:szCs w:val="20"/>
                <w:color w:val="auto"/>
              </w:rPr>
            </w:pPr>
            <w:r>
              <w:rPr>
                <w:rFonts w:ascii="Arial" w:cs="Arial" w:eastAsia="Arial" w:hAnsi="Arial"/>
                <w:sz w:val="15"/>
                <w:szCs w:val="15"/>
                <w:b w:val="1"/>
                <w:bCs w:val="1"/>
                <w:color w:val="auto"/>
              </w:rPr>
              <w:t>2016</w:t>
            </w:r>
          </w:p>
        </w:tc>
        <w:tc>
          <w:tcPr>
            <w:tcW w:w="108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b w:val="1"/>
                <w:bCs w:val="1"/>
                <w:color w:val="auto"/>
              </w:rPr>
              <w:t>2017</w:t>
            </w:r>
          </w:p>
        </w:tc>
        <w:tc>
          <w:tcPr>
            <w:tcW w:w="160" w:type="dxa"/>
            <w:vAlign w:val="bottom"/>
            <w:tcBorders>
              <w:bottom w:val="single" w:sz="8" w:color="auto"/>
            </w:tcBorders>
          </w:tcPr>
          <w:p>
            <w:pPr>
              <w:spacing w:after="0"/>
              <w:rPr>
                <w:sz w:val="16"/>
                <w:szCs w:val="16"/>
                <w:color w:val="auto"/>
              </w:rPr>
            </w:pPr>
          </w:p>
        </w:tc>
      </w:tr>
      <w:tr>
        <w:trPr>
          <w:trHeight w:val="187"/>
        </w:trPr>
        <w:tc>
          <w:tcPr>
            <w:tcW w:w="2900" w:type="dxa"/>
            <w:vAlign w:val="bottom"/>
            <w:shd w:val="clear" w:color="auto" w:fill="CCEEFF"/>
          </w:tcPr>
          <w:p>
            <w:pPr>
              <w:spacing w:after="0"/>
              <w:rPr>
                <w:sz w:val="20"/>
                <w:szCs w:val="20"/>
                <w:color w:val="auto"/>
              </w:rPr>
            </w:pPr>
            <w:r>
              <w:rPr>
                <w:rFonts w:ascii="Arial" w:cs="Arial" w:eastAsia="Arial" w:hAnsi="Arial"/>
                <w:sz w:val="15"/>
                <w:szCs w:val="15"/>
                <w:b w:val="1"/>
                <w:bCs w:val="1"/>
                <w:i w:val="1"/>
                <w:iCs w:val="1"/>
                <w:color w:val="auto"/>
              </w:rPr>
              <w:t>Hedging Instruments:</w:t>
            </w:r>
          </w:p>
        </w:tc>
        <w:tc>
          <w:tcPr>
            <w:tcW w:w="2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07"/>
        </w:trPr>
        <w:tc>
          <w:tcPr>
            <w:tcW w:w="2900" w:type="dxa"/>
            <w:vAlign w:val="bottom"/>
          </w:tcPr>
          <w:p>
            <w:pPr>
              <w:spacing w:after="0"/>
              <w:rPr>
                <w:sz w:val="20"/>
                <w:szCs w:val="20"/>
                <w:color w:val="auto"/>
              </w:rPr>
            </w:pPr>
            <w:r>
              <w:rPr>
                <w:rFonts w:ascii="Arial" w:cs="Arial" w:eastAsia="Arial" w:hAnsi="Arial"/>
                <w:sz w:val="15"/>
                <w:szCs w:val="15"/>
                <w:color w:val="auto"/>
              </w:rPr>
              <w:t>Foreign exchange forward contracts</w:t>
            </w:r>
          </w:p>
        </w:tc>
        <w:tc>
          <w:tcPr>
            <w:tcW w:w="2100" w:type="dxa"/>
            <w:vAlign w:val="bottom"/>
          </w:tcPr>
          <w:p>
            <w:pPr>
              <w:jc w:val="center"/>
              <w:ind w:left="103"/>
              <w:spacing w:after="0"/>
              <w:rPr>
                <w:sz w:val="20"/>
                <w:szCs w:val="20"/>
                <w:color w:val="auto"/>
              </w:rPr>
            </w:pPr>
            <w:r>
              <w:rPr>
                <w:rFonts w:ascii="Arial" w:cs="Arial" w:eastAsia="Arial" w:hAnsi="Arial"/>
                <w:sz w:val="15"/>
                <w:szCs w:val="15"/>
                <w:color w:val="auto"/>
              </w:rPr>
              <w:t>Current assets</w:t>
            </w:r>
          </w:p>
        </w:tc>
        <w:tc>
          <w:tcPr>
            <w:tcW w:w="3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100" w:type="dxa"/>
            <w:vAlign w:val="bottom"/>
          </w:tcPr>
          <w:p>
            <w:pPr>
              <w:jc w:val="center"/>
              <w:ind w:left="543"/>
              <w:spacing w:after="0"/>
              <w:rPr>
                <w:sz w:val="20"/>
                <w:szCs w:val="20"/>
                <w:color w:val="auto"/>
              </w:rPr>
            </w:pPr>
            <w:r>
              <w:rPr>
                <w:rFonts w:ascii="Arial" w:cs="Arial" w:eastAsia="Arial" w:hAnsi="Arial"/>
                <w:sz w:val="15"/>
                <w:szCs w:val="15"/>
                <w:b w:val="1"/>
                <w:bCs w:val="1"/>
                <w:color w:val="auto"/>
                <w:w w:val="95"/>
              </w:rPr>
              <w:t>1</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1100" w:type="dxa"/>
            <w:vAlign w:val="bottom"/>
          </w:tcPr>
          <w:p>
            <w:pPr>
              <w:jc w:val="center"/>
              <w:ind w:left="563"/>
              <w:spacing w:after="0"/>
              <w:rPr>
                <w:sz w:val="20"/>
                <w:szCs w:val="20"/>
                <w:color w:val="auto"/>
              </w:rPr>
            </w:pPr>
            <w:r>
              <w:rPr>
                <w:rFonts w:ascii="Arial" w:cs="Arial" w:eastAsia="Arial" w:hAnsi="Arial"/>
                <w:sz w:val="15"/>
                <w:szCs w:val="15"/>
                <w:color w:val="auto"/>
              </w:rPr>
              <w:t>3</w:t>
            </w:r>
          </w:p>
        </w:tc>
        <w:tc>
          <w:tcPr>
            <w:tcW w:w="1080" w:type="dxa"/>
            <w:vAlign w:val="bottom"/>
          </w:tcPr>
          <w:p>
            <w:pPr>
              <w:jc w:val="right"/>
              <w:ind w:right="763"/>
              <w:spacing w:after="0"/>
              <w:rPr>
                <w:sz w:val="20"/>
                <w:szCs w:val="20"/>
                <w:color w:val="auto"/>
              </w:rPr>
            </w:pPr>
            <w:r>
              <w:rPr>
                <w:rFonts w:ascii="Arial" w:cs="Arial" w:eastAsia="Arial" w:hAnsi="Arial"/>
                <w:sz w:val="15"/>
                <w:szCs w:val="15"/>
                <w:color w:val="auto"/>
              </w:rPr>
              <w:t>$</w:t>
            </w:r>
          </w:p>
        </w:tc>
        <w:tc>
          <w:tcPr>
            <w:tcW w:w="160" w:type="dxa"/>
            <w:vAlign w:val="bottom"/>
          </w:tcPr>
          <w:p>
            <w:pPr>
              <w:jc w:val="center"/>
              <w:spacing w:after="0"/>
              <w:rPr>
                <w:sz w:val="20"/>
                <w:szCs w:val="20"/>
                <w:color w:val="auto"/>
              </w:rPr>
            </w:pPr>
            <w:r>
              <w:rPr>
                <w:rFonts w:ascii="Arial" w:cs="Arial" w:eastAsia="Arial" w:hAnsi="Arial"/>
                <w:sz w:val="15"/>
                <w:szCs w:val="15"/>
                <w:color w:val="auto"/>
                <w:w w:val="95"/>
              </w:rPr>
              <w:t>3</w:t>
            </w:r>
          </w:p>
        </w:tc>
      </w:tr>
      <w:tr>
        <w:trPr>
          <w:trHeight w:val="207"/>
        </w:trPr>
        <w:tc>
          <w:tcPr>
            <w:tcW w:w="2900" w:type="dxa"/>
            <w:vAlign w:val="bottom"/>
            <w:shd w:val="clear" w:color="auto" w:fill="CCEEFF"/>
          </w:tcPr>
          <w:p>
            <w:pPr>
              <w:spacing w:after="0"/>
              <w:rPr>
                <w:sz w:val="20"/>
                <w:szCs w:val="20"/>
                <w:color w:val="auto"/>
              </w:rPr>
            </w:pPr>
            <w:r>
              <w:rPr>
                <w:rFonts w:ascii="Arial" w:cs="Arial" w:eastAsia="Arial" w:hAnsi="Arial"/>
                <w:sz w:val="15"/>
                <w:szCs w:val="15"/>
                <w:color w:val="auto"/>
              </w:rPr>
              <w:t>Foreign exchange forward contracts</w:t>
            </w:r>
          </w:p>
        </w:tc>
        <w:tc>
          <w:tcPr>
            <w:tcW w:w="2100" w:type="dxa"/>
            <w:vAlign w:val="bottom"/>
            <w:shd w:val="clear" w:color="auto" w:fill="CCEEFF"/>
          </w:tcPr>
          <w:p>
            <w:pPr>
              <w:jc w:val="center"/>
              <w:ind w:left="123"/>
              <w:spacing w:after="0"/>
              <w:rPr>
                <w:sz w:val="20"/>
                <w:szCs w:val="20"/>
                <w:color w:val="auto"/>
              </w:rPr>
            </w:pPr>
            <w:r>
              <w:rPr>
                <w:rFonts w:ascii="Arial" w:cs="Arial" w:eastAsia="Arial" w:hAnsi="Arial"/>
                <w:sz w:val="15"/>
                <w:szCs w:val="15"/>
                <w:color w:val="auto"/>
              </w:rPr>
              <w:t>Current liabilities</w:t>
            </w: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100" w:type="dxa"/>
            <w:vAlign w:val="bottom"/>
            <w:shd w:val="clear" w:color="auto" w:fill="CCEEFF"/>
          </w:tcPr>
          <w:p>
            <w:pPr>
              <w:jc w:val="center"/>
              <w:ind w:left="543"/>
              <w:spacing w:after="0"/>
              <w:rPr>
                <w:sz w:val="20"/>
                <w:szCs w:val="20"/>
                <w:color w:val="auto"/>
              </w:rPr>
            </w:pPr>
            <w:r>
              <w:rPr>
                <w:rFonts w:ascii="Arial" w:cs="Arial" w:eastAsia="Arial" w:hAnsi="Arial"/>
                <w:sz w:val="15"/>
                <w:szCs w:val="15"/>
                <w:b w:val="1"/>
                <w:bCs w:val="1"/>
                <w:color w:val="auto"/>
                <w:w w:val="95"/>
              </w:rPr>
              <w:t>3</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center"/>
              <w:ind w:left="583"/>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ind w:right="763"/>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3</w:t>
            </w:r>
          </w:p>
        </w:tc>
      </w:tr>
      <w:tr>
        <w:trPr>
          <w:trHeight w:val="207"/>
        </w:trPr>
        <w:tc>
          <w:tcPr>
            <w:tcW w:w="29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Foreign exchange forward contracts</w:t>
            </w:r>
          </w:p>
        </w:tc>
        <w:tc>
          <w:tcPr>
            <w:tcW w:w="2100" w:type="dxa"/>
            <w:vAlign w:val="bottom"/>
            <w:tcBorders>
              <w:bottom w:val="single" w:sz="8" w:color="auto"/>
            </w:tcBorders>
          </w:tcPr>
          <w:p>
            <w:pPr>
              <w:jc w:val="center"/>
              <w:ind w:left="123"/>
              <w:spacing w:after="0"/>
              <w:rPr>
                <w:sz w:val="20"/>
                <w:szCs w:val="20"/>
                <w:color w:val="auto"/>
              </w:rPr>
            </w:pPr>
            <w:r>
              <w:rPr>
                <w:rFonts w:ascii="Arial" w:cs="Arial" w:eastAsia="Arial" w:hAnsi="Arial"/>
                <w:sz w:val="15"/>
                <w:szCs w:val="15"/>
                <w:color w:val="auto"/>
              </w:rPr>
              <w:t>Non-current liabilities</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100" w:type="dxa"/>
            <w:vAlign w:val="bottom"/>
            <w:tcBorders>
              <w:bottom w:val="single" w:sz="8" w:color="auto"/>
            </w:tcBorders>
          </w:tcPr>
          <w:p>
            <w:pPr>
              <w:jc w:val="center"/>
              <w:ind w:left="563"/>
              <w:spacing w:after="0"/>
              <w:rPr>
                <w:sz w:val="20"/>
                <w:szCs w:val="20"/>
                <w:color w:val="auto"/>
              </w:rPr>
            </w:pPr>
            <w:r>
              <w:rPr>
                <w:rFonts w:ascii="Arial" w:cs="Arial" w:eastAsia="Arial" w:hAnsi="Arial"/>
                <w:sz w:val="15"/>
                <w:szCs w:val="15"/>
                <w:b w:val="1"/>
                <w:bCs w:val="1"/>
                <w:color w:val="auto"/>
                <w:w w:val="93"/>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jc w:val="center"/>
              <w:ind w:left="563"/>
              <w:spacing w:after="0"/>
              <w:rPr>
                <w:sz w:val="20"/>
                <w:szCs w:val="20"/>
                <w:color w:val="auto"/>
              </w:rPr>
            </w:pPr>
            <w:r>
              <w:rPr>
                <w:rFonts w:ascii="Arial" w:cs="Arial" w:eastAsia="Arial" w:hAnsi="Arial"/>
                <w:sz w:val="15"/>
                <w:szCs w:val="15"/>
                <w:color w:val="auto"/>
              </w:rPr>
              <w:t>1</w:t>
            </w:r>
          </w:p>
        </w:tc>
        <w:tc>
          <w:tcPr>
            <w:tcW w:w="1080" w:type="dxa"/>
            <w:vAlign w:val="bottom"/>
            <w:tcBorders>
              <w:bottom w:val="single" w:sz="8" w:color="auto"/>
            </w:tcBorders>
          </w:tcPr>
          <w:p>
            <w:pPr>
              <w:jc w:val="right"/>
              <w:ind w:right="763"/>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8. Fair Value Measurements</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auto"/>
        </w:rPr>
        <w:t>The Company’s financial assets recorded at fair value are categorized as follows:</w:t>
      </w:r>
    </w:p>
    <w:p>
      <w:pPr>
        <w:spacing w:after="0" w:line="162" w:lineRule="exact"/>
        <w:rPr>
          <w:sz w:val="20"/>
          <w:szCs w:val="20"/>
          <w:color w:val="auto"/>
        </w:rPr>
      </w:pPr>
    </w:p>
    <w:p>
      <w:pPr>
        <w:ind w:left="180"/>
        <w:spacing w:after="0"/>
        <w:tabs>
          <w:tab w:leader="none" w:pos="1080" w:val="left"/>
        </w:tabs>
        <w:rPr>
          <w:sz w:val="20"/>
          <w:szCs w:val="20"/>
          <w:color w:val="auto"/>
        </w:rPr>
      </w:pPr>
      <w:r>
        <w:rPr>
          <w:rFonts w:ascii="Arial" w:cs="Arial" w:eastAsia="Arial" w:hAnsi="Arial"/>
          <w:sz w:val="15"/>
          <w:szCs w:val="15"/>
          <w:b w:val="1"/>
          <w:bCs w:val="1"/>
          <w:color w:val="auto"/>
        </w:rPr>
        <w:t xml:space="preserve">Level 1 </w:t>
      </w: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Quoted prices for identical instruments in active markets.</w:t>
      </w:r>
    </w:p>
    <w:p>
      <w:pPr>
        <w:spacing w:after="0" w:line="241" w:lineRule="exact"/>
        <w:rPr>
          <w:sz w:val="20"/>
          <w:szCs w:val="20"/>
          <w:color w:val="auto"/>
        </w:rPr>
      </w:pPr>
    </w:p>
    <w:p>
      <w:pPr>
        <w:jc w:val="both"/>
        <w:ind w:left="1140" w:right="20" w:hanging="936"/>
        <w:spacing w:after="0" w:line="245" w:lineRule="auto"/>
        <w:tabs>
          <w:tab w:leader="none" w:pos="1120" w:val="left"/>
        </w:tabs>
        <w:rPr>
          <w:sz w:val="20"/>
          <w:szCs w:val="20"/>
          <w:color w:val="auto"/>
        </w:rPr>
      </w:pPr>
      <w:r>
        <w:rPr>
          <w:rFonts w:ascii="Arial" w:cs="Arial" w:eastAsia="Arial" w:hAnsi="Arial"/>
          <w:sz w:val="15"/>
          <w:szCs w:val="15"/>
          <w:b w:val="1"/>
          <w:bCs w:val="1"/>
          <w:color w:val="auto"/>
        </w:rPr>
        <w:t>Level 2 –</w:t>
      </w:r>
      <w:r>
        <w:rPr>
          <w:sz w:val="20"/>
          <w:szCs w:val="20"/>
          <w:color w:val="auto"/>
        </w:rPr>
        <w:tab/>
      </w:r>
      <w:r>
        <w:rPr>
          <w:rFonts w:ascii="Arial" w:cs="Arial" w:eastAsia="Arial" w:hAnsi="Arial"/>
          <w:sz w:val="15"/>
          <w:szCs w:val="15"/>
          <w:color w:val="auto"/>
        </w:rPr>
        <w:t>Quoted prices for similar instruments in active markets; quoted prices for identical or similar instruments in markets that are not active; and model-derived valuations in which all significant inputs or significant value-drivers are observable in active markets.</w:t>
      </w:r>
    </w:p>
    <w:p>
      <w:pPr>
        <w:spacing w:after="0" w:line="116" w:lineRule="exact"/>
        <w:rPr>
          <w:sz w:val="20"/>
          <w:szCs w:val="20"/>
          <w:color w:val="auto"/>
        </w:rPr>
      </w:pPr>
    </w:p>
    <w:p>
      <w:pPr>
        <w:ind w:left="200"/>
        <w:spacing w:after="0"/>
        <w:tabs>
          <w:tab w:leader="none" w:pos="1120" w:val="left"/>
        </w:tabs>
        <w:rPr>
          <w:sz w:val="20"/>
          <w:szCs w:val="20"/>
          <w:color w:val="auto"/>
        </w:rPr>
      </w:pPr>
      <w:r>
        <w:rPr>
          <w:rFonts w:ascii="Arial" w:cs="Arial" w:eastAsia="Arial" w:hAnsi="Arial"/>
          <w:sz w:val="15"/>
          <w:szCs w:val="15"/>
          <w:b w:val="1"/>
          <w:bCs w:val="1"/>
          <w:color w:val="auto"/>
        </w:rPr>
        <w:t>Level 3 –</w:t>
      </w:r>
      <w:r>
        <w:rPr>
          <w:sz w:val="20"/>
          <w:szCs w:val="20"/>
          <w:color w:val="auto"/>
        </w:rPr>
        <w:tab/>
      </w:r>
      <w:r>
        <w:rPr>
          <w:rFonts w:ascii="Arial" w:cs="Arial" w:eastAsia="Arial" w:hAnsi="Arial"/>
          <w:sz w:val="15"/>
          <w:szCs w:val="15"/>
          <w:color w:val="auto"/>
        </w:rPr>
        <w:t>Model-derived valuations in which one or more significant inputs or significant value-drivers are unobservable.</w:t>
      </w:r>
    </w:p>
    <w:p>
      <w:pPr>
        <w:spacing w:after="0" w:line="200" w:lineRule="exact"/>
        <w:rPr>
          <w:sz w:val="20"/>
          <w:szCs w:val="20"/>
          <w:color w:val="auto"/>
        </w:rPr>
      </w:pPr>
    </w:p>
    <w:p>
      <w:pPr>
        <w:spacing w:after="0" w:line="205" w:lineRule="exact"/>
        <w:rPr>
          <w:sz w:val="20"/>
          <w:szCs w:val="20"/>
          <w:color w:val="auto"/>
        </w:rPr>
      </w:pPr>
    </w:p>
    <w:p>
      <w:pPr>
        <w:ind w:right="20"/>
        <w:spacing w:after="0" w:line="254" w:lineRule="auto"/>
        <w:rPr>
          <w:sz w:val="20"/>
          <w:szCs w:val="20"/>
          <w:color w:val="auto"/>
        </w:rPr>
      </w:pPr>
      <w:r>
        <w:rPr>
          <w:rFonts w:ascii="Arial" w:cs="Arial" w:eastAsia="Arial" w:hAnsi="Arial"/>
          <w:sz w:val="15"/>
          <w:szCs w:val="15"/>
          <w:color w:val="auto"/>
        </w:rPr>
        <w:t>The following tables provide a summary of the Company’s recognized assets and liabilities that are measured at fair value on a recurring basis: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1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ind w:left="120"/>
              <w:spacing w:after="0"/>
              <w:rPr>
                <w:sz w:val="20"/>
                <w:szCs w:val="20"/>
                <w:color w:val="auto"/>
              </w:rPr>
            </w:pPr>
            <w:r>
              <w:rPr>
                <w:rFonts w:ascii="Arial" w:cs="Arial" w:eastAsia="Arial" w:hAnsi="Arial"/>
                <w:sz w:val="15"/>
                <w:szCs w:val="15"/>
                <w:b w:val="1"/>
                <w:bCs w:val="1"/>
                <w:color w:val="auto"/>
              </w:rPr>
              <w:t>As of April 29, 2017</w:t>
            </w:r>
          </w:p>
        </w:tc>
        <w:tc>
          <w:tcPr>
            <w:tcW w:w="3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ind w:left="120"/>
              <w:spacing w:after="0"/>
              <w:rPr>
                <w:sz w:val="20"/>
                <w:szCs w:val="20"/>
                <w:color w:val="auto"/>
              </w:rPr>
            </w:pPr>
            <w:r>
              <w:rPr>
                <w:rFonts w:ascii="Arial" w:cs="Arial" w:eastAsia="Arial" w:hAnsi="Arial"/>
                <w:sz w:val="15"/>
                <w:szCs w:val="15"/>
                <w:b w:val="1"/>
                <w:bCs w:val="1"/>
                <w:color w:val="auto"/>
              </w:rPr>
              <w:t>As of April 30, 2016</w:t>
            </w:r>
          </w:p>
        </w:tc>
        <w:tc>
          <w:tcPr>
            <w:tcW w:w="3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ind w:left="80"/>
              <w:spacing w:after="0"/>
              <w:rPr>
                <w:sz w:val="20"/>
                <w:szCs w:val="20"/>
                <w:color w:val="auto"/>
              </w:rPr>
            </w:pPr>
            <w:r>
              <w:rPr>
                <w:rFonts w:ascii="Arial" w:cs="Arial" w:eastAsia="Arial" w:hAnsi="Arial"/>
                <w:sz w:val="15"/>
                <w:szCs w:val="15"/>
                <w:b w:val="1"/>
                <w:bCs w:val="1"/>
                <w:color w:val="auto"/>
              </w:rPr>
              <w:t>As of January 28, 2017</w:t>
            </w:r>
          </w:p>
        </w:tc>
        <w:tc>
          <w:tcPr>
            <w:tcW w:w="2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gridSpan w:val="4"/>
          </w:tcPr>
          <w:p>
            <w:pPr>
              <w:ind w:left="400"/>
              <w:spacing w:after="0"/>
              <w:rPr>
                <w:sz w:val="20"/>
                <w:szCs w:val="20"/>
                <w:color w:val="auto"/>
              </w:rPr>
            </w:pPr>
            <w:r>
              <w:rPr>
                <w:rFonts w:ascii="Arial" w:cs="Arial" w:eastAsia="Arial" w:hAnsi="Arial"/>
                <w:sz w:val="15"/>
                <w:szCs w:val="15"/>
                <w:color w:val="auto"/>
              </w:rPr>
              <w:t>($ in millions)</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2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ind w:left="300"/>
              <w:spacing w:after="0"/>
              <w:rPr>
                <w:sz w:val="20"/>
                <w:szCs w:val="20"/>
                <w:color w:val="auto"/>
              </w:rPr>
            </w:pPr>
            <w:r>
              <w:rPr>
                <w:rFonts w:ascii="Arial" w:cs="Arial" w:eastAsia="Arial" w:hAnsi="Arial"/>
                <w:sz w:val="15"/>
                <w:szCs w:val="15"/>
                <w:b w:val="1"/>
                <w:bCs w:val="1"/>
                <w:color w:val="auto"/>
              </w:rPr>
              <w:t>Level 1</w:t>
            </w:r>
          </w:p>
        </w:tc>
        <w:tc>
          <w:tcPr>
            <w:tcW w:w="760" w:type="dxa"/>
            <w:vAlign w:val="bottom"/>
            <w:tcBorders>
              <w:bottom w:val="single" w:sz="8" w:color="auto"/>
            </w:tcBorders>
            <w:gridSpan w:val="2"/>
          </w:tcPr>
          <w:p>
            <w:pPr>
              <w:ind w:left="100"/>
              <w:spacing w:after="0"/>
              <w:rPr>
                <w:sz w:val="20"/>
                <w:szCs w:val="20"/>
                <w:color w:val="auto"/>
              </w:rPr>
            </w:pPr>
            <w:r>
              <w:rPr>
                <w:rFonts w:ascii="Arial" w:cs="Arial" w:eastAsia="Arial" w:hAnsi="Arial"/>
                <w:sz w:val="15"/>
                <w:szCs w:val="15"/>
                <w:b w:val="1"/>
                <w:bCs w:val="1"/>
                <w:color w:val="auto"/>
              </w:rPr>
              <w:t>Level 2</w:t>
            </w:r>
          </w:p>
        </w:tc>
        <w:tc>
          <w:tcPr>
            <w:tcW w:w="780" w:type="dxa"/>
            <w:vAlign w:val="bottom"/>
            <w:tcBorders>
              <w:bottom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Level 3</w:t>
            </w:r>
          </w:p>
        </w:tc>
        <w:tc>
          <w:tcPr>
            <w:tcW w:w="700" w:type="dxa"/>
            <w:vAlign w:val="bottom"/>
            <w:tcBorders>
              <w:bottom w:val="single" w:sz="8" w:color="auto"/>
            </w:tcBorders>
            <w:gridSpan w:val="2"/>
          </w:tcPr>
          <w:p>
            <w:pPr>
              <w:ind w:left="40"/>
              <w:spacing w:after="0"/>
              <w:rPr>
                <w:sz w:val="20"/>
                <w:szCs w:val="20"/>
                <w:color w:val="auto"/>
              </w:rPr>
            </w:pPr>
            <w:r>
              <w:rPr>
                <w:rFonts w:ascii="Arial" w:cs="Arial" w:eastAsia="Arial" w:hAnsi="Arial"/>
                <w:sz w:val="15"/>
                <w:szCs w:val="15"/>
                <w:b w:val="1"/>
                <w:bCs w:val="1"/>
                <w:color w:val="auto"/>
              </w:rPr>
              <w:t>Level 1</w:t>
            </w:r>
          </w:p>
        </w:tc>
        <w:tc>
          <w:tcPr>
            <w:tcW w:w="740" w:type="dxa"/>
            <w:vAlign w:val="bottom"/>
            <w:tcBorders>
              <w:bottom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Level 2</w:t>
            </w:r>
          </w:p>
        </w:tc>
        <w:tc>
          <w:tcPr>
            <w:tcW w:w="740" w:type="dxa"/>
            <w:vAlign w:val="bottom"/>
            <w:tcBorders>
              <w:bottom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Level 3</w:t>
            </w:r>
          </w:p>
        </w:tc>
        <w:tc>
          <w:tcPr>
            <w:tcW w:w="760" w:type="dxa"/>
            <w:vAlign w:val="bottom"/>
            <w:tcBorders>
              <w:bottom w:val="single" w:sz="8" w:color="auto"/>
            </w:tcBorders>
            <w:gridSpan w:val="2"/>
          </w:tcPr>
          <w:p>
            <w:pPr>
              <w:ind w:left="100"/>
              <w:spacing w:after="0"/>
              <w:rPr>
                <w:sz w:val="20"/>
                <w:szCs w:val="20"/>
                <w:color w:val="auto"/>
              </w:rPr>
            </w:pPr>
            <w:r>
              <w:rPr>
                <w:rFonts w:ascii="Arial" w:cs="Arial" w:eastAsia="Arial" w:hAnsi="Arial"/>
                <w:sz w:val="15"/>
                <w:szCs w:val="15"/>
                <w:b w:val="1"/>
                <w:bCs w:val="1"/>
                <w:color w:val="auto"/>
              </w:rPr>
              <w:t>Level 1</w:t>
            </w:r>
          </w:p>
        </w:tc>
        <w:tc>
          <w:tcPr>
            <w:tcW w:w="760" w:type="dxa"/>
            <w:vAlign w:val="bottom"/>
            <w:tcBorders>
              <w:bottom w:val="single" w:sz="8" w:color="auto"/>
            </w:tcBorders>
            <w:gridSpan w:val="2"/>
          </w:tcPr>
          <w:p>
            <w:pPr>
              <w:jc w:val="right"/>
              <w:ind w:right="43"/>
              <w:spacing w:after="0"/>
              <w:rPr>
                <w:sz w:val="20"/>
                <w:szCs w:val="20"/>
                <w:color w:val="auto"/>
              </w:rPr>
            </w:pPr>
            <w:r>
              <w:rPr>
                <w:rFonts w:ascii="Arial" w:cs="Arial" w:eastAsia="Arial" w:hAnsi="Arial"/>
                <w:sz w:val="15"/>
                <w:szCs w:val="15"/>
                <w:b w:val="1"/>
                <w:bCs w:val="1"/>
                <w:color w:val="auto"/>
              </w:rPr>
              <w:t>Level 2</w:t>
            </w:r>
          </w:p>
        </w:tc>
        <w:tc>
          <w:tcPr>
            <w:tcW w:w="740" w:type="dxa"/>
            <w:vAlign w:val="bottom"/>
            <w:tcBorders>
              <w:bottom w:val="single" w:sz="8" w:color="auto"/>
            </w:tcBorders>
            <w:gridSpan w:val="2"/>
          </w:tcPr>
          <w:p>
            <w:pPr>
              <w:ind w:left="120"/>
              <w:spacing w:after="0"/>
              <w:rPr>
                <w:sz w:val="20"/>
                <w:szCs w:val="20"/>
                <w:color w:val="auto"/>
              </w:rPr>
            </w:pPr>
            <w:r>
              <w:rPr>
                <w:rFonts w:ascii="Arial" w:cs="Arial" w:eastAsia="Arial" w:hAnsi="Arial"/>
                <w:sz w:val="15"/>
                <w:szCs w:val="15"/>
                <w:b w:val="1"/>
                <w:bCs w:val="1"/>
                <w:color w:val="auto"/>
              </w:rPr>
              <w:t>Level 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1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Assets</w:t>
            </w:r>
          </w:p>
        </w:tc>
        <w:tc>
          <w:tcPr>
            <w:tcW w:w="4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160" w:type="dxa"/>
            <w:vAlign w:val="bottom"/>
          </w:tcPr>
          <w:p>
            <w:pPr>
              <w:spacing w:after="0"/>
              <w:rPr>
                <w:sz w:val="20"/>
                <w:szCs w:val="20"/>
                <w:color w:val="auto"/>
              </w:rPr>
            </w:pPr>
            <w:r>
              <w:rPr>
                <w:rFonts w:ascii="Arial" w:cs="Arial" w:eastAsia="Arial" w:hAnsi="Arial"/>
                <w:sz w:val="15"/>
                <w:szCs w:val="15"/>
                <w:color w:val="auto"/>
              </w:rPr>
              <w:t>Available-for-sale securities</w:t>
            </w:r>
          </w:p>
        </w:tc>
        <w:tc>
          <w:tcPr>
            <w:tcW w:w="480" w:type="dxa"/>
            <w:vAlign w:val="bottom"/>
          </w:tcPr>
          <w:p>
            <w:pPr>
              <w:ind w:left="260"/>
              <w:spacing w:after="0"/>
              <w:rPr>
                <w:sz w:val="20"/>
                <w:szCs w:val="20"/>
                <w:color w:val="auto"/>
              </w:rPr>
            </w:pPr>
            <w:r>
              <w:rPr>
                <w:rFonts w:ascii="Arial" w:cs="Arial" w:eastAsia="Arial" w:hAnsi="Arial"/>
                <w:sz w:val="15"/>
                <w:szCs w:val="15"/>
                <w:b w:val="1"/>
                <w:bCs w:val="1"/>
                <w:color w:val="auto"/>
              </w:rPr>
              <w:t>$</w:t>
            </w:r>
          </w:p>
        </w:tc>
        <w:tc>
          <w:tcPr>
            <w:tcW w:w="480" w:type="dxa"/>
            <w:vAlign w:val="bottom"/>
          </w:tcPr>
          <w:p>
            <w:pPr>
              <w:ind w:left="260"/>
              <w:spacing w:after="0"/>
              <w:rPr>
                <w:sz w:val="20"/>
                <w:szCs w:val="20"/>
                <w:color w:val="auto"/>
              </w:rPr>
            </w:pPr>
            <w:r>
              <w:rPr>
                <w:rFonts w:ascii="Arial" w:cs="Arial" w:eastAsia="Arial" w:hAnsi="Arial"/>
                <w:sz w:val="15"/>
                <w:szCs w:val="15"/>
                <w:b w:val="1"/>
                <w:bCs w:val="1"/>
                <w:color w:val="auto"/>
              </w:rPr>
              <w:t>—</w:t>
            </w:r>
          </w:p>
        </w:tc>
        <w:tc>
          <w:tcPr>
            <w:tcW w:w="340" w:type="dxa"/>
            <w:vAlign w:val="bottom"/>
          </w:tcPr>
          <w:p>
            <w:pPr>
              <w:ind w:left="60"/>
              <w:spacing w:after="0"/>
              <w:rPr>
                <w:sz w:val="20"/>
                <w:szCs w:val="20"/>
                <w:color w:val="auto"/>
              </w:rPr>
            </w:pPr>
            <w:r>
              <w:rPr>
                <w:rFonts w:ascii="Arial" w:cs="Arial" w:eastAsia="Arial" w:hAnsi="Arial"/>
                <w:sz w:val="15"/>
                <w:szCs w:val="15"/>
                <w:b w:val="1"/>
                <w:bCs w:val="1"/>
                <w:color w:val="auto"/>
              </w:rPr>
              <w:t>$</w:t>
            </w:r>
          </w:p>
        </w:tc>
        <w:tc>
          <w:tcPr>
            <w:tcW w:w="420" w:type="dxa"/>
            <w:vAlign w:val="bottom"/>
          </w:tcPr>
          <w:p>
            <w:pPr>
              <w:ind w:left="220"/>
              <w:spacing w:after="0"/>
              <w:rPr>
                <w:sz w:val="20"/>
                <w:szCs w:val="20"/>
                <w:color w:val="auto"/>
              </w:rPr>
            </w:pPr>
            <w:r>
              <w:rPr>
                <w:rFonts w:ascii="Arial" w:cs="Arial" w:eastAsia="Arial" w:hAnsi="Arial"/>
                <w:sz w:val="15"/>
                <w:szCs w:val="15"/>
                <w:b w:val="1"/>
                <w:bCs w:val="1"/>
                <w:color w:val="auto"/>
              </w:rPr>
              <w:t>6</w:t>
            </w:r>
          </w:p>
        </w:tc>
        <w:tc>
          <w:tcPr>
            <w:tcW w:w="420" w:type="dxa"/>
            <w:vAlign w:val="bottom"/>
          </w:tcPr>
          <w:p>
            <w:pPr>
              <w:ind w:left="60"/>
              <w:spacing w:after="0"/>
              <w:rPr>
                <w:sz w:val="20"/>
                <w:szCs w:val="20"/>
                <w:color w:val="auto"/>
              </w:rPr>
            </w:pPr>
            <w:r>
              <w:rPr>
                <w:rFonts w:ascii="Arial" w:cs="Arial" w:eastAsia="Arial" w:hAnsi="Arial"/>
                <w:sz w:val="15"/>
                <w:szCs w:val="15"/>
                <w:b w:val="1"/>
                <w:bCs w:val="1"/>
                <w:color w:val="auto"/>
              </w:rPr>
              <w:t>$</w:t>
            </w:r>
          </w:p>
        </w:tc>
        <w:tc>
          <w:tcPr>
            <w:tcW w:w="360" w:type="dxa"/>
            <w:vAlign w:val="bottom"/>
          </w:tcPr>
          <w:p>
            <w:pPr>
              <w:ind w:left="120"/>
              <w:spacing w:after="0"/>
              <w:rPr>
                <w:sz w:val="20"/>
                <w:szCs w:val="20"/>
                <w:color w:val="auto"/>
              </w:rPr>
            </w:pPr>
            <w:r>
              <w:rPr>
                <w:rFonts w:ascii="Arial" w:cs="Arial" w:eastAsia="Arial" w:hAnsi="Arial"/>
                <w:sz w:val="15"/>
                <w:szCs w:val="15"/>
                <w:b w:val="1"/>
                <w:bCs w:val="1"/>
                <w:color w:val="auto"/>
              </w:rPr>
              <w:t>—</w:t>
            </w:r>
          </w:p>
        </w:tc>
        <w:tc>
          <w:tcPr>
            <w:tcW w:w="220" w:type="dxa"/>
            <w:vAlign w:val="bottom"/>
          </w:tcPr>
          <w:p>
            <w:pPr>
              <w:ind w:left="20"/>
              <w:spacing w:after="0"/>
              <w:rPr>
                <w:sz w:val="20"/>
                <w:szCs w:val="20"/>
                <w:color w:val="auto"/>
              </w:rPr>
            </w:pPr>
            <w:r>
              <w:rPr>
                <w:rFonts w:ascii="Arial" w:cs="Arial" w:eastAsia="Arial" w:hAnsi="Arial"/>
                <w:sz w:val="15"/>
                <w:szCs w:val="15"/>
                <w:color w:val="auto"/>
              </w:rPr>
              <w:t>$</w:t>
            </w:r>
          </w:p>
        </w:tc>
        <w:tc>
          <w:tcPr>
            <w:tcW w:w="480" w:type="dxa"/>
            <w:vAlign w:val="bottom"/>
          </w:tcPr>
          <w:p>
            <w:pPr>
              <w:ind w:left="260"/>
              <w:spacing w:after="0"/>
              <w:rPr>
                <w:sz w:val="20"/>
                <w:szCs w:val="20"/>
                <w:color w:val="auto"/>
              </w:rPr>
            </w:pPr>
            <w:r>
              <w:rPr>
                <w:rFonts w:ascii="Arial" w:cs="Arial" w:eastAsia="Arial" w:hAnsi="Arial"/>
                <w:sz w:val="15"/>
                <w:szCs w:val="15"/>
                <w:color w:val="auto"/>
              </w:rPr>
              <w:t>—</w:t>
            </w:r>
          </w:p>
        </w:tc>
        <w:tc>
          <w:tcPr>
            <w:tcW w:w="340" w:type="dxa"/>
            <w:vAlign w:val="bottom"/>
          </w:tcPr>
          <w:p>
            <w:pPr>
              <w:ind w:left="60"/>
              <w:spacing w:after="0"/>
              <w:rPr>
                <w:sz w:val="20"/>
                <w:szCs w:val="20"/>
                <w:color w:val="auto"/>
              </w:rPr>
            </w:pPr>
            <w:r>
              <w:rPr>
                <w:rFonts w:ascii="Arial" w:cs="Arial" w:eastAsia="Arial" w:hAnsi="Arial"/>
                <w:sz w:val="15"/>
                <w:szCs w:val="15"/>
                <w:color w:val="auto"/>
              </w:rPr>
              <w:t>$</w:t>
            </w:r>
          </w:p>
        </w:tc>
        <w:tc>
          <w:tcPr>
            <w:tcW w:w="400" w:type="dxa"/>
            <w:vAlign w:val="bottom"/>
          </w:tcPr>
          <w:p>
            <w:pPr>
              <w:ind w:left="200"/>
              <w:spacing w:after="0"/>
              <w:rPr>
                <w:sz w:val="20"/>
                <w:szCs w:val="20"/>
                <w:color w:val="auto"/>
              </w:rPr>
            </w:pPr>
            <w:r>
              <w:rPr>
                <w:rFonts w:ascii="Arial" w:cs="Arial" w:eastAsia="Arial" w:hAnsi="Arial"/>
                <w:sz w:val="15"/>
                <w:szCs w:val="15"/>
                <w:color w:val="auto"/>
              </w:rPr>
              <w:t>6</w:t>
            </w:r>
          </w:p>
        </w:tc>
        <w:tc>
          <w:tcPr>
            <w:tcW w:w="420" w:type="dxa"/>
            <w:vAlign w:val="bottom"/>
          </w:tcPr>
          <w:p>
            <w:pPr>
              <w:ind w:left="60"/>
              <w:spacing w:after="0"/>
              <w:rPr>
                <w:sz w:val="20"/>
                <w:szCs w:val="20"/>
                <w:color w:val="auto"/>
              </w:rPr>
            </w:pPr>
            <w:r>
              <w:rPr>
                <w:rFonts w:ascii="Arial" w:cs="Arial" w:eastAsia="Arial" w:hAnsi="Arial"/>
                <w:sz w:val="15"/>
                <w:szCs w:val="15"/>
                <w:color w:val="auto"/>
              </w:rPr>
              <w:t>$</w:t>
            </w:r>
          </w:p>
        </w:tc>
        <w:tc>
          <w:tcPr>
            <w:tcW w:w="320" w:type="dxa"/>
            <w:vAlign w:val="bottom"/>
          </w:tcPr>
          <w:p>
            <w:pPr>
              <w:ind w:left="100"/>
              <w:spacing w:after="0"/>
              <w:rPr>
                <w:sz w:val="20"/>
                <w:szCs w:val="20"/>
                <w:color w:val="auto"/>
              </w:rPr>
            </w:pPr>
            <w:r>
              <w:rPr>
                <w:rFonts w:ascii="Arial" w:cs="Arial" w:eastAsia="Arial" w:hAnsi="Arial"/>
                <w:sz w:val="15"/>
                <w:szCs w:val="15"/>
                <w:color w:val="auto"/>
              </w:rPr>
              <w:t>—</w:t>
            </w:r>
          </w:p>
        </w:tc>
        <w:tc>
          <w:tcPr>
            <w:tcW w:w="220" w:type="dxa"/>
            <w:vAlign w:val="bottom"/>
          </w:tcPr>
          <w:p>
            <w:pPr>
              <w:ind w:left="60"/>
              <w:spacing w:after="0"/>
              <w:rPr>
                <w:sz w:val="20"/>
                <w:szCs w:val="20"/>
                <w:color w:val="auto"/>
              </w:rPr>
            </w:pPr>
            <w:r>
              <w:rPr>
                <w:rFonts w:ascii="Arial" w:cs="Arial" w:eastAsia="Arial" w:hAnsi="Arial"/>
                <w:sz w:val="15"/>
                <w:szCs w:val="15"/>
                <w:color w:val="auto"/>
              </w:rPr>
              <w:t>$</w:t>
            </w:r>
          </w:p>
        </w:tc>
        <w:tc>
          <w:tcPr>
            <w:tcW w:w="540" w:type="dxa"/>
            <w:vAlign w:val="bottom"/>
          </w:tcPr>
          <w:p>
            <w:pPr>
              <w:ind w:left="340"/>
              <w:spacing w:after="0"/>
              <w:rPr>
                <w:sz w:val="20"/>
                <w:szCs w:val="20"/>
                <w:color w:val="auto"/>
              </w:rPr>
            </w:pPr>
            <w:r>
              <w:rPr>
                <w:rFonts w:ascii="Arial" w:cs="Arial" w:eastAsia="Arial" w:hAnsi="Arial"/>
                <w:sz w:val="15"/>
                <w:szCs w:val="15"/>
                <w:color w:val="auto"/>
              </w:rPr>
              <w:t>—</w:t>
            </w:r>
          </w:p>
        </w:tc>
        <w:tc>
          <w:tcPr>
            <w:tcW w:w="38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380" w:type="dxa"/>
            <w:vAlign w:val="bottom"/>
          </w:tcPr>
          <w:p>
            <w:pPr>
              <w:jc w:val="right"/>
              <w:ind w:right="3"/>
              <w:spacing w:after="0"/>
              <w:rPr>
                <w:sz w:val="20"/>
                <w:szCs w:val="20"/>
                <w:color w:val="auto"/>
              </w:rPr>
            </w:pPr>
            <w:r>
              <w:rPr>
                <w:rFonts w:ascii="Arial" w:cs="Arial" w:eastAsia="Arial" w:hAnsi="Arial"/>
                <w:sz w:val="15"/>
                <w:szCs w:val="15"/>
                <w:color w:val="auto"/>
              </w:rPr>
              <w:t>6</w:t>
            </w:r>
          </w:p>
        </w:tc>
        <w:tc>
          <w:tcPr>
            <w:tcW w:w="520" w:type="dxa"/>
            <w:vAlign w:val="bottom"/>
          </w:tcPr>
          <w:p>
            <w:pPr>
              <w:jc w:val="right"/>
              <w:ind w:right="263"/>
              <w:spacing w:after="0"/>
              <w:rPr>
                <w:sz w:val="20"/>
                <w:szCs w:val="20"/>
                <w:color w:val="auto"/>
              </w:rPr>
            </w:pPr>
            <w:r>
              <w:rPr>
                <w:rFonts w:ascii="Arial" w:cs="Arial" w:eastAsia="Arial" w:hAnsi="Arial"/>
                <w:sz w:val="15"/>
                <w:szCs w:val="15"/>
                <w:color w:val="auto"/>
              </w:rPr>
              <w:t>$</w:t>
            </w:r>
          </w:p>
        </w:tc>
        <w:tc>
          <w:tcPr>
            <w:tcW w:w="220" w:type="dxa"/>
            <w:vAlign w:val="bottom"/>
          </w:tcPr>
          <w:p>
            <w:pPr>
              <w:ind w:left="60"/>
              <w:spacing w:after="0"/>
              <w:rPr>
                <w:sz w:val="20"/>
                <w:szCs w:val="20"/>
                <w:color w:val="auto"/>
              </w:rPr>
            </w:pPr>
            <w:r>
              <w:rPr>
                <w:rFonts w:ascii="Arial" w:cs="Arial" w:eastAsia="Arial" w:hAnsi="Arial"/>
                <w:sz w:val="15"/>
                <w:szCs w:val="15"/>
                <w:color w:val="auto"/>
                <w:w w:val="93"/>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160" w:type="dxa"/>
            <w:vAlign w:val="bottom"/>
            <w:shd w:val="clear" w:color="auto" w:fill="CCEEFF"/>
          </w:tcPr>
          <w:p>
            <w:pPr>
              <w:spacing w:after="0"/>
              <w:rPr>
                <w:sz w:val="20"/>
                <w:szCs w:val="20"/>
                <w:color w:val="auto"/>
              </w:rPr>
            </w:pPr>
            <w:r>
              <w:rPr>
                <w:rFonts w:ascii="Arial" w:cs="Arial" w:eastAsia="Arial" w:hAnsi="Arial"/>
                <w:sz w:val="15"/>
                <w:szCs w:val="15"/>
                <w:color w:val="auto"/>
              </w:rPr>
              <w:t>Foreign exchange forward</w:t>
            </w:r>
          </w:p>
        </w:tc>
        <w:tc>
          <w:tcPr>
            <w:tcW w:w="480" w:type="dxa"/>
            <w:vAlign w:val="bottom"/>
            <w:shd w:val="clear" w:color="auto" w:fill="CCEEFF"/>
          </w:tcPr>
          <w:p>
            <w:pPr>
              <w:spacing w:after="0"/>
              <w:rPr>
                <w:sz w:val="18"/>
                <w:szCs w:val="18"/>
                <w:color w:val="auto"/>
              </w:rPr>
            </w:pPr>
          </w:p>
        </w:tc>
        <w:tc>
          <w:tcPr>
            <w:tcW w:w="480" w:type="dxa"/>
            <w:vAlign w:val="bottom"/>
            <w:vMerge w:val="restart"/>
            <w:shd w:val="clear" w:color="auto" w:fill="CCEEFF"/>
          </w:tcPr>
          <w:p>
            <w:pPr>
              <w:ind w:left="260"/>
              <w:spacing w:after="0"/>
              <w:rPr>
                <w:sz w:val="20"/>
                <w:szCs w:val="20"/>
                <w:color w:val="auto"/>
              </w:rPr>
            </w:pPr>
            <w:r>
              <w:rPr>
                <w:rFonts w:ascii="Arial" w:cs="Arial" w:eastAsia="Arial" w:hAnsi="Arial"/>
                <w:sz w:val="15"/>
                <w:szCs w:val="15"/>
                <w:b w:val="1"/>
                <w:bCs w:val="1"/>
                <w:color w:val="auto"/>
              </w:rPr>
              <w:t>—</w:t>
            </w:r>
          </w:p>
        </w:tc>
        <w:tc>
          <w:tcPr>
            <w:tcW w:w="340" w:type="dxa"/>
            <w:vAlign w:val="bottom"/>
            <w:shd w:val="clear" w:color="auto" w:fill="CCEEFF"/>
          </w:tcPr>
          <w:p>
            <w:pPr>
              <w:spacing w:after="0"/>
              <w:rPr>
                <w:sz w:val="18"/>
                <w:szCs w:val="18"/>
                <w:color w:val="auto"/>
              </w:rPr>
            </w:pPr>
          </w:p>
        </w:tc>
        <w:tc>
          <w:tcPr>
            <w:tcW w:w="420" w:type="dxa"/>
            <w:vAlign w:val="bottom"/>
            <w:vMerge w:val="restart"/>
            <w:shd w:val="clear" w:color="auto" w:fill="CCEEFF"/>
          </w:tcPr>
          <w:p>
            <w:pPr>
              <w:ind w:left="200"/>
              <w:spacing w:after="0"/>
              <w:rPr>
                <w:sz w:val="20"/>
                <w:szCs w:val="20"/>
                <w:color w:val="auto"/>
              </w:rPr>
            </w:pPr>
            <w:r>
              <w:rPr>
                <w:rFonts w:ascii="Arial" w:cs="Arial" w:eastAsia="Arial" w:hAnsi="Arial"/>
                <w:sz w:val="15"/>
                <w:szCs w:val="15"/>
                <w:b w:val="1"/>
                <w:bCs w:val="1"/>
                <w:color w:val="auto"/>
              </w:rPr>
              <w:t>—</w:t>
            </w:r>
          </w:p>
        </w:tc>
        <w:tc>
          <w:tcPr>
            <w:tcW w:w="42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ind w:left="120"/>
              <w:spacing w:after="0"/>
              <w:rPr>
                <w:sz w:val="20"/>
                <w:szCs w:val="20"/>
                <w:color w:val="auto"/>
              </w:rPr>
            </w:pPr>
            <w:r>
              <w:rPr>
                <w:rFonts w:ascii="Arial" w:cs="Arial" w:eastAsia="Arial" w:hAnsi="Arial"/>
                <w:sz w:val="15"/>
                <w:szCs w:val="15"/>
                <w:b w:val="1"/>
                <w:bCs w:val="1"/>
                <w:color w:val="auto"/>
              </w:rPr>
              <w:t>—</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16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5"/>
                <w:szCs w:val="15"/>
                <w:color w:val="auto"/>
              </w:rPr>
              <w:t>contracts</w:t>
            </w:r>
          </w:p>
        </w:tc>
        <w:tc>
          <w:tcPr>
            <w:tcW w:w="4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vMerge w:val="continue"/>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vMerge w:val="continue"/>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vMerge w:val="continue"/>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5"/>
                <w:szCs w:val="15"/>
                <w:color w:val="auto"/>
              </w:rPr>
              <w:t>2</w:t>
            </w:r>
          </w:p>
        </w:tc>
        <w:tc>
          <w:tcPr>
            <w:tcW w:w="42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5"/>
                <w:szCs w:val="15"/>
                <w:color w:val="auto"/>
              </w:rPr>
              <w:t>—</w:t>
            </w:r>
          </w:p>
        </w:tc>
        <w:tc>
          <w:tcPr>
            <w:tcW w:w="38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3</w:t>
            </w:r>
          </w:p>
        </w:tc>
        <w:tc>
          <w:tcPr>
            <w:tcW w:w="52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5"/>
                <w:szCs w:val="15"/>
                <w:color w:val="auto"/>
                <w:w w:val="93"/>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1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Total Assets</w:t>
            </w:r>
          </w:p>
        </w:tc>
        <w:tc>
          <w:tcPr>
            <w:tcW w:w="480" w:type="dxa"/>
            <w:vAlign w:val="bottom"/>
            <w:tcBorders>
              <w:bottom w:val="single" w:sz="8" w:color="auto"/>
            </w:tcBorders>
          </w:tcPr>
          <w:p>
            <w:pPr>
              <w:ind w:left="260"/>
              <w:spacing w:after="0"/>
              <w:rPr>
                <w:sz w:val="20"/>
                <w:szCs w:val="20"/>
                <w:color w:val="auto"/>
              </w:rPr>
            </w:pPr>
            <w:r>
              <w:rPr>
                <w:rFonts w:ascii="Arial" w:cs="Arial" w:eastAsia="Arial" w:hAnsi="Arial"/>
                <w:sz w:val="15"/>
                <w:szCs w:val="15"/>
                <w:b w:val="1"/>
                <w:bCs w:val="1"/>
                <w:color w:val="auto"/>
              </w:rPr>
              <w:t>$</w:t>
            </w:r>
          </w:p>
        </w:tc>
        <w:tc>
          <w:tcPr>
            <w:tcW w:w="480" w:type="dxa"/>
            <w:vAlign w:val="bottom"/>
            <w:tcBorders>
              <w:bottom w:val="single" w:sz="8" w:color="auto"/>
            </w:tcBorders>
          </w:tcPr>
          <w:p>
            <w:pPr>
              <w:ind w:left="260"/>
              <w:spacing w:after="0"/>
              <w:rPr>
                <w:sz w:val="20"/>
                <w:szCs w:val="20"/>
                <w:color w:val="auto"/>
              </w:rPr>
            </w:pPr>
            <w:r>
              <w:rPr>
                <w:rFonts w:ascii="Arial" w:cs="Arial" w:eastAsia="Arial" w:hAnsi="Arial"/>
                <w:sz w:val="15"/>
                <w:szCs w:val="15"/>
                <w:b w:val="1"/>
                <w:bCs w:val="1"/>
                <w:color w:val="auto"/>
              </w:rPr>
              <w:t>—</w:t>
            </w:r>
          </w:p>
        </w:tc>
        <w:tc>
          <w:tcPr>
            <w:tcW w:w="34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w:t>
            </w:r>
          </w:p>
        </w:tc>
        <w:tc>
          <w:tcPr>
            <w:tcW w:w="420" w:type="dxa"/>
            <w:vAlign w:val="bottom"/>
            <w:tcBorders>
              <w:bottom w:val="single" w:sz="8" w:color="auto"/>
            </w:tcBorders>
          </w:tcPr>
          <w:p>
            <w:pPr>
              <w:ind w:left="220"/>
              <w:spacing w:after="0"/>
              <w:rPr>
                <w:sz w:val="20"/>
                <w:szCs w:val="20"/>
                <w:color w:val="auto"/>
              </w:rPr>
            </w:pPr>
            <w:r>
              <w:rPr>
                <w:rFonts w:ascii="Arial" w:cs="Arial" w:eastAsia="Arial" w:hAnsi="Arial"/>
                <w:sz w:val="15"/>
                <w:szCs w:val="15"/>
                <w:b w:val="1"/>
                <w:bCs w:val="1"/>
                <w:color w:val="auto"/>
              </w:rPr>
              <w:t>6</w:t>
            </w:r>
          </w:p>
        </w:tc>
        <w:tc>
          <w:tcPr>
            <w:tcW w:w="42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w:t>
            </w:r>
          </w:p>
        </w:tc>
        <w:tc>
          <w:tcPr>
            <w:tcW w:w="360" w:type="dxa"/>
            <w:vAlign w:val="bottom"/>
            <w:tcBorders>
              <w:bottom w:val="single" w:sz="8" w:color="auto"/>
            </w:tcBorders>
          </w:tcPr>
          <w:p>
            <w:pPr>
              <w:ind w:left="120"/>
              <w:spacing w:after="0"/>
              <w:rPr>
                <w:sz w:val="20"/>
                <w:szCs w:val="20"/>
                <w:color w:val="auto"/>
              </w:rPr>
            </w:pPr>
            <w:r>
              <w:rPr>
                <w:rFonts w:ascii="Arial" w:cs="Arial" w:eastAsia="Arial" w:hAnsi="Arial"/>
                <w:sz w:val="15"/>
                <w:szCs w:val="15"/>
                <w:b w:val="1"/>
                <w:bCs w:val="1"/>
                <w:color w:val="auto"/>
              </w:rPr>
              <w:t>—</w:t>
            </w: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480" w:type="dxa"/>
            <w:vAlign w:val="bottom"/>
            <w:tcBorders>
              <w:bottom w:val="single" w:sz="8" w:color="auto"/>
            </w:tcBorders>
          </w:tcPr>
          <w:p>
            <w:pPr>
              <w:ind w:left="260"/>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w:t>
            </w:r>
          </w:p>
        </w:tc>
        <w:tc>
          <w:tcPr>
            <w:tcW w:w="400" w:type="dxa"/>
            <w:vAlign w:val="bottom"/>
            <w:tcBorders>
              <w:bottom w:val="single" w:sz="8" w:color="auto"/>
            </w:tcBorders>
          </w:tcPr>
          <w:p>
            <w:pPr>
              <w:ind w:left="200"/>
              <w:spacing w:after="0"/>
              <w:rPr>
                <w:sz w:val="20"/>
                <w:szCs w:val="20"/>
                <w:color w:val="auto"/>
              </w:rPr>
            </w:pPr>
            <w:r>
              <w:rPr>
                <w:rFonts w:ascii="Arial" w:cs="Arial" w:eastAsia="Arial" w:hAnsi="Arial"/>
                <w:sz w:val="15"/>
                <w:szCs w:val="15"/>
                <w:color w:val="auto"/>
              </w:rPr>
              <w:t>8</w:t>
            </w:r>
          </w:p>
        </w:tc>
        <w:tc>
          <w:tcPr>
            <w:tcW w:w="42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w:t>
            </w:r>
          </w:p>
        </w:tc>
        <w:tc>
          <w:tcPr>
            <w:tcW w:w="540" w:type="dxa"/>
            <w:vAlign w:val="bottom"/>
            <w:tcBorders>
              <w:bottom w:val="single" w:sz="8" w:color="auto"/>
            </w:tcBorders>
          </w:tcPr>
          <w:p>
            <w:pPr>
              <w:ind w:left="340"/>
              <w:spacing w:after="0"/>
              <w:rPr>
                <w:sz w:val="20"/>
                <w:szCs w:val="20"/>
                <w:color w:val="auto"/>
              </w:rPr>
            </w:pPr>
            <w:r>
              <w:rPr>
                <w:rFonts w:ascii="Arial" w:cs="Arial" w:eastAsia="Arial" w:hAnsi="Arial"/>
                <w:sz w:val="15"/>
                <w:szCs w:val="15"/>
                <w:color w:val="auto"/>
              </w:rPr>
              <w:t>—</w:t>
            </w:r>
          </w:p>
        </w:tc>
        <w:tc>
          <w:tcPr>
            <w:tcW w:w="38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rPr>
              <w:t>$</w:t>
            </w:r>
          </w:p>
        </w:tc>
        <w:tc>
          <w:tcPr>
            <w:tcW w:w="3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9</w:t>
            </w:r>
          </w:p>
        </w:tc>
        <w:tc>
          <w:tcPr>
            <w:tcW w:w="52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w w:val="93"/>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2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380" w:type="dxa"/>
            <w:vAlign w:val="bottom"/>
          </w:tcPr>
          <w:p>
            <w:pPr>
              <w:spacing w:after="0"/>
              <w:rPr>
                <w:sz w:val="4"/>
                <w:szCs w:val="4"/>
                <w:color w:val="auto"/>
              </w:rPr>
            </w:pPr>
          </w:p>
        </w:tc>
        <w:tc>
          <w:tcPr>
            <w:tcW w:w="3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21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Liabilities</w:t>
            </w:r>
          </w:p>
        </w:tc>
        <w:tc>
          <w:tcPr>
            <w:tcW w:w="4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160" w:type="dxa"/>
            <w:vAlign w:val="bottom"/>
          </w:tcPr>
          <w:p>
            <w:pPr>
              <w:spacing w:after="0"/>
              <w:rPr>
                <w:sz w:val="20"/>
                <w:szCs w:val="20"/>
                <w:color w:val="auto"/>
              </w:rPr>
            </w:pPr>
            <w:r>
              <w:rPr>
                <w:rFonts w:ascii="Arial" w:cs="Arial" w:eastAsia="Arial" w:hAnsi="Arial"/>
                <w:sz w:val="15"/>
                <w:szCs w:val="15"/>
                <w:color w:val="auto"/>
              </w:rPr>
              <w:t>Foreign exchange forward</w:t>
            </w:r>
          </w:p>
        </w:tc>
        <w:tc>
          <w:tcPr>
            <w:tcW w:w="480" w:type="dxa"/>
            <w:vAlign w:val="bottom"/>
          </w:tcPr>
          <w:p>
            <w:pPr>
              <w:spacing w:after="0"/>
              <w:rPr>
                <w:sz w:val="18"/>
                <w:szCs w:val="18"/>
                <w:color w:val="auto"/>
              </w:rPr>
            </w:pPr>
          </w:p>
        </w:tc>
        <w:tc>
          <w:tcPr>
            <w:tcW w:w="480" w:type="dxa"/>
            <w:vAlign w:val="bottom"/>
            <w:vMerge w:val="restart"/>
          </w:tcPr>
          <w:p>
            <w:pPr>
              <w:ind w:left="260"/>
              <w:spacing w:after="0"/>
              <w:rPr>
                <w:sz w:val="20"/>
                <w:szCs w:val="20"/>
                <w:color w:val="auto"/>
              </w:rPr>
            </w:pPr>
            <w:r>
              <w:rPr>
                <w:rFonts w:ascii="Arial" w:cs="Arial" w:eastAsia="Arial" w:hAnsi="Arial"/>
                <w:sz w:val="15"/>
                <w:szCs w:val="15"/>
                <w:b w:val="1"/>
                <w:bCs w:val="1"/>
                <w:color w:val="auto"/>
              </w:rPr>
              <w:t>—</w:t>
            </w:r>
          </w:p>
        </w:tc>
        <w:tc>
          <w:tcPr>
            <w:tcW w:w="340" w:type="dxa"/>
            <w:vAlign w:val="bottom"/>
          </w:tcPr>
          <w:p>
            <w:pPr>
              <w:spacing w:after="0"/>
              <w:rPr>
                <w:sz w:val="18"/>
                <w:szCs w:val="18"/>
                <w:color w:val="auto"/>
              </w:rPr>
            </w:pPr>
          </w:p>
        </w:tc>
        <w:tc>
          <w:tcPr>
            <w:tcW w:w="420" w:type="dxa"/>
            <w:vAlign w:val="bottom"/>
            <w:vMerge w:val="restart"/>
          </w:tcPr>
          <w:p>
            <w:pPr>
              <w:ind w:left="220"/>
              <w:spacing w:after="0"/>
              <w:rPr>
                <w:sz w:val="20"/>
                <w:szCs w:val="20"/>
                <w:color w:val="auto"/>
              </w:rPr>
            </w:pPr>
            <w:r>
              <w:rPr>
                <w:rFonts w:ascii="Arial" w:cs="Arial" w:eastAsia="Arial" w:hAnsi="Arial"/>
                <w:sz w:val="15"/>
                <w:szCs w:val="15"/>
                <w:b w:val="1"/>
                <w:bCs w:val="1"/>
                <w:color w:val="auto"/>
              </w:rPr>
              <w:t>2</w:t>
            </w:r>
          </w:p>
        </w:tc>
        <w:tc>
          <w:tcPr>
            <w:tcW w:w="420" w:type="dxa"/>
            <w:vAlign w:val="bottom"/>
          </w:tcPr>
          <w:p>
            <w:pPr>
              <w:spacing w:after="0"/>
              <w:rPr>
                <w:sz w:val="18"/>
                <w:szCs w:val="18"/>
                <w:color w:val="auto"/>
              </w:rPr>
            </w:pPr>
          </w:p>
        </w:tc>
        <w:tc>
          <w:tcPr>
            <w:tcW w:w="360" w:type="dxa"/>
            <w:vAlign w:val="bottom"/>
            <w:vMerge w:val="restart"/>
          </w:tcPr>
          <w:p>
            <w:pPr>
              <w:ind w:left="120"/>
              <w:spacing w:after="0"/>
              <w:rPr>
                <w:sz w:val="20"/>
                <w:szCs w:val="20"/>
                <w:color w:val="auto"/>
              </w:rPr>
            </w:pPr>
            <w:r>
              <w:rPr>
                <w:rFonts w:ascii="Arial" w:cs="Arial" w:eastAsia="Arial" w:hAnsi="Arial"/>
                <w:sz w:val="15"/>
                <w:szCs w:val="15"/>
                <w:b w:val="1"/>
                <w:bCs w:val="1"/>
                <w:color w:val="auto"/>
              </w:rPr>
              <w:t>—</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160" w:type="dxa"/>
            <w:vAlign w:val="bottom"/>
            <w:tcBorders>
              <w:bottom w:val="single" w:sz="8" w:color="auto"/>
            </w:tcBorders>
          </w:tcPr>
          <w:p>
            <w:pPr>
              <w:ind w:left="160"/>
              <w:spacing w:after="0"/>
              <w:rPr>
                <w:sz w:val="20"/>
                <w:szCs w:val="20"/>
                <w:color w:val="auto"/>
              </w:rPr>
            </w:pPr>
            <w:r>
              <w:rPr>
                <w:rFonts w:ascii="Arial" w:cs="Arial" w:eastAsia="Arial" w:hAnsi="Arial"/>
                <w:sz w:val="15"/>
                <w:szCs w:val="15"/>
                <w:color w:val="auto"/>
              </w:rPr>
              <w:t>contracts</w:t>
            </w:r>
          </w:p>
        </w:tc>
        <w:tc>
          <w:tcPr>
            <w:tcW w:w="4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vMerge w:val="continue"/>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ind w:left="260"/>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ind w:left="180"/>
              <w:spacing w:after="0"/>
              <w:rPr>
                <w:sz w:val="20"/>
                <w:szCs w:val="20"/>
                <w:color w:val="auto"/>
              </w:rPr>
            </w:pPr>
            <w:r>
              <w:rPr>
                <w:rFonts w:ascii="Arial" w:cs="Arial" w:eastAsia="Arial" w:hAnsi="Arial"/>
                <w:sz w:val="15"/>
                <w:szCs w:val="15"/>
                <w:color w:val="auto"/>
              </w:rPr>
              <w:t>—</w:t>
            </w:r>
          </w:p>
        </w:tc>
        <w:tc>
          <w:tcPr>
            <w:tcW w:w="4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ind w:left="340"/>
              <w:spacing w:after="0"/>
              <w:rPr>
                <w:sz w:val="20"/>
                <w:szCs w:val="20"/>
                <w:color w:val="auto"/>
              </w:rPr>
            </w:pPr>
            <w:r>
              <w:rPr>
                <w:rFonts w:ascii="Arial" w:cs="Arial" w:eastAsia="Arial" w:hAnsi="Arial"/>
                <w:sz w:val="15"/>
                <w:szCs w:val="15"/>
                <w:color w:val="auto"/>
              </w:rPr>
              <w:t>—</w:t>
            </w:r>
          </w:p>
        </w:tc>
        <w:tc>
          <w:tcPr>
            <w:tcW w:w="3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3</w:t>
            </w:r>
          </w:p>
        </w:tc>
        <w:tc>
          <w:tcPr>
            <w:tcW w:w="5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w w:val="93"/>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Total Liabilities</w:t>
            </w:r>
          </w:p>
        </w:tc>
        <w:tc>
          <w:tcPr>
            <w:tcW w:w="48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5"/>
                <w:szCs w:val="15"/>
                <w:b w:val="1"/>
                <w:bCs w:val="1"/>
                <w:color w:val="auto"/>
              </w:rPr>
              <w:t>$</w:t>
            </w:r>
          </w:p>
        </w:tc>
        <w:tc>
          <w:tcPr>
            <w:tcW w:w="48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5"/>
                <w:szCs w:val="15"/>
                <w:b w:val="1"/>
                <w:bCs w:val="1"/>
                <w:color w:val="auto"/>
              </w:rPr>
              <w:t>—</w:t>
            </w:r>
          </w:p>
        </w:tc>
        <w:tc>
          <w:tcPr>
            <w:tcW w:w="3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5"/>
                <w:szCs w:val="15"/>
                <w:b w:val="1"/>
                <w:bCs w:val="1"/>
                <w:color w:val="auto"/>
              </w:rPr>
              <w:t>$</w:t>
            </w:r>
          </w:p>
        </w:tc>
        <w:tc>
          <w:tcPr>
            <w:tcW w:w="4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5"/>
                <w:szCs w:val="15"/>
                <w:b w:val="1"/>
                <w:bCs w:val="1"/>
                <w:color w:val="auto"/>
              </w:rPr>
              <w:t>2</w:t>
            </w:r>
          </w:p>
        </w:tc>
        <w:tc>
          <w:tcPr>
            <w:tcW w:w="4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5"/>
                <w:szCs w:val="15"/>
                <w:b w:val="1"/>
                <w:bCs w:val="1"/>
                <w:color w:val="auto"/>
              </w:rPr>
              <w:t>$</w:t>
            </w:r>
          </w:p>
        </w:tc>
        <w:tc>
          <w:tcPr>
            <w:tcW w:w="3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5"/>
                <w:szCs w:val="15"/>
                <w:b w:val="1"/>
                <w:bCs w:val="1"/>
                <w:color w:val="auto"/>
              </w:rPr>
              <w:t>—</w:t>
            </w: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48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5"/>
                <w:szCs w:val="15"/>
                <w:color w:val="auto"/>
              </w:rPr>
              <w:t>$</w:t>
            </w:r>
          </w:p>
        </w:tc>
        <w:tc>
          <w:tcPr>
            <w:tcW w:w="4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5"/>
                <w:szCs w:val="15"/>
                <w:color w:val="auto"/>
              </w:rPr>
              <w:t>—</w:t>
            </w:r>
          </w:p>
        </w:tc>
        <w:tc>
          <w:tcPr>
            <w:tcW w:w="4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5"/>
                <w:szCs w:val="15"/>
                <w:color w:val="auto"/>
              </w:rPr>
              <w:t>$</w:t>
            </w:r>
          </w:p>
        </w:tc>
        <w:tc>
          <w:tcPr>
            <w:tcW w:w="54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5"/>
                <w:szCs w:val="15"/>
                <w:color w:val="auto"/>
              </w:rPr>
              <w:t>—</w:t>
            </w:r>
          </w:p>
        </w:tc>
        <w:tc>
          <w:tcPr>
            <w:tcW w:w="38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rPr>
              <w:t>$</w:t>
            </w:r>
          </w:p>
        </w:tc>
        <w:tc>
          <w:tcPr>
            <w:tcW w:w="3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3</w:t>
            </w:r>
          </w:p>
        </w:tc>
        <w:tc>
          <w:tcPr>
            <w:tcW w:w="520" w:type="dxa"/>
            <w:vAlign w:val="bottom"/>
            <w:tcBorders>
              <w:bottom w:val="single" w:sz="8" w:color="auto"/>
            </w:tcBorders>
            <w:shd w:val="clear" w:color="auto" w:fill="CCEEFF"/>
          </w:tcPr>
          <w:p>
            <w:pPr>
              <w:jc w:val="right"/>
              <w:ind w:right="263"/>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5"/>
                <w:szCs w:val="15"/>
                <w:color w:val="auto"/>
                <w:w w:val="93"/>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5"/>
        </w:trPr>
        <w:tc>
          <w:tcPr>
            <w:tcW w:w="2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ind w:left="160"/>
              <w:spacing w:after="0"/>
              <w:rPr>
                <w:sz w:val="20"/>
                <w:szCs w:val="20"/>
                <w:color w:val="auto"/>
              </w:rPr>
            </w:pPr>
            <w:r>
              <w:rPr>
                <w:rFonts w:ascii="Arial" w:cs="Arial" w:eastAsia="Arial" w:hAnsi="Arial"/>
                <w:sz w:val="15"/>
                <w:szCs w:val="15"/>
                <w:color w:val="auto"/>
              </w:rPr>
              <w:t>10</w:t>
            </w: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16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160" w:type="dxa"/>
            <w:vAlign w:val="bottom"/>
            <w:tcBorders>
              <w:bottom w:val="single" w:sz="8" w:color="EEEEEE"/>
            </w:tcBorders>
          </w:tcPr>
          <w:p>
            <w:pPr>
              <w:spacing w:after="0" w:line="20" w:lineRule="exact"/>
              <w:rPr>
                <w:sz w:val="1"/>
                <w:szCs w:val="1"/>
                <w:color w:val="auto"/>
              </w:rPr>
            </w:pPr>
          </w:p>
        </w:tc>
        <w:tc>
          <w:tcPr>
            <w:tcW w:w="480" w:type="dxa"/>
            <w:vAlign w:val="bottom"/>
            <w:tcBorders>
              <w:bottom w:val="single" w:sz="8" w:color="EEEEEE"/>
            </w:tcBorders>
          </w:tcPr>
          <w:p>
            <w:pPr>
              <w:spacing w:after="0" w:line="20" w:lineRule="exact"/>
              <w:rPr>
                <w:sz w:val="1"/>
                <w:szCs w:val="1"/>
                <w:color w:val="auto"/>
              </w:rPr>
            </w:pPr>
          </w:p>
        </w:tc>
        <w:tc>
          <w:tcPr>
            <w:tcW w:w="48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48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54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52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5775325</wp:posOffset>
            </wp:positionH>
            <wp:positionV relativeFrom="paragraph">
              <wp:posOffset>-34925</wp:posOffset>
            </wp:positionV>
            <wp:extent cx="33020" cy="482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020" cy="4826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-34925</wp:posOffset>
            </wp:positionV>
            <wp:extent cx="33020" cy="482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020" cy="48260"/>
                    </a:xfrm>
                    <a:prstGeom prst="rect">
                      <a:avLst/>
                    </a:prstGeom>
                    <a:noFill/>
                  </pic:spPr>
                </pic:pic>
              </a:graphicData>
            </a:graphic>
          </wp:anchor>
        </w:drawing>
      </w:r>
    </w:p>
    <w:p>
      <w:pPr>
        <w:sectPr>
          <w:pgSz w:w="11900" w:h="16838" w:orient="portrait"/>
          <w:cols w:equalWidth="0" w:num="1">
            <w:col w:w="9120"/>
          </w:cols>
          <w:pgMar w:left="1400" w:top="116" w:right="1379" w:bottom="1440" w:gutter="0" w:footer="0" w:header="0"/>
        </w:sectPr>
      </w:pPr>
    </w:p>
    <w:bookmarkStart w:id="12" w:name="page13"/>
    <w:bookmarkEnd w:id="12"/>
    <w:p>
      <w:pPr>
        <w:jc w:val="center"/>
        <w:ind w:right="20"/>
        <w:spacing w:after="0"/>
        <w:rPr>
          <w:sz w:val="20"/>
          <w:szCs w:val="20"/>
          <w:color w:val="auto"/>
        </w:rPr>
      </w:pPr>
      <w:r>
        <w:rPr>
          <w:rFonts w:ascii="Arial" w:cs="Arial" w:eastAsia="Arial" w:hAnsi="Arial"/>
          <w:sz w:val="15"/>
          <w:szCs w:val="15"/>
          <w:b w:val="1"/>
          <w:bCs w:val="1"/>
          <w:color w:val="auto"/>
        </w:rPr>
        <w:t>FOOT LOCKER, INC.</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NOTES TO CONDENSED CONSOLIDATED FINANCIAL STATEMENTS</w:t>
      </w:r>
    </w:p>
    <w:p>
      <w:pPr>
        <w:spacing w:after="0" w:line="192" w:lineRule="exact"/>
        <w:rPr>
          <w:sz w:val="20"/>
          <w:szCs w:val="20"/>
          <w:color w:val="auto"/>
        </w:rPr>
      </w:pPr>
    </w:p>
    <w:p>
      <w:pPr>
        <w:jc w:val="both"/>
        <w:ind w:right="20"/>
        <w:spacing w:after="0" w:line="242" w:lineRule="auto"/>
        <w:rPr>
          <w:sz w:val="20"/>
          <w:szCs w:val="20"/>
          <w:color w:val="auto"/>
        </w:rPr>
      </w:pPr>
      <w:r>
        <w:rPr>
          <w:rFonts w:ascii="Arial" w:cs="Arial" w:eastAsia="Arial" w:hAnsi="Arial"/>
          <w:sz w:val="15"/>
          <w:szCs w:val="15"/>
          <w:color w:val="auto"/>
        </w:rPr>
        <w:t>Securities classified as available-for-sale are recorded at fair value with unrealized gains and losses reported, net of tax, in other comprehensive income, unless unrealized gains or losses are determined to be other than temporary. The fair value of the auction rate security is determined by using quoted prices for similar instruments in active markets and accordingly is classified as a Level 2 instrument.</w:t>
      </w:r>
    </w:p>
    <w:p>
      <w:pPr>
        <w:spacing w:after="0" w:line="156" w:lineRule="exact"/>
        <w:rPr>
          <w:sz w:val="20"/>
          <w:szCs w:val="20"/>
          <w:color w:val="auto"/>
        </w:rPr>
      </w:pPr>
    </w:p>
    <w:p>
      <w:pPr>
        <w:jc w:val="both"/>
        <w:ind w:right="20"/>
        <w:spacing w:after="0" w:line="245" w:lineRule="auto"/>
        <w:rPr>
          <w:sz w:val="20"/>
          <w:szCs w:val="20"/>
          <w:color w:val="auto"/>
        </w:rPr>
      </w:pPr>
      <w:r>
        <w:rPr>
          <w:rFonts w:ascii="Arial" w:cs="Arial" w:eastAsia="Arial" w:hAnsi="Arial"/>
          <w:sz w:val="15"/>
          <w:szCs w:val="15"/>
          <w:color w:val="auto"/>
        </w:rPr>
        <w:t>The Company’s derivative financial instruments are valued using market-based inputs to valuation models. These valuation models require a variety of inputs, including contractual terms, market prices, yield curves, and measures of volatility and therefore are classified as Level 2 instruments.</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color w:val="auto"/>
        </w:rPr>
        <w:t>There were no transfers into or out of Level 1, Level 2, or Level 3 assets and liabilities for any of the periods presented.</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color w:val="auto"/>
        </w:rPr>
        <w:t>The carrying value and estimated fair value of long-term debt and obligations under capital leases were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9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140" w:type="dxa"/>
            <w:vAlign w:val="bottom"/>
          </w:tcPr>
          <w:p>
            <w:pPr>
              <w:jc w:val="right"/>
              <w:ind w:right="403"/>
              <w:spacing w:after="0"/>
              <w:rPr>
                <w:sz w:val="20"/>
                <w:szCs w:val="20"/>
                <w:color w:val="auto"/>
              </w:rPr>
            </w:pPr>
            <w:r>
              <w:rPr>
                <w:rFonts w:ascii="Arial" w:cs="Arial" w:eastAsia="Arial" w:hAnsi="Arial"/>
                <w:sz w:val="15"/>
                <w:szCs w:val="15"/>
                <w:b w:val="1"/>
                <w:bCs w:val="1"/>
                <w:color w:val="auto"/>
              </w:rPr>
              <w:t>April 29,</w:t>
            </w:r>
          </w:p>
        </w:tc>
        <w:tc>
          <w:tcPr>
            <w:tcW w:w="420" w:type="dxa"/>
            <w:vAlign w:val="bottom"/>
          </w:tcPr>
          <w:p>
            <w:pPr>
              <w:spacing w:after="0"/>
              <w:rPr>
                <w:sz w:val="15"/>
                <w:szCs w:val="15"/>
                <w:color w:val="auto"/>
              </w:rPr>
            </w:pPr>
          </w:p>
        </w:tc>
        <w:tc>
          <w:tcPr>
            <w:tcW w:w="1140" w:type="dxa"/>
            <w:vAlign w:val="bottom"/>
          </w:tcPr>
          <w:p>
            <w:pPr>
              <w:jc w:val="right"/>
              <w:ind w:right="443"/>
              <w:spacing w:after="0"/>
              <w:rPr>
                <w:sz w:val="20"/>
                <w:szCs w:val="20"/>
                <w:color w:val="auto"/>
              </w:rPr>
            </w:pPr>
            <w:r>
              <w:rPr>
                <w:rFonts w:ascii="Arial" w:cs="Arial" w:eastAsia="Arial" w:hAnsi="Arial"/>
                <w:sz w:val="15"/>
                <w:szCs w:val="15"/>
                <w:b w:val="1"/>
                <w:bCs w:val="1"/>
                <w:color w:val="auto"/>
              </w:rPr>
              <w:t>April 30,</w:t>
            </w:r>
          </w:p>
        </w:tc>
        <w:tc>
          <w:tcPr>
            <w:tcW w:w="1380" w:type="dxa"/>
            <w:vAlign w:val="bottom"/>
            <w:gridSpan w:val="2"/>
          </w:tcPr>
          <w:p>
            <w:pPr>
              <w:jc w:val="right"/>
              <w:ind w:right="183"/>
              <w:spacing w:after="0"/>
              <w:rPr>
                <w:sz w:val="20"/>
                <w:szCs w:val="20"/>
                <w:color w:val="auto"/>
              </w:rPr>
            </w:pPr>
            <w:r>
              <w:rPr>
                <w:rFonts w:ascii="Arial" w:cs="Arial" w:eastAsia="Arial" w:hAnsi="Arial"/>
                <w:sz w:val="15"/>
                <w:szCs w:val="15"/>
                <w:b w:val="1"/>
                <w:bCs w:val="1"/>
                <w:color w:val="auto"/>
              </w:rPr>
              <w:t>January 28,</w:t>
            </w:r>
          </w:p>
        </w:tc>
      </w:tr>
      <w:tr>
        <w:trPr>
          <w:trHeight w:val="194"/>
        </w:trPr>
        <w:tc>
          <w:tcPr>
            <w:tcW w:w="29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43"/>
              <w:spacing w:after="0"/>
              <w:rPr>
                <w:sz w:val="20"/>
                <w:szCs w:val="20"/>
                <w:color w:val="auto"/>
              </w:rPr>
            </w:pPr>
            <w:r>
              <w:rPr>
                <w:rFonts w:ascii="Arial" w:cs="Arial" w:eastAsia="Arial" w:hAnsi="Arial"/>
                <w:sz w:val="15"/>
                <w:szCs w:val="15"/>
                <w:b w:val="1"/>
                <w:bCs w:val="1"/>
                <w:color w:val="auto"/>
              </w:rPr>
              <w:t>2017</w:t>
            </w:r>
          </w:p>
        </w:tc>
        <w:tc>
          <w:tcPr>
            <w:tcW w:w="4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83"/>
              <w:spacing w:after="0"/>
              <w:rPr>
                <w:sz w:val="20"/>
                <w:szCs w:val="20"/>
                <w:color w:val="auto"/>
              </w:rPr>
            </w:pPr>
            <w:r>
              <w:rPr>
                <w:rFonts w:ascii="Arial" w:cs="Arial" w:eastAsia="Arial" w:hAnsi="Arial"/>
                <w:sz w:val="15"/>
                <w:szCs w:val="15"/>
                <w:b w:val="1"/>
                <w:bCs w:val="1"/>
                <w:color w:val="auto"/>
              </w:rPr>
              <w:t>2016</w:t>
            </w:r>
          </w:p>
        </w:tc>
        <w:tc>
          <w:tcPr>
            <w:tcW w:w="4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43"/>
              <w:spacing w:after="0"/>
              <w:rPr>
                <w:sz w:val="20"/>
                <w:szCs w:val="20"/>
                <w:color w:val="auto"/>
              </w:rPr>
            </w:pPr>
            <w:r>
              <w:rPr>
                <w:rFonts w:ascii="Arial" w:cs="Arial" w:eastAsia="Arial" w:hAnsi="Arial"/>
                <w:sz w:val="15"/>
                <w:szCs w:val="15"/>
                <w:b w:val="1"/>
                <w:bCs w:val="1"/>
                <w:color w:val="auto"/>
              </w:rPr>
              <w:t>2017</w:t>
            </w:r>
          </w:p>
        </w:tc>
      </w:tr>
      <w:tr>
        <w:trPr>
          <w:trHeight w:val="187"/>
        </w:trPr>
        <w:tc>
          <w:tcPr>
            <w:tcW w:w="29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303"/>
              <w:spacing w:after="0"/>
              <w:rPr>
                <w:sz w:val="20"/>
                <w:szCs w:val="20"/>
                <w:color w:val="auto"/>
              </w:rPr>
            </w:pPr>
            <w:r>
              <w:rPr>
                <w:rFonts w:ascii="Arial" w:cs="Arial" w:eastAsia="Arial" w:hAnsi="Arial"/>
                <w:sz w:val="15"/>
                <w:szCs w:val="15"/>
                <w:color w:val="auto"/>
              </w:rPr>
              <w:t>in millions)</w:t>
            </w:r>
          </w:p>
        </w:tc>
        <w:tc>
          <w:tcPr>
            <w:tcW w:w="4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07"/>
        </w:trPr>
        <w:tc>
          <w:tcPr>
            <w:tcW w:w="2940" w:type="dxa"/>
            <w:vAlign w:val="bottom"/>
            <w:shd w:val="clear" w:color="auto" w:fill="CCEEFF"/>
          </w:tcPr>
          <w:p>
            <w:pPr>
              <w:spacing w:after="0"/>
              <w:rPr>
                <w:sz w:val="20"/>
                <w:szCs w:val="20"/>
                <w:color w:val="auto"/>
              </w:rPr>
            </w:pPr>
            <w:r>
              <w:rPr>
                <w:rFonts w:ascii="Arial" w:cs="Arial" w:eastAsia="Arial" w:hAnsi="Arial"/>
                <w:sz w:val="15"/>
                <w:szCs w:val="15"/>
                <w:color w:val="auto"/>
              </w:rPr>
              <w:t>Carrying value</w:t>
            </w:r>
          </w:p>
        </w:tc>
        <w:tc>
          <w:tcPr>
            <w:tcW w:w="20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140" w:type="dxa"/>
            <w:vAlign w:val="bottom"/>
            <w:shd w:val="clear" w:color="auto" w:fill="CCEEFF"/>
          </w:tcPr>
          <w:p>
            <w:pPr>
              <w:jc w:val="right"/>
              <w:ind w:right="63"/>
              <w:spacing w:after="0"/>
              <w:rPr>
                <w:sz w:val="20"/>
                <w:szCs w:val="20"/>
                <w:color w:val="auto"/>
              </w:rPr>
            </w:pPr>
            <w:r>
              <w:rPr>
                <w:rFonts w:ascii="Arial" w:cs="Arial" w:eastAsia="Arial" w:hAnsi="Arial"/>
                <w:sz w:val="15"/>
                <w:szCs w:val="15"/>
                <w:b w:val="1"/>
                <w:bCs w:val="1"/>
                <w:color w:val="auto"/>
              </w:rPr>
              <w:t>127</w:t>
            </w:r>
          </w:p>
        </w:tc>
        <w:tc>
          <w:tcPr>
            <w:tcW w:w="42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129</w:t>
            </w:r>
          </w:p>
        </w:tc>
        <w:tc>
          <w:tcPr>
            <w:tcW w:w="4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127</w:t>
            </w:r>
          </w:p>
        </w:tc>
      </w:tr>
      <w:tr>
        <w:trPr>
          <w:trHeight w:val="207"/>
        </w:trPr>
        <w:tc>
          <w:tcPr>
            <w:tcW w:w="29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Fair value</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1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rPr>
              <w:t>147</w:t>
            </w:r>
          </w:p>
        </w:tc>
        <w:tc>
          <w:tcPr>
            <w:tcW w:w="42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149</w:t>
            </w:r>
          </w:p>
        </w:tc>
        <w:tc>
          <w:tcPr>
            <w:tcW w:w="4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148</w:t>
            </w:r>
          </w:p>
        </w:tc>
      </w:tr>
    </w:tbl>
    <w:p>
      <w:pPr>
        <w:spacing w:after="0" w:line="189" w:lineRule="exact"/>
        <w:rPr>
          <w:sz w:val="20"/>
          <w:szCs w:val="20"/>
          <w:color w:val="auto"/>
        </w:rPr>
      </w:pPr>
    </w:p>
    <w:p>
      <w:pPr>
        <w:jc w:val="both"/>
        <w:ind w:right="20"/>
        <w:spacing w:after="0" w:line="245" w:lineRule="auto"/>
        <w:rPr>
          <w:sz w:val="20"/>
          <w:szCs w:val="20"/>
          <w:color w:val="auto"/>
        </w:rPr>
      </w:pPr>
      <w:r>
        <w:rPr>
          <w:rFonts w:ascii="Arial" w:cs="Arial" w:eastAsia="Arial" w:hAnsi="Arial"/>
          <w:sz w:val="15"/>
          <w:szCs w:val="15"/>
          <w:color w:val="auto"/>
        </w:rPr>
        <w:t>The fair value of long-term debt is determined by using model-derived valuations in which all significant inputs or significant value drivers are observable in active markets and therefore are classified as Level 2. The carrying values of cash and cash equivalents, and other current receivables and payables approximate their fair value.</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9. Earnings Per Share</w:t>
      </w:r>
    </w:p>
    <w:p>
      <w:pPr>
        <w:spacing w:after="0" w:line="113" w:lineRule="exact"/>
        <w:rPr>
          <w:sz w:val="20"/>
          <w:szCs w:val="20"/>
          <w:color w:val="auto"/>
        </w:rPr>
      </w:pPr>
    </w:p>
    <w:p>
      <w:pPr>
        <w:jc w:val="both"/>
        <w:ind w:right="20"/>
        <w:spacing w:after="0" w:line="241" w:lineRule="auto"/>
        <w:rPr>
          <w:sz w:val="20"/>
          <w:szCs w:val="20"/>
          <w:color w:val="auto"/>
        </w:rPr>
      </w:pPr>
      <w:r>
        <w:rPr>
          <w:rFonts w:ascii="Arial" w:cs="Arial" w:eastAsia="Arial" w:hAnsi="Arial"/>
          <w:sz w:val="15"/>
          <w:szCs w:val="15"/>
          <w:color w:val="auto"/>
        </w:rPr>
        <w:t>The Company accounts for and discloses earnings per share using the treasury stock method. Basic earnings per share is computed by dividing net income for the period by the weighted-average number of common shares outstanding at the end of the period. Restricted stock awards, which contain non-forfeitable rights to dividends, are considered participating securities and are included in the calculation of basic earnings per share. Diluted earnings per share reflects the weighted-average number of common shares outstanding during the period used in the basic earnings per share computation plus dilutive common stock equivalents.</w:t>
      </w:r>
    </w:p>
    <w:p>
      <w:pPr>
        <w:spacing w:after="0" w:line="83" w:lineRule="exact"/>
        <w:rPr>
          <w:sz w:val="20"/>
          <w:szCs w:val="20"/>
          <w:color w:val="auto"/>
        </w:rPr>
      </w:pPr>
    </w:p>
    <w:p>
      <w:pPr>
        <w:spacing w:after="0"/>
        <w:rPr>
          <w:sz w:val="20"/>
          <w:szCs w:val="20"/>
          <w:color w:val="auto"/>
        </w:rPr>
      </w:pPr>
      <w:r>
        <w:rPr>
          <w:rFonts w:ascii="Arial" w:cs="Arial" w:eastAsia="Arial" w:hAnsi="Arial"/>
          <w:sz w:val="15"/>
          <w:szCs w:val="15"/>
          <w:color w:val="auto"/>
        </w:rPr>
        <w:t>The computation of basic and diluted earnings per share is as follows: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240" w:type="dxa"/>
            <w:vAlign w:val="bottom"/>
            <w:tcBorders>
              <w:bottom w:val="single" w:sz="8" w:color="auto"/>
            </w:tcBorders>
          </w:tcPr>
          <w:p>
            <w:pPr>
              <w:spacing w:after="0"/>
              <w:rPr>
                <w:sz w:val="18"/>
                <w:szCs w:val="18"/>
                <w:color w:val="auto"/>
              </w:rPr>
            </w:pPr>
          </w:p>
        </w:tc>
        <w:tc>
          <w:tcPr>
            <w:tcW w:w="3440" w:type="dxa"/>
            <w:vAlign w:val="bottom"/>
            <w:tcBorders>
              <w:bottom w:val="single" w:sz="8" w:color="auto"/>
            </w:tcBorders>
            <w:gridSpan w:val="3"/>
          </w:tcPr>
          <w:p>
            <w:pPr>
              <w:jc w:val="right"/>
              <w:ind w:right="523"/>
              <w:spacing w:after="0"/>
              <w:rPr>
                <w:sz w:val="20"/>
                <w:szCs w:val="20"/>
                <w:color w:val="auto"/>
              </w:rPr>
            </w:pPr>
            <w:r>
              <w:rPr>
                <w:rFonts w:ascii="Arial" w:cs="Arial" w:eastAsia="Arial" w:hAnsi="Arial"/>
                <w:sz w:val="15"/>
                <w:szCs w:val="15"/>
                <w:b w:val="1"/>
                <w:bCs w:val="1"/>
                <w:color w:val="auto"/>
              </w:rPr>
              <w:t>Thirteen weeks ended</w:t>
            </w:r>
          </w:p>
        </w:tc>
        <w:tc>
          <w:tcPr>
            <w:tcW w:w="4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46"/>
        </w:trPr>
        <w:tc>
          <w:tcPr>
            <w:tcW w:w="5240" w:type="dxa"/>
            <w:vAlign w:val="bottom"/>
          </w:tcPr>
          <w:p>
            <w:pPr>
              <w:spacing w:after="0"/>
              <w:rPr>
                <w:sz w:val="12"/>
                <w:szCs w:val="12"/>
                <w:color w:val="auto"/>
              </w:rPr>
            </w:pPr>
          </w:p>
        </w:tc>
        <w:tc>
          <w:tcPr>
            <w:tcW w:w="1600" w:type="dxa"/>
            <w:vAlign w:val="bottom"/>
          </w:tcPr>
          <w:p>
            <w:pPr>
              <w:jc w:val="right"/>
              <w:spacing w:after="0" w:line="146" w:lineRule="exact"/>
              <w:rPr>
                <w:sz w:val="20"/>
                <w:szCs w:val="20"/>
                <w:color w:val="auto"/>
              </w:rPr>
            </w:pPr>
            <w:r>
              <w:rPr>
                <w:rFonts w:ascii="Arial" w:cs="Arial" w:eastAsia="Arial" w:hAnsi="Arial"/>
                <w:sz w:val="15"/>
                <w:szCs w:val="15"/>
                <w:b w:val="1"/>
                <w:bCs w:val="1"/>
                <w:color w:val="auto"/>
              </w:rPr>
              <w:t>April 29,</w:t>
            </w:r>
          </w:p>
        </w:tc>
        <w:tc>
          <w:tcPr>
            <w:tcW w:w="620" w:type="dxa"/>
            <w:vAlign w:val="bottom"/>
          </w:tcPr>
          <w:p>
            <w:pPr>
              <w:spacing w:after="0"/>
              <w:rPr>
                <w:sz w:val="12"/>
                <w:szCs w:val="12"/>
                <w:color w:val="auto"/>
              </w:rPr>
            </w:pPr>
          </w:p>
        </w:tc>
        <w:tc>
          <w:tcPr>
            <w:tcW w:w="1220" w:type="dxa"/>
            <w:vAlign w:val="bottom"/>
          </w:tcPr>
          <w:p>
            <w:pPr>
              <w:jc w:val="right"/>
              <w:spacing w:after="0" w:line="146" w:lineRule="exact"/>
              <w:rPr>
                <w:sz w:val="20"/>
                <w:szCs w:val="20"/>
                <w:color w:val="auto"/>
              </w:rPr>
            </w:pPr>
            <w:r>
              <w:rPr>
                <w:rFonts w:ascii="Arial" w:cs="Arial" w:eastAsia="Arial" w:hAnsi="Arial"/>
                <w:sz w:val="15"/>
                <w:szCs w:val="15"/>
                <w:b w:val="1"/>
                <w:bCs w:val="1"/>
                <w:color w:val="auto"/>
              </w:rPr>
              <w:t>April 30,</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5"/>
        </w:trPr>
        <w:tc>
          <w:tcPr>
            <w:tcW w:w="52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rPr>
              <w:t>2017</w:t>
            </w:r>
          </w:p>
        </w:tc>
        <w:tc>
          <w:tcPr>
            <w:tcW w:w="6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rPr>
              <w:t>2016</w:t>
            </w:r>
          </w:p>
        </w:tc>
        <w:tc>
          <w:tcPr>
            <w:tcW w:w="4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87"/>
        </w:trPr>
        <w:tc>
          <w:tcPr>
            <w:tcW w:w="5240" w:type="dxa"/>
            <w:vAlign w:val="bottom"/>
          </w:tcPr>
          <w:p>
            <w:pPr>
              <w:spacing w:after="0"/>
              <w:rPr>
                <w:sz w:val="16"/>
                <w:szCs w:val="16"/>
                <w:color w:val="auto"/>
              </w:rPr>
            </w:pPr>
          </w:p>
        </w:tc>
        <w:tc>
          <w:tcPr>
            <w:tcW w:w="3440" w:type="dxa"/>
            <w:vAlign w:val="bottom"/>
            <w:gridSpan w:val="3"/>
          </w:tcPr>
          <w:p>
            <w:pPr>
              <w:jc w:val="right"/>
              <w:spacing w:after="0"/>
              <w:rPr>
                <w:sz w:val="20"/>
                <w:szCs w:val="20"/>
                <w:color w:val="auto"/>
              </w:rPr>
            </w:pPr>
            <w:r>
              <w:rPr>
                <w:rFonts w:ascii="Arial" w:cs="Arial" w:eastAsia="Arial" w:hAnsi="Arial"/>
                <w:sz w:val="15"/>
                <w:szCs w:val="15"/>
                <w:color w:val="auto"/>
              </w:rPr>
              <w:t>(in millions, except per share data)</w:t>
            </w: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8"/>
        </w:trPr>
        <w:tc>
          <w:tcPr>
            <w:tcW w:w="5240" w:type="dxa"/>
            <w:vAlign w:val="bottom"/>
            <w:shd w:val="clear" w:color="auto" w:fill="CCEEFF"/>
          </w:tcPr>
          <w:p>
            <w:pPr>
              <w:spacing w:after="0"/>
              <w:rPr>
                <w:sz w:val="20"/>
                <w:szCs w:val="20"/>
                <w:color w:val="auto"/>
              </w:rPr>
            </w:pPr>
            <w:r>
              <w:rPr>
                <w:rFonts w:ascii="Arial" w:cs="Arial" w:eastAsia="Arial" w:hAnsi="Arial"/>
                <w:sz w:val="15"/>
                <w:szCs w:val="15"/>
                <w:color w:val="auto"/>
              </w:rPr>
              <w:t>Net Income</w:t>
            </w:r>
          </w:p>
        </w:tc>
        <w:tc>
          <w:tcPr>
            <w:tcW w:w="1600" w:type="dxa"/>
            <w:vAlign w:val="bottom"/>
            <w:shd w:val="clear" w:color="auto" w:fill="CCEEFF"/>
          </w:tcPr>
          <w:p>
            <w:pPr>
              <w:jc w:val="right"/>
              <w:ind w:right="823"/>
              <w:spacing w:after="0"/>
              <w:rPr>
                <w:sz w:val="20"/>
                <w:szCs w:val="20"/>
                <w:color w:val="auto"/>
              </w:rPr>
            </w:pPr>
            <w:r>
              <w:rPr>
                <w:rFonts w:ascii="Arial" w:cs="Arial" w:eastAsia="Arial" w:hAnsi="Arial"/>
                <w:sz w:val="15"/>
                <w:szCs w:val="15"/>
                <w:b w:val="1"/>
                <w:bCs w:val="1"/>
                <w:color w:val="auto"/>
              </w:rPr>
              <w:t>$</w:t>
            </w:r>
          </w:p>
        </w:tc>
        <w:tc>
          <w:tcPr>
            <w:tcW w:w="62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180</w:t>
            </w:r>
          </w:p>
        </w:tc>
        <w:tc>
          <w:tcPr>
            <w:tcW w:w="1220" w:type="dxa"/>
            <w:vAlign w:val="bottom"/>
            <w:shd w:val="clear" w:color="auto" w:fill="CCEEFF"/>
          </w:tcPr>
          <w:p>
            <w:pPr>
              <w:jc w:val="right"/>
              <w:ind w:right="823"/>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191</w:t>
            </w:r>
          </w:p>
        </w:tc>
        <w:tc>
          <w:tcPr>
            <w:tcW w:w="20" w:type="dxa"/>
            <w:vAlign w:val="bottom"/>
          </w:tcPr>
          <w:p>
            <w:pPr>
              <w:spacing w:after="0"/>
              <w:rPr>
                <w:sz w:val="18"/>
                <w:szCs w:val="18"/>
                <w:color w:val="auto"/>
              </w:rPr>
            </w:pPr>
          </w:p>
        </w:tc>
      </w:tr>
      <w:tr>
        <w:trPr>
          <w:trHeight w:val="195"/>
        </w:trPr>
        <w:tc>
          <w:tcPr>
            <w:tcW w:w="52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7"/>
        </w:trPr>
        <w:tc>
          <w:tcPr>
            <w:tcW w:w="5240" w:type="dxa"/>
            <w:vAlign w:val="bottom"/>
            <w:shd w:val="clear" w:color="auto" w:fill="CCEEFF"/>
          </w:tcPr>
          <w:p>
            <w:pPr>
              <w:spacing w:after="0"/>
              <w:rPr>
                <w:sz w:val="20"/>
                <w:szCs w:val="20"/>
                <w:color w:val="auto"/>
              </w:rPr>
            </w:pPr>
            <w:r>
              <w:rPr>
                <w:rFonts w:ascii="Arial" w:cs="Arial" w:eastAsia="Arial" w:hAnsi="Arial"/>
                <w:sz w:val="15"/>
                <w:szCs w:val="15"/>
                <w:color w:val="auto"/>
              </w:rPr>
              <w:t>Weighted-average common shares outstanding</w:t>
            </w:r>
          </w:p>
        </w:tc>
        <w:tc>
          <w:tcPr>
            <w:tcW w:w="16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131.4</w:t>
            </w:r>
          </w:p>
        </w:tc>
        <w:tc>
          <w:tcPr>
            <w:tcW w:w="122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136.5</w:t>
            </w:r>
          </w:p>
        </w:tc>
        <w:tc>
          <w:tcPr>
            <w:tcW w:w="20" w:type="dxa"/>
            <w:vAlign w:val="bottom"/>
          </w:tcPr>
          <w:p>
            <w:pPr>
              <w:spacing w:after="0"/>
              <w:rPr>
                <w:sz w:val="17"/>
                <w:szCs w:val="17"/>
                <w:color w:val="auto"/>
              </w:rPr>
            </w:pPr>
          </w:p>
        </w:tc>
      </w:tr>
      <w:tr>
        <w:trPr>
          <w:trHeight w:val="207"/>
        </w:trPr>
        <w:tc>
          <w:tcPr>
            <w:tcW w:w="52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Dilutive effect of potential common shares</w:t>
            </w:r>
          </w:p>
        </w:tc>
        <w:tc>
          <w:tcPr>
            <w:tcW w:w="16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b w:val="1"/>
                <w:bCs w:val="1"/>
                <w:color w:val="auto"/>
              </w:rPr>
              <w:t>1.2</w:t>
            </w:r>
          </w:p>
        </w:tc>
        <w:tc>
          <w:tcPr>
            <w:tcW w:w="12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w:t>
            </w:r>
          </w:p>
        </w:tc>
        <w:tc>
          <w:tcPr>
            <w:tcW w:w="20" w:type="dxa"/>
            <w:vAlign w:val="bottom"/>
          </w:tcPr>
          <w:p>
            <w:pPr>
              <w:spacing w:after="0"/>
              <w:rPr>
                <w:sz w:val="17"/>
                <w:szCs w:val="17"/>
                <w:color w:val="auto"/>
              </w:rPr>
            </w:pPr>
          </w:p>
        </w:tc>
      </w:tr>
      <w:tr>
        <w:trPr>
          <w:trHeight w:val="203"/>
        </w:trPr>
        <w:tc>
          <w:tcPr>
            <w:tcW w:w="5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Weighted-average common shares outstanding assuming dilution</w:t>
            </w:r>
          </w:p>
        </w:tc>
        <w:tc>
          <w:tcPr>
            <w:tcW w:w="16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132.6</w:t>
            </w:r>
          </w:p>
        </w:tc>
        <w:tc>
          <w:tcPr>
            <w:tcW w:w="122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137.8</w:t>
            </w:r>
          </w:p>
        </w:tc>
        <w:tc>
          <w:tcPr>
            <w:tcW w:w="20" w:type="dxa"/>
            <w:vAlign w:val="bottom"/>
          </w:tcPr>
          <w:p>
            <w:pPr>
              <w:spacing w:after="0"/>
              <w:rPr>
                <w:sz w:val="17"/>
                <w:szCs w:val="17"/>
                <w:color w:val="auto"/>
              </w:rPr>
            </w:pPr>
          </w:p>
        </w:tc>
      </w:tr>
      <w:tr>
        <w:trPr>
          <w:trHeight w:val="182"/>
        </w:trPr>
        <w:tc>
          <w:tcPr>
            <w:tcW w:w="52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7"/>
        </w:trPr>
        <w:tc>
          <w:tcPr>
            <w:tcW w:w="5240" w:type="dxa"/>
            <w:vAlign w:val="bottom"/>
            <w:shd w:val="clear" w:color="auto" w:fill="CCEEFF"/>
          </w:tcPr>
          <w:p>
            <w:pPr>
              <w:spacing w:after="0"/>
              <w:rPr>
                <w:sz w:val="20"/>
                <w:szCs w:val="20"/>
                <w:color w:val="auto"/>
              </w:rPr>
            </w:pPr>
            <w:r>
              <w:rPr>
                <w:rFonts w:ascii="Arial" w:cs="Arial" w:eastAsia="Arial" w:hAnsi="Arial"/>
                <w:sz w:val="15"/>
                <w:szCs w:val="15"/>
                <w:color w:val="auto"/>
              </w:rPr>
              <w:t>Earnings per share - basic</w:t>
            </w:r>
          </w:p>
        </w:tc>
        <w:tc>
          <w:tcPr>
            <w:tcW w:w="1600" w:type="dxa"/>
            <w:vAlign w:val="bottom"/>
            <w:shd w:val="clear" w:color="auto" w:fill="CCEEFF"/>
          </w:tcPr>
          <w:p>
            <w:pPr>
              <w:jc w:val="right"/>
              <w:ind w:right="823"/>
              <w:spacing w:after="0"/>
              <w:rPr>
                <w:sz w:val="20"/>
                <w:szCs w:val="20"/>
                <w:color w:val="auto"/>
              </w:rPr>
            </w:pPr>
            <w:r>
              <w:rPr>
                <w:rFonts w:ascii="Arial" w:cs="Arial" w:eastAsia="Arial" w:hAnsi="Arial"/>
                <w:sz w:val="15"/>
                <w:szCs w:val="15"/>
                <w:b w:val="1"/>
                <w:bCs w:val="1"/>
                <w:color w:val="auto"/>
              </w:rPr>
              <w:t>$</w:t>
            </w:r>
          </w:p>
        </w:tc>
        <w:tc>
          <w:tcPr>
            <w:tcW w:w="62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1.37</w:t>
            </w:r>
          </w:p>
        </w:tc>
        <w:tc>
          <w:tcPr>
            <w:tcW w:w="1220" w:type="dxa"/>
            <w:vAlign w:val="bottom"/>
            <w:shd w:val="clear" w:color="auto" w:fill="CCEEFF"/>
          </w:tcPr>
          <w:p>
            <w:pPr>
              <w:jc w:val="right"/>
              <w:ind w:right="823"/>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1.40</w:t>
            </w:r>
          </w:p>
        </w:tc>
        <w:tc>
          <w:tcPr>
            <w:tcW w:w="20" w:type="dxa"/>
            <w:vAlign w:val="bottom"/>
          </w:tcPr>
          <w:p>
            <w:pPr>
              <w:spacing w:after="0"/>
              <w:rPr>
                <w:sz w:val="17"/>
                <w:szCs w:val="17"/>
                <w:color w:val="auto"/>
              </w:rPr>
            </w:pPr>
          </w:p>
        </w:tc>
      </w:tr>
      <w:tr>
        <w:trPr>
          <w:trHeight w:val="207"/>
        </w:trPr>
        <w:tc>
          <w:tcPr>
            <w:tcW w:w="5240" w:type="dxa"/>
            <w:vAlign w:val="bottom"/>
          </w:tcPr>
          <w:p>
            <w:pPr>
              <w:spacing w:after="0"/>
              <w:rPr>
                <w:sz w:val="20"/>
                <w:szCs w:val="20"/>
                <w:color w:val="auto"/>
              </w:rPr>
            </w:pPr>
            <w:r>
              <w:rPr>
                <w:rFonts w:ascii="Arial" w:cs="Arial" w:eastAsia="Arial" w:hAnsi="Arial"/>
                <w:sz w:val="15"/>
                <w:szCs w:val="15"/>
                <w:color w:val="auto"/>
              </w:rPr>
              <w:t>Earnings per share - diluted</w:t>
            </w:r>
          </w:p>
        </w:tc>
        <w:tc>
          <w:tcPr>
            <w:tcW w:w="1600" w:type="dxa"/>
            <w:vAlign w:val="bottom"/>
          </w:tcPr>
          <w:p>
            <w:pPr>
              <w:jc w:val="right"/>
              <w:ind w:right="823"/>
              <w:spacing w:after="0"/>
              <w:rPr>
                <w:sz w:val="20"/>
                <w:szCs w:val="20"/>
                <w:color w:val="auto"/>
              </w:rPr>
            </w:pPr>
            <w:r>
              <w:rPr>
                <w:rFonts w:ascii="Arial" w:cs="Arial" w:eastAsia="Arial" w:hAnsi="Arial"/>
                <w:sz w:val="15"/>
                <w:szCs w:val="15"/>
                <w:b w:val="1"/>
                <w:bCs w:val="1"/>
                <w:color w:val="auto"/>
              </w:rPr>
              <w:t>$</w:t>
            </w:r>
          </w:p>
        </w:tc>
        <w:tc>
          <w:tcPr>
            <w:tcW w:w="620" w:type="dxa"/>
            <w:vAlign w:val="bottom"/>
          </w:tcPr>
          <w:p>
            <w:pPr>
              <w:jc w:val="right"/>
              <w:ind w:right="143"/>
              <w:spacing w:after="0"/>
              <w:rPr>
                <w:sz w:val="20"/>
                <w:szCs w:val="20"/>
                <w:color w:val="auto"/>
              </w:rPr>
            </w:pPr>
            <w:r>
              <w:rPr>
                <w:rFonts w:ascii="Arial" w:cs="Arial" w:eastAsia="Arial" w:hAnsi="Arial"/>
                <w:sz w:val="15"/>
                <w:szCs w:val="15"/>
                <w:b w:val="1"/>
                <w:bCs w:val="1"/>
                <w:color w:val="auto"/>
              </w:rPr>
              <w:t>1.36</w:t>
            </w:r>
          </w:p>
        </w:tc>
        <w:tc>
          <w:tcPr>
            <w:tcW w:w="1220" w:type="dxa"/>
            <w:vAlign w:val="bottom"/>
          </w:tcPr>
          <w:p>
            <w:pPr>
              <w:jc w:val="right"/>
              <w:ind w:right="823"/>
              <w:spacing w:after="0"/>
              <w:rPr>
                <w:sz w:val="20"/>
                <w:szCs w:val="20"/>
                <w:color w:val="auto"/>
              </w:rPr>
            </w:pPr>
            <w:r>
              <w:rPr>
                <w:rFonts w:ascii="Arial" w:cs="Arial" w:eastAsia="Arial" w:hAnsi="Arial"/>
                <w:sz w:val="15"/>
                <w:szCs w:val="15"/>
                <w:color w:val="auto"/>
              </w:rPr>
              <w:t>$</w:t>
            </w:r>
          </w:p>
        </w:tc>
        <w:tc>
          <w:tcPr>
            <w:tcW w:w="420" w:type="dxa"/>
            <w:vAlign w:val="bottom"/>
          </w:tcPr>
          <w:p>
            <w:pPr>
              <w:jc w:val="right"/>
              <w:spacing w:after="0"/>
              <w:rPr>
                <w:sz w:val="20"/>
                <w:szCs w:val="20"/>
                <w:color w:val="auto"/>
              </w:rPr>
            </w:pPr>
            <w:r>
              <w:rPr>
                <w:rFonts w:ascii="Arial" w:cs="Arial" w:eastAsia="Arial" w:hAnsi="Arial"/>
                <w:sz w:val="15"/>
                <w:szCs w:val="15"/>
                <w:color w:val="auto"/>
              </w:rPr>
              <w:t>1.39</w:t>
            </w:r>
          </w:p>
        </w:tc>
        <w:tc>
          <w:tcPr>
            <w:tcW w:w="20" w:type="dxa"/>
            <w:vAlign w:val="bottom"/>
          </w:tcPr>
          <w:p>
            <w:pPr>
              <w:spacing w:after="0"/>
              <w:rPr>
                <w:sz w:val="17"/>
                <w:szCs w:val="17"/>
                <w:color w:val="auto"/>
              </w:rPr>
            </w:pPr>
          </w:p>
        </w:tc>
      </w:tr>
      <w:tr>
        <w:trPr>
          <w:trHeight w:val="195"/>
        </w:trPr>
        <w:tc>
          <w:tcPr>
            <w:tcW w:w="524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19"/>
        </w:trPr>
        <w:tc>
          <w:tcPr>
            <w:tcW w:w="52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Anti-dilutive share-based awards excluded from diluted calculation</w:t>
            </w:r>
          </w:p>
        </w:tc>
        <w:tc>
          <w:tcPr>
            <w:tcW w:w="16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b w:val="1"/>
                <w:bCs w:val="1"/>
                <w:color w:val="auto"/>
              </w:rPr>
              <w:t>0.2</w:t>
            </w:r>
          </w:p>
        </w:tc>
        <w:tc>
          <w:tcPr>
            <w:tcW w:w="12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0.2</w:t>
            </w:r>
          </w:p>
        </w:tc>
        <w:tc>
          <w:tcPr>
            <w:tcW w:w="20" w:type="dxa"/>
            <w:vAlign w:val="bottom"/>
          </w:tcPr>
          <w:p>
            <w:pPr>
              <w:spacing w:after="0"/>
              <w:rPr>
                <w:sz w:val="19"/>
                <w:szCs w:val="19"/>
                <w:color w:val="auto"/>
              </w:rPr>
            </w:pPr>
          </w:p>
        </w:tc>
      </w:tr>
      <w:tr>
        <w:trPr>
          <w:trHeight w:val="731"/>
        </w:trPr>
        <w:tc>
          <w:tcPr>
            <w:tcW w:w="5240" w:type="dxa"/>
            <w:vAlign w:val="bottom"/>
          </w:tcPr>
          <w:p>
            <w:pPr>
              <w:ind w:left="4460"/>
              <w:spacing w:after="0"/>
              <w:rPr>
                <w:sz w:val="20"/>
                <w:szCs w:val="20"/>
                <w:color w:val="auto"/>
              </w:rPr>
            </w:pPr>
            <w:r>
              <w:rPr>
                <w:rFonts w:ascii="Arial" w:cs="Arial" w:eastAsia="Arial" w:hAnsi="Arial"/>
                <w:sz w:val="15"/>
                <w:szCs w:val="15"/>
                <w:color w:val="auto"/>
              </w:rPr>
              <w:t>11</w:t>
            </w:r>
          </w:p>
        </w:tc>
        <w:tc>
          <w:tcPr>
            <w:tcW w:w="1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8"/>
        </w:trPr>
        <w:tc>
          <w:tcPr>
            <w:tcW w:w="5240" w:type="dxa"/>
            <w:vAlign w:val="bottom"/>
            <w:tcBorders>
              <w:bottom w:val="single" w:sz="8" w:color="9A9A9A"/>
            </w:tcBorders>
          </w:tcPr>
          <w:p>
            <w:pPr>
              <w:spacing w:after="0"/>
              <w:rPr>
                <w:sz w:val="7"/>
                <w:szCs w:val="7"/>
                <w:color w:val="auto"/>
              </w:rPr>
            </w:pPr>
          </w:p>
        </w:tc>
        <w:tc>
          <w:tcPr>
            <w:tcW w:w="160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r>
        <w:trPr>
          <w:trHeight w:val="20"/>
        </w:trPr>
        <w:tc>
          <w:tcPr>
            <w:tcW w:w="5240" w:type="dxa"/>
            <w:vAlign w:val="bottom"/>
            <w:tcBorders>
              <w:bottom w:val="single" w:sz="8" w:color="EEEEEE"/>
            </w:tcBorders>
          </w:tcPr>
          <w:p>
            <w:pPr>
              <w:spacing w:after="0" w:line="20" w:lineRule="exact"/>
              <w:rPr>
                <w:sz w:val="1"/>
                <w:szCs w:val="1"/>
                <w:color w:val="auto"/>
              </w:rPr>
            </w:pPr>
          </w:p>
        </w:tc>
        <w:tc>
          <w:tcPr>
            <w:tcW w:w="1600" w:type="dxa"/>
            <w:vAlign w:val="bottom"/>
            <w:tcBorders>
              <w:bottom w:val="single" w:sz="8" w:color="EEEEEE"/>
            </w:tcBorders>
          </w:tcPr>
          <w:p>
            <w:pPr>
              <w:spacing w:after="0" w:line="20" w:lineRule="exact"/>
              <w:rPr>
                <w:sz w:val="1"/>
                <w:szCs w:val="1"/>
                <w:color w:val="auto"/>
              </w:rPr>
            </w:pPr>
          </w:p>
        </w:tc>
        <w:tc>
          <w:tcPr>
            <w:tcW w:w="620" w:type="dxa"/>
            <w:vAlign w:val="bottom"/>
            <w:tcBorders>
              <w:bottom w:val="single" w:sz="8" w:color="EEEEEE"/>
            </w:tcBorders>
          </w:tcPr>
          <w:p>
            <w:pPr>
              <w:spacing w:after="0" w:line="20" w:lineRule="exact"/>
              <w:rPr>
                <w:sz w:val="1"/>
                <w:szCs w:val="1"/>
                <w:color w:val="auto"/>
              </w:rPr>
            </w:pPr>
          </w:p>
        </w:tc>
        <w:tc>
          <w:tcPr>
            <w:tcW w:w="122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5775325</wp:posOffset>
            </wp:positionH>
            <wp:positionV relativeFrom="paragraph">
              <wp:posOffset>-34925</wp:posOffset>
            </wp:positionV>
            <wp:extent cx="33020" cy="482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020" cy="4826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-34925</wp:posOffset>
            </wp:positionV>
            <wp:extent cx="33020" cy="482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020" cy="48260"/>
                    </a:xfrm>
                    <a:prstGeom prst="rect">
                      <a:avLst/>
                    </a:prstGeom>
                    <a:noFill/>
                  </pic:spPr>
                </pic:pic>
              </a:graphicData>
            </a:graphic>
          </wp:anchor>
        </w:drawing>
      </w:r>
    </w:p>
    <w:p>
      <w:pPr>
        <w:sectPr>
          <w:pgSz w:w="11900" w:h="16838" w:orient="portrait"/>
          <w:cols w:equalWidth="0" w:num="1">
            <w:col w:w="9120"/>
          </w:cols>
          <w:pgMar w:left="1400" w:top="116" w:right="1379" w:bottom="1440" w:gutter="0" w:footer="0" w:header="0"/>
        </w:sectPr>
      </w:pPr>
    </w:p>
    <w:bookmarkStart w:id="13" w:name="page14"/>
    <w:bookmarkEnd w:id="13"/>
    <w:p>
      <w:pPr>
        <w:jc w:val="center"/>
        <w:ind w:right="20"/>
        <w:spacing w:after="0"/>
        <w:rPr>
          <w:sz w:val="20"/>
          <w:szCs w:val="20"/>
          <w:color w:val="auto"/>
        </w:rPr>
      </w:pPr>
      <w:r>
        <w:rPr>
          <w:rFonts w:ascii="Arial" w:cs="Arial" w:eastAsia="Arial" w:hAnsi="Arial"/>
          <w:sz w:val="15"/>
          <w:szCs w:val="15"/>
          <w:b w:val="1"/>
          <w:bCs w:val="1"/>
          <w:color w:val="auto"/>
        </w:rPr>
        <w:t>FOOT LOCKER, INC.</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NOTES TO CONDENSED CONSOLIDATED FINANCIAL STATEMENTS</w:t>
      </w:r>
    </w:p>
    <w:p>
      <w:pPr>
        <w:spacing w:after="0" w:line="192" w:lineRule="exact"/>
        <w:rPr>
          <w:sz w:val="20"/>
          <w:szCs w:val="20"/>
          <w:color w:val="auto"/>
        </w:rPr>
      </w:pPr>
    </w:p>
    <w:p>
      <w:pPr>
        <w:jc w:val="both"/>
        <w:ind w:right="20"/>
        <w:spacing w:after="0" w:line="254" w:lineRule="auto"/>
        <w:rPr>
          <w:sz w:val="20"/>
          <w:szCs w:val="20"/>
          <w:color w:val="auto"/>
        </w:rPr>
      </w:pPr>
      <w:r>
        <w:rPr>
          <w:rFonts w:ascii="Arial" w:cs="Arial" w:eastAsia="Arial" w:hAnsi="Arial"/>
          <w:sz w:val="15"/>
          <w:szCs w:val="15"/>
          <w:color w:val="auto"/>
        </w:rPr>
        <w:t>The Company adopted ASU 2016-09 during the first quarter of 2017. As a result, excess tax benefits and tax deficiencies are no longer included as assumed proceeds in the calculation of diluted shares outstanding. This change was adopted prospectively.</w:t>
      </w:r>
    </w:p>
    <w:p>
      <w:pPr>
        <w:spacing w:after="0" w:line="146" w:lineRule="exact"/>
        <w:rPr>
          <w:sz w:val="20"/>
          <w:szCs w:val="20"/>
          <w:color w:val="auto"/>
        </w:rPr>
      </w:pPr>
    </w:p>
    <w:p>
      <w:pPr>
        <w:jc w:val="both"/>
        <w:ind w:right="20"/>
        <w:spacing w:after="0" w:line="245" w:lineRule="auto"/>
        <w:rPr>
          <w:sz w:val="20"/>
          <w:szCs w:val="20"/>
          <w:color w:val="auto"/>
        </w:rPr>
      </w:pPr>
      <w:r>
        <w:rPr>
          <w:rFonts w:ascii="Arial" w:cs="Arial" w:eastAsia="Arial" w:hAnsi="Arial"/>
          <w:sz w:val="15"/>
          <w:szCs w:val="15"/>
          <w:color w:val="auto"/>
        </w:rPr>
        <w:t>Contingently issuable shares of 0.4 million and 0.3 million have not been included as the vesting conditions have not been satisfied as of April 29, 2017 and April 30, 2016, respectively. These shares relate to RSU awards issued in connection with the Company’s long-term incentive program.</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10. Pension and Postretirement Plans</w:t>
      </w:r>
    </w:p>
    <w:p>
      <w:pPr>
        <w:spacing w:after="0" w:line="186" w:lineRule="exact"/>
        <w:rPr>
          <w:sz w:val="20"/>
          <w:szCs w:val="20"/>
          <w:color w:val="auto"/>
        </w:rPr>
      </w:pPr>
    </w:p>
    <w:p>
      <w:pPr>
        <w:jc w:val="both"/>
        <w:ind w:right="20"/>
        <w:spacing w:after="0" w:line="245" w:lineRule="auto"/>
        <w:rPr>
          <w:sz w:val="20"/>
          <w:szCs w:val="20"/>
          <w:color w:val="auto"/>
        </w:rPr>
      </w:pPr>
      <w:r>
        <w:rPr>
          <w:rFonts w:ascii="Arial" w:cs="Arial" w:eastAsia="Arial" w:hAnsi="Arial"/>
          <w:sz w:val="15"/>
          <w:szCs w:val="15"/>
          <w:color w:val="auto"/>
        </w:rPr>
        <w:t>The Company has defined benefit pension plans covering certain of its North American employees, which are funded in accordance with the provisions of the laws where the plans are in effect. The Company also has a defined benefit pension plan covering certain employees of the Runners Point Group.</w:t>
      </w:r>
    </w:p>
    <w:p>
      <w:pPr>
        <w:spacing w:after="0" w:line="153" w:lineRule="exact"/>
        <w:rPr>
          <w:sz w:val="20"/>
          <w:szCs w:val="20"/>
          <w:color w:val="auto"/>
        </w:rPr>
      </w:pPr>
    </w:p>
    <w:p>
      <w:pPr>
        <w:jc w:val="both"/>
        <w:ind w:right="20"/>
        <w:spacing w:after="0" w:line="254" w:lineRule="auto"/>
        <w:rPr>
          <w:sz w:val="20"/>
          <w:szCs w:val="20"/>
          <w:color w:val="auto"/>
        </w:rPr>
      </w:pPr>
      <w:r>
        <w:rPr>
          <w:rFonts w:ascii="Arial" w:cs="Arial" w:eastAsia="Arial" w:hAnsi="Arial"/>
          <w:sz w:val="15"/>
          <w:szCs w:val="15"/>
          <w:color w:val="auto"/>
        </w:rPr>
        <w:t>In addition to providing pension benefits, the Company sponsors postretirement medical and life insurance plans, which are available to most of its retired U.S. employees. These medical and life insurance plans are contributory and are not funded.</w:t>
      </w:r>
    </w:p>
    <w:p>
      <w:pPr>
        <w:spacing w:after="0" w:line="146" w:lineRule="exact"/>
        <w:rPr>
          <w:sz w:val="20"/>
          <w:szCs w:val="20"/>
          <w:color w:val="auto"/>
        </w:rPr>
      </w:pPr>
    </w:p>
    <w:p>
      <w:pPr>
        <w:jc w:val="both"/>
        <w:ind w:right="20"/>
        <w:spacing w:after="0" w:line="254" w:lineRule="auto"/>
        <w:rPr>
          <w:sz w:val="20"/>
          <w:szCs w:val="20"/>
          <w:color w:val="auto"/>
        </w:rPr>
      </w:pPr>
      <w:r>
        <w:rPr>
          <w:rFonts w:ascii="Arial" w:cs="Arial" w:eastAsia="Arial" w:hAnsi="Arial"/>
          <w:sz w:val="15"/>
          <w:szCs w:val="15"/>
          <w:color w:val="auto"/>
        </w:rPr>
        <w:t>The following are the components of net periodic pension benefit cost and net periodic postretirement benefit income, which are recognized as part of SG&amp;A expense:</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90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3"/>
          </w:tcPr>
          <w:p>
            <w:pPr>
              <w:jc w:val="right"/>
              <w:ind w:right="403"/>
              <w:spacing w:after="0"/>
              <w:rPr>
                <w:sz w:val="20"/>
                <w:szCs w:val="20"/>
                <w:color w:val="auto"/>
              </w:rPr>
            </w:pPr>
            <w:r>
              <w:rPr>
                <w:rFonts w:ascii="Arial" w:cs="Arial" w:eastAsia="Arial" w:hAnsi="Arial"/>
                <w:sz w:val="15"/>
                <w:szCs w:val="15"/>
                <w:b w:val="1"/>
                <w:bCs w:val="1"/>
                <w:color w:val="auto"/>
              </w:rPr>
              <w:t>Pension Benefits</w:t>
            </w:r>
          </w:p>
        </w:tc>
        <w:tc>
          <w:tcPr>
            <w:tcW w:w="4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3"/>
          </w:tcPr>
          <w:p>
            <w:pPr>
              <w:ind w:left="200"/>
              <w:spacing w:after="0"/>
              <w:rPr>
                <w:sz w:val="20"/>
                <w:szCs w:val="20"/>
                <w:color w:val="auto"/>
              </w:rPr>
            </w:pPr>
            <w:r>
              <w:rPr>
                <w:rFonts w:ascii="Arial" w:cs="Arial" w:eastAsia="Arial" w:hAnsi="Arial"/>
                <w:sz w:val="15"/>
                <w:szCs w:val="15"/>
                <w:b w:val="1"/>
                <w:bCs w:val="1"/>
                <w:color w:val="auto"/>
              </w:rPr>
              <w:t>Postretirement Benefits</w:t>
            </w:r>
          </w:p>
        </w:tc>
        <w:tc>
          <w:tcPr>
            <w:tcW w:w="20" w:type="dxa"/>
            <w:vAlign w:val="bottom"/>
          </w:tcPr>
          <w:p>
            <w:pPr>
              <w:spacing w:after="0"/>
              <w:rPr>
                <w:sz w:val="16"/>
                <w:szCs w:val="16"/>
                <w:color w:val="auto"/>
              </w:rPr>
            </w:pPr>
          </w:p>
        </w:tc>
      </w:tr>
      <w:tr>
        <w:trPr>
          <w:trHeight w:val="187"/>
        </w:trPr>
        <w:tc>
          <w:tcPr>
            <w:tcW w:w="2900" w:type="dxa"/>
            <w:vAlign w:val="bottom"/>
          </w:tcPr>
          <w:p>
            <w:pPr>
              <w:spacing w:after="0"/>
              <w:rPr>
                <w:sz w:val="16"/>
                <w:szCs w:val="16"/>
                <w:color w:val="auto"/>
              </w:rPr>
            </w:pPr>
          </w:p>
        </w:tc>
        <w:tc>
          <w:tcPr>
            <w:tcW w:w="3060" w:type="dxa"/>
            <w:vAlign w:val="bottom"/>
            <w:gridSpan w:val="3"/>
          </w:tcPr>
          <w:p>
            <w:pPr>
              <w:jc w:val="right"/>
              <w:ind w:right="223"/>
              <w:spacing w:after="0"/>
              <w:rPr>
                <w:sz w:val="20"/>
                <w:szCs w:val="20"/>
                <w:color w:val="auto"/>
              </w:rPr>
            </w:pPr>
            <w:r>
              <w:rPr>
                <w:rFonts w:ascii="Arial" w:cs="Arial" w:eastAsia="Arial" w:hAnsi="Arial"/>
                <w:sz w:val="15"/>
                <w:szCs w:val="15"/>
                <w:b w:val="1"/>
                <w:bCs w:val="1"/>
                <w:color w:val="auto"/>
              </w:rPr>
              <w:t>Thirteen weeks ended</w:t>
            </w: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40" w:type="dxa"/>
            <w:vAlign w:val="bottom"/>
            <w:gridSpan w:val="4"/>
          </w:tcPr>
          <w:p>
            <w:pPr>
              <w:ind w:left="260"/>
              <w:spacing w:after="0"/>
              <w:rPr>
                <w:sz w:val="20"/>
                <w:szCs w:val="20"/>
                <w:color w:val="auto"/>
              </w:rPr>
            </w:pPr>
            <w:r>
              <w:rPr>
                <w:rFonts w:ascii="Arial" w:cs="Arial" w:eastAsia="Arial" w:hAnsi="Arial"/>
                <w:sz w:val="15"/>
                <w:szCs w:val="15"/>
                <w:b w:val="1"/>
                <w:bCs w:val="1"/>
                <w:color w:val="auto"/>
              </w:rPr>
              <w:t>Thirteen weeks ended</w:t>
            </w:r>
          </w:p>
        </w:tc>
      </w:tr>
      <w:tr>
        <w:trPr>
          <w:trHeight w:val="139"/>
        </w:trPr>
        <w:tc>
          <w:tcPr>
            <w:tcW w:w="290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tcPr>
          <w:p>
            <w:pPr>
              <w:jc w:val="right"/>
              <w:ind w:right="3"/>
              <w:spacing w:after="0" w:line="139" w:lineRule="exact"/>
              <w:rPr>
                <w:sz w:val="20"/>
                <w:szCs w:val="20"/>
                <w:color w:val="auto"/>
              </w:rPr>
            </w:pPr>
            <w:r>
              <w:rPr>
                <w:rFonts w:ascii="Arial" w:cs="Arial" w:eastAsia="Arial" w:hAnsi="Arial"/>
                <w:sz w:val="15"/>
                <w:szCs w:val="15"/>
                <w:b w:val="1"/>
                <w:bCs w:val="1"/>
                <w:color w:val="auto"/>
              </w:rPr>
              <w:t>April 29,</w:t>
            </w:r>
          </w:p>
        </w:tc>
        <w:tc>
          <w:tcPr>
            <w:tcW w:w="3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5"/>
                <w:szCs w:val="15"/>
                <w:b w:val="1"/>
                <w:bCs w:val="1"/>
                <w:color w:val="auto"/>
              </w:rPr>
              <w:t>April 30,</w:t>
            </w:r>
          </w:p>
        </w:tc>
        <w:tc>
          <w:tcPr>
            <w:tcW w:w="4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ind w:left="40"/>
              <w:spacing w:after="0" w:line="139" w:lineRule="exact"/>
              <w:rPr>
                <w:sz w:val="20"/>
                <w:szCs w:val="20"/>
                <w:color w:val="auto"/>
              </w:rPr>
            </w:pPr>
            <w:r>
              <w:rPr>
                <w:rFonts w:ascii="Arial" w:cs="Arial" w:eastAsia="Arial" w:hAnsi="Arial"/>
                <w:sz w:val="15"/>
                <w:szCs w:val="15"/>
                <w:b w:val="1"/>
                <w:bCs w:val="1"/>
                <w:color w:val="auto"/>
              </w:rPr>
              <w:t>April 29,</w:t>
            </w:r>
          </w:p>
        </w:tc>
        <w:tc>
          <w:tcPr>
            <w:tcW w:w="2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263"/>
              <w:spacing w:after="0" w:line="139" w:lineRule="exact"/>
              <w:rPr>
                <w:sz w:val="20"/>
                <w:szCs w:val="20"/>
                <w:color w:val="auto"/>
              </w:rPr>
            </w:pPr>
            <w:r>
              <w:rPr>
                <w:rFonts w:ascii="Arial" w:cs="Arial" w:eastAsia="Arial" w:hAnsi="Arial"/>
                <w:sz w:val="15"/>
                <w:szCs w:val="15"/>
                <w:b w:val="1"/>
                <w:bCs w:val="1"/>
                <w:color w:val="auto"/>
              </w:rPr>
              <w:t>April 30,</w:t>
            </w:r>
          </w:p>
        </w:tc>
        <w:tc>
          <w:tcPr>
            <w:tcW w:w="20" w:type="dxa"/>
            <w:vAlign w:val="bottom"/>
          </w:tcPr>
          <w:p>
            <w:pPr>
              <w:spacing w:after="0"/>
              <w:rPr>
                <w:sz w:val="12"/>
                <w:szCs w:val="12"/>
                <w:color w:val="auto"/>
              </w:rPr>
            </w:pPr>
          </w:p>
        </w:tc>
      </w:tr>
      <w:tr>
        <w:trPr>
          <w:trHeight w:val="194"/>
        </w:trPr>
        <w:tc>
          <w:tcPr>
            <w:tcW w:w="29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 in millions)</w:t>
            </w:r>
          </w:p>
        </w:tc>
        <w:tc>
          <w:tcPr>
            <w:tcW w:w="162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b w:val="1"/>
                <w:bCs w:val="1"/>
                <w:color w:val="auto"/>
              </w:rPr>
              <w:t>2017</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b w:val="1"/>
                <w:bCs w:val="1"/>
                <w:color w:val="auto"/>
              </w:rPr>
              <w:t>2016</w:t>
            </w:r>
          </w:p>
        </w:tc>
        <w:tc>
          <w:tcPr>
            <w:tcW w:w="4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180"/>
              <w:spacing w:after="0"/>
              <w:rPr>
                <w:sz w:val="20"/>
                <w:szCs w:val="20"/>
                <w:color w:val="auto"/>
              </w:rPr>
            </w:pPr>
            <w:r>
              <w:rPr>
                <w:rFonts w:ascii="Arial" w:cs="Arial" w:eastAsia="Arial" w:hAnsi="Arial"/>
                <w:sz w:val="15"/>
                <w:szCs w:val="15"/>
                <w:b w:val="1"/>
                <w:bCs w:val="1"/>
                <w:color w:val="auto"/>
              </w:rPr>
              <w:t>2017</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b w:val="1"/>
                <w:bCs w:val="1"/>
                <w:color w:val="auto"/>
              </w:rPr>
              <w:t>2016</w:t>
            </w:r>
          </w:p>
        </w:tc>
        <w:tc>
          <w:tcPr>
            <w:tcW w:w="20" w:type="dxa"/>
            <w:vAlign w:val="bottom"/>
          </w:tcPr>
          <w:p>
            <w:pPr>
              <w:spacing w:after="0"/>
              <w:rPr>
                <w:sz w:val="16"/>
                <w:szCs w:val="16"/>
                <w:color w:val="auto"/>
              </w:rPr>
            </w:pPr>
          </w:p>
        </w:tc>
      </w:tr>
      <w:tr>
        <w:trPr>
          <w:trHeight w:val="187"/>
        </w:trPr>
        <w:tc>
          <w:tcPr>
            <w:tcW w:w="2900" w:type="dxa"/>
            <w:vAlign w:val="bottom"/>
            <w:shd w:val="clear" w:color="auto" w:fill="CCEEFF"/>
          </w:tcPr>
          <w:p>
            <w:pPr>
              <w:spacing w:after="0"/>
              <w:rPr>
                <w:sz w:val="20"/>
                <w:szCs w:val="20"/>
                <w:color w:val="auto"/>
              </w:rPr>
            </w:pPr>
            <w:r>
              <w:rPr>
                <w:rFonts w:ascii="Arial" w:cs="Arial" w:eastAsia="Arial" w:hAnsi="Arial"/>
                <w:sz w:val="15"/>
                <w:szCs w:val="15"/>
                <w:color w:val="auto"/>
              </w:rPr>
              <w:t>Service cost</w:t>
            </w:r>
          </w:p>
        </w:tc>
        <w:tc>
          <w:tcPr>
            <w:tcW w:w="1620" w:type="dxa"/>
            <w:vAlign w:val="bottom"/>
            <w:shd w:val="clear" w:color="auto" w:fill="CCEEFF"/>
          </w:tcPr>
          <w:p>
            <w:pPr>
              <w:jc w:val="right"/>
              <w:ind w:right="683"/>
              <w:spacing w:after="0"/>
              <w:rPr>
                <w:sz w:val="20"/>
                <w:szCs w:val="20"/>
                <w:color w:val="auto"/>
              </w:rPr>
            </w:pPr>
            <w:r>
              <w:rPr>
                <w:rFonts w:ascii="Arial" w:cs="Arial" w:eastAsia="Arial" w:hAnsi="Arial"/>
                <w:sz w:val="15"/>
                <w:szCs w:val="15"/>
                <w:b w:val="1"/>
                <w:bCs w:val="1"/>
                <w:color w:val="auto"/>
              </w:rPr>
              <w:t>$</w:t>
            </w:r>
          </w:p>
        </w:tc>
        <w:tc>
          <w:tcPr>
            <w:tcW w:w="340" w:type="dxa"/>
            <w:vAlign w:val="bottom"/>
            <w:shd w:val="clear" w:color="auto" w:fill="CCEEFF"/>
          </w:tcPr>
          <w:p>
            <w:pPr>
              <w:jc w:val="center"/>
              <w:spacing w:after="0"/>
              <w:rPr>
                <w:sz w:val="20"/>
                <w:szCs w:val="20"/>
                <w:color w:val="auto"/>
              </w:rPr>
            </w:pPr>
            <w:r>
              <w:rPr>
                <w:rFonts w:ascii="Arial" w:cs="Arial" w:eastAsia="Arial" w:hAnsi="Arial"/>
                <w:sz w:val="15"/>
                <w:szCs w:val="15"/>
                <w:b w:val="1"/>
                <w:bCs w:val="1"/>
                <w:color w:val="auto"/>
                <w:w w:val="95"/>
              </w:rPr>
              <w:t>4</w:t>
            </w:r>
          </w:p>
        </w:tc>
        <w:tc>
          <w:tcPr>
            <w:tcW w:w="1100" w:type="dxa"/>
            <w:vAlign w:val="bottom"/>
            <w:shd w:val="clear" w:color="auto" w:fill="CCEEFF"/>
          </w:tcPr>
          <w:p>
            <w:pPr>
              <w:jc w:val="right"/>
              <w:ind w:right="863"/>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jc w:val="center"/>
              <w:ind w:right="3"/>
              <w:spacing w:after="0"/>
              <w:rPr>
                <w:sz w:val="20"/>
                <w:szCs w:val="20"/>
                <w:color w:val="auto"/>
              </w:rPr>
            </w:pPr>
            <w:r>
              <w:rPr>
                <w:rFonts w:ascii="Arial" w:cs="Arial" w:eastAsia="Arial" w:hAnsi="Arial"/>
                <w:sz w:val="15"/>
                <w:szCs w:val="15"/>
                <w:color w:val="auto"/>
                <w:w w:val="95"/>
              </w:rPr>
              <w:t>4</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060" w:type="dxa"/>
            <w:vAlign w:val="bottom"/>
            <w:shd w:val="clear" w:color="auto" w:fill="CCEEFF"/>
          </w:tcPr>
          <w:p>
            <w:pPr>
              <w:ind w:left="840"/>
              <w:spacing w:after="0"/>
              <w:rPr>
                <w:sz w:val="20"/>
                <w:szCs w:val="20"/>
                <w:color w:val="auto"/>
              </w:rPr>
            </w:pPr>
            <w:r>
              <w:rPr>
                <w:rFonts w:ascii="Arial" w:cs="Arial" w:eastAsia="Arial" w:hAnsi="Arial"/>
                <w:sz w:val="15"/>
                <w:szCs w:val="15"/>
                <w:b w:val="1"/>
                <w:bCs w:val="1"/>
                <w:color w:val="auto"/>
              </w:rPr>
              <w:t>—</w:t>
            </w:r>
          </w:p>
        </w:tc>
        <w:tc>
          <w:tcPr>
            <w:tcW w:w="2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r>
      <w:tr>
        <w:trPr>
          <w:trHeight w:val="207"/>
        </w:trPr>
        <w:tc>
          <w:tcPr>
            <w:tcW w:w="2900" w:type="dxa"/>
            <w:vAlign w:val="bottom"/>
          </w:tcPr>
          <w:p>
            <w:pPr>
              <w:spacing w:after="0"/>
              <w:rPr>
                <w:sz w:val="20"/>
                <w:szCs w:val="20"/>
                <w:color w:val="auto"/>
              </w:rPr>
            </w:pPr>
            <w:r>
              <w:rPr>
                <w:rFonts w:ascii="Arial" w:cs="Arial" w:eastAsia="Arial" w:hAnsi="Arial"/>
                <w:sz w:val="15"/>
                <w:szCs w:val="15"/>
                <w:color w:val="auto"/>
              </w:rPr>
              <w:t>Interest cost</w:t>
            </w:r>
          </w:p>
        </w:tc>
        <w:tc>
          <w:tcPr>
            <w:tcW w:w="1620" w:type="dxa"/>
            <w:vAlign w:val="bottom"/>
          </w:tcPr>
          <w:p>
            <w:pPr>
              <w:spacing w:after="0"/>
              <w:rPr>
                <w:sz w:val="17"/>
                <w:szCs w:val="17"/>
                <w:color w:val="auto"/>
              </w:rPr>
            </w:pPr>
          </w:p>
        </w:tc>
        <w:tc>
          <w:tcPr>
            <w:tcW w:w="340" w:type="dxa"/>
            <w:vAlign w:val="bottom"/>
          </w:tcPr>
          <w:p>
            <w:pPr>
              <w:jc w:val="center"/>
              <w:spacing w:after="0"/>
              <w:rPr>
                <w:sz w:val="20"/>
                <w:szCs w:val="20"/>
                <w:color w:val="auto"/>
              </w:rPr>
            </w:pPr>
            <w:r>
              <w:rPr>
                <w:rFonts w:ascii="Arial" w:cs="Arial" w:eastAsia="Arial" w:hAnsi="Arial"/>
                <w:sz w:val="15"/>
                <w:szCs w:val="15"/>
                <w:b w:val="1"/>
                <w:bCs w:val="1"/>
                <w:color w:val="auto"/>
                <w:w w:val="95"/>
              </w:rPr>
              <w:t>6</w:t>
            </w:r>
          </w:p>
        </w:tc>
        <w:tc>
          <w:tcPr>
            <w:tcW w:w="1100" w:type="dxa"/>
            <w:vAlign w:val="bottom"/>
          </w:tcPr>
          <w:p>
            <w:pPr>
              <w:spacing w:after="0"/>
              <w:rPr>
                <w:sz w:val="17"/>
                <w:szCs w:val="17"/>
                <w:color w:val="auto"/>
              </w:rPr>
            </w:pPr>
          </w:p>
        </w:tc>
        <w:tc>
          <w:tcPr>
            <w:tcW w:w="440" w:type="dxa"/>
            <w:vAlign w:val="bottom"/>
          </w:tcPr>
          <w:p>
            <w:pPr>
              <w:jc w:val="center"/>
              <w:ind w:right="3"/>
              <w:spacing w:after="0"/>
              <w:rPr>
                <w:sz w:val="20"/>
                <w:szCs w:val="20"/>
                <w:color w:val="auto"/>
              </w:rPr>
            </w:pPr>
            <w:r>
              <w:rPr>
                <w:rFonts w:ascii="Arial" w:cs="Arial" w:eastAsia="Arial" w:hAnsi="Arial"/>
                <w:sz w:val="15"/>
                <w:szCs w:val="15"/>
                <w:color w:val="auto"/>
                <w:w w:val="95"/>
              </w:rPr>
              <w:t>6</w:t>
            </w:r>
          </w:p>
        </w:tc>
        <w:tc>
          <w:tcPr>
            <w:tcW w:w="280" w:type="dxa"/>
            <w:vAlign w:val="bottom"/>
          </w:tcPr>
          <w:p>
            <w:pPr>
              <w:spacing w:after="0"/>
              <w:rPr>
                <w:sz w:val="17"/>
                <w:szCs w:val="17"/>
                <w:color w:val="auto"/>
              </w:rPr>
            </w:pPr>
          </w:p>
        </w:tc>
        <w:tc>
          <w:tcPr>
            <w:tcW w:w="1060" w:type="dxa"/>
            <w:vAlign w:val="bottom"/>
          </w:tcPr>
          <w:p>
            <w:pPr>
              <w:ind w:left="840"/>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7"/>
                <w:szCs w:val="17"/>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r>
      <w:tr>
        <w:trPr>
          <w:trHeight w:val="219"/>
        </w:trPr>
        <w:tc>
          <w:tcPr>
            <w:tcW w:w="2900" w:type="dxa"/>
            <w:vAlign w:val="bottom"/>
            <w:shd w:val="clear" w:color="auto" w:fill="CCEEFF"/>
          </w:tcPr>
          <w:p>
            <w:pPr>
              <w:spacing w:after="0"/>
              <w:rPr>
                <w:sz w:val="20"/>
                <w:szCs w:val="20"/>
                <w:color w:val="auto"/>
              </w:rPr>
            </w:pPr>
            <w:r>
              <w:rPr>
                <w:rFonts w:ascii="Arial" w:cs="Arial" w:eastAsia="Arial" w:hAnsi="Arial"/>
                <w:sz w:val="15"/>
                <w:szCs w:val="15"/>
                <w:color w:val="auto"/>
              </w:rPr>
              <w:t>Expected return on plan assets</w:t>
            </w:r>
          </w:p>
        </w:tc>
        <w:tc>
          <w:tcPr>
            <w:tcW w:w="1620" w:type="dxa"/>
            <w:vAlign w:val="bottom"/>
            <w:shd w:val="clear" w:color="auto" w:fill="CCEEFF"/>
          </w:tcPr>
          <w:p>
            <w:pPr>
              <w:spacing w:after="0"/>
              <w:rPr>
                <w:sz w:val="19"/>
                <w:szCs w:val="19"/>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5"/>
                <w:szCs w:val="15"/>
                <w:b w:val="1"/>
                <w:bCs w:val="1"/>
                <w:color w:val="auto"/>
                <w:w w:val="97"/>
              </w:rPr>
              <w:t>(9)</w:t>
            </w:r>
          </w:p>
        </w:tc>
        <w:tc>
          <w:tcPr>
            <w:tcW w:w="1100" w:type="dxa"/>
            <w:vAlign w:val="bottom"/>
            <w:shd w:val="clear" w:color="auto" w:fill="CCEEFF"/>
          </w:tcPr>
          <w:p>
            <w:pPr>
              <w:spacing w:after="0"/>
              <w:rPr>
                <w:sz w:val="19"/>
                <w:szCs w:val="19"/>
                <w:color w:val="auto"/>
              </w:rPr>
            </w:pPr>
          </w:p>
        </w:tc>
        <w:tc>
          <w:tcPr>
            <w:tcW w:w="440" w:type="dxa"/>
            <w:vAlign w:val="bottom"/>
            <w:shd w:val="clear" w:color="auto" w:fill="CCEEFF"/>
          </w:tcPr>
          <w:p>
            <w:pPr>
              <w:jc w:val="center"/>
              <w:ind w:right="3"/>
              <w:spacing w:after="0"/>
              <w:rPr>
                <w:sz w:val="20"/>
                <w:szCs w:val="20"/>
                <w:color w:val="auto"/>
              </w:rPr>
            </w:pPr>
            <w:r>
              <w:rPr>
                <w:rFonts w:ascii="Arial" w:cs="Arial" w:eastAsia="Arial" w:hAnsi="Arial"/>
                <w:sz w:val="15"/>
                <w:szCs w:val="15"/>
                <w:color w:val="auto"/>
              </w:rPr>
              <w:t>(9)</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ind w:left="840"/>
              <w:spacing w:after="0"/>
              <w:rPr>
                <w:sz w:val="20"/>
                <w:szCs w:val="20"/>
                <w:color w:val="auto"/>
              </w:rPr>
            </w:pPr>
            <w:r>
              <w:rPr>
                <w:rFonts w:ascii="Arial" w:cs="Arial" w:eastAsia="Arial" w:hAnsi="Arial"/>
                <w:sz w:val="15"/>
                <w:szCs w:val="15"/>
                <w:b w:val="1"/>
                <w:bCs w:val="1"/>
                <w:color w:val="auto"/>
              </w:rPr>
              <w:t>—</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9"/>
                <w:szCs w:val="19"/>
                <w:color w:val="auto"/>
              </w:rPr>
            </w:pPr>
          </w:p>
        </w:tc>
      </w:tr>
      <w:tr>
        <w:trPr>
          <w:trHeight w:val="207"/>
        </w:trPr>
        <w:tc>
          <w:tcPr>
            <w:tcW w:w="2900" w:type="dxa"/>
            <w:vAlign w:val="bottom"/>
          </w:tcPr>
          <w:p>
            <w:pPr>
              <w:spacing w:after="0"/>
              <w:rPr>
                <w:sz w:val="20"/>
                <w:szCs w:val="20"/>
                <w:color w:val="auto"/>
              </w:rPr>
            </w:pPr>
            <w:r>
              <w:rPr>
                <w:rFonts w:ascii="Arial" w:cs="Arial" w:eastAsia="Arial" w:hAnsi="Arial"/>
                <w:sz w:val="15"/>
                <w:szCs w:val="15"/>
                <w:color w:val="auto"/>
              </w:rPr>
              <w:t>Amortization of net loss (gain)</w:t>
            </w:r>
          </w:p>
        </w:tc>
        <w:tc>
          <w:tcPr>
            <w:tcW w:w="1620" w:type="dxa"/>
            <w:vAlign w:val="bottom"/>
          </w:tcPr>
          <w:p>
            <w:pPr>
              <w:spacing w:after="0"/>
              <w:rPr>
                <w:sz w:val="17"/>
                <w:szCs w:val="17"/>
                <w:color w:val="auto"/>
              </w:rPr>
            </w:pPr>
          </w:p>
        </w:tc>
        <w:tc>
          <w:tcPr>
            <w:tcW w:w="340" w:type="dxa"/>
            <w:vAlign w:val="bottom"/>
          </w:tcPr>
          <w:p>
            <w:pPr>
              <w:jc w:val="center"/>
              <w:spacing w:after="0"/>
              <w:rPr>
                <w:sz w:val="20"/>
                <w:szCs w:val="20"/>
                <w:color w:val="auto"/>
              </w:rPr>
            </w:pPr>
            <w:r>
              <w:rPr>
                <w:rFonts w:ascii="Arial" w:cs="Arial" w:eastAsia="Arial" w:hAnsi="Arial"/>
                <w:sz w:val="15"/>
                <w:szCs w:val="15"/>
                <w:b w:val="1"/>
                <w:bCs w:val="1"/>
                <w:color w:val="auto"/>
                <w:w w:val="95"/>
              </w:rPr>
              <w:t>3</w:t>
            </w:r>
          </w:p>
        </w:tc>
        <w:tc>
          <w:tcPr>
            <w:tcW w:w="1100" w:type="dxa"/>
            <w:vAlign w:val="bottom"/>
          </w:tcPr>
          <w:p>
            <w:pPr>
              <w:spacing w:after="0"/>
              <w:rPr>
                <w:sz w:val="17"/>
                <w:szCs w:val="17"/>
                <w:color w:val="auto"/>
              </w:rPr>
            </w:pPr>
          </w:p>
        </w:tc>
        <w:tc>
          <w:tcPr>
            <w:tcW w:w="440" w:type="dxa"/>
            <w:vAlign w:val="bottom"/>
          </w:tcPr>
          <w:p>
            <w:pPr>
              <w:jc w:val="center"/>
              <w:ind w:right="3"/>
              <w:spacing w:after="0"/>
              <w:rPr>
                <w:sz w:val="20"/>
                <w:szCs w:val="20"/>
                <w:color w:val="auto"/>
              </w:rPr>
            </w:pPr>
            <w:r>
              <w:rPr>
                <w:rFonts w:ascii="Arial" w:cs="Arial" w:eastAsia="Arial" w:hAnsi="Arial"/>
                <w:sz w:val="15"/>
                <w:szCs w:val="15"/>
                <w:color w:val="auto"/>
                <w:w w:val="95"/>
              </w:rPr>
              <w:t>4</w:t>
            </w:r>
          </w:p>
        </w:tc>
        <w:tc>
          <w:tcPr>
            <w:tcW w:w="280" w:type="dxa"/>
            <w:vAlign w:val="bottom"/>
          </w:tcPr>
          <w:p>
            <w:pPr>
              <w:spacing w:after="0"/>
              <w:rPr>
                <w:sz w:val="17"/>
                <w:szCs w:val="17"/>
                <w:color w:val="auto"/>
              </w:rPr>
            </w:pPr>
          </w:p>
        </w:tc>
        <w:tc>
          <w:tcPr>
            <w:tcW w:w="1060" w:type="dxa"/>
            <w:vAlign w:val="bottom"/>
          </w:tcPr>
          <w:p>
            <w:pPr>
              <w:ind w:left="840"/>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7"/>
                <w:szCs w:val="17"/>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5"/>
                <w:szCs w:val="15"/>
                <w:color w:val="auto"/>
              </w:rPr>
              <w:t>(1)</w:t>
            </w:r>
          </w:p>
        </w:tc>
      </w:tr>
      <w:tr>
        <w:trPr>
          <w:trHeight w:val="179"/>
        </w:trPr>
        <w:tc>
          <w:tcPr>
            <w:tcW w:w="29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Net benefit expense (income)</w:t>
            </w:r>
          </w:p>
        </w:tc>
        <w:tc>
          <w:tcPr>
            <w:tcW w:w="1620" w:type="dxa"/>
            <w:vAlign w:val="bottom"/>
            <w:tcBorders>
              <w:top w:val="single" w:sz="8" w:color="auto"/>
              <w:bottom w:val="single" w:sz="8" w:color="auto"/>
            </w:tcBorders>
            <w:shd w:val="clear" w:color="auto" w:fill="CCEEFF"/>
          </w:tcPr>
          <w:p>
            <w:pPr>
              <w:jc w:val="right"/>
              <w:ind w:right="683"/>
              <w:spacing w:after="0"/>
              <w:rPr>
                <w:sz w:val="20"/>
                <w:szCs w:val="20"/>
                <w:color w:val="auto"/>
              </w:rPr>
            </w:pPr>
            <w:r>
              <w:rPr>
                <w:rFonts w:ascii="Arial" w:cs="Arial" w:eastAsia="Arial" w:hAnsi="Arial"/>
                <w:sz w:val="15"/>
                <w:szCs w:val="15"/>
                <w:b w:val="1"/>
                <w:bCs w:val="1"/>
                <w:color w:val="auto"/>
              </w:rPr>
              <w:t>$</w:t>
            </w:r>
          </w:p>
        </w:tc>
        <w:tc>
          <w:tcPr>
            <w:tcW w:w="3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5"/>
                <w:szCs w:val="15"/>
                <w:b w:val="1"/>
                <w:bCs w:val="1"/>
                <w:color w:val="auto"/>
                <w:w w:val="95"/>
              </w:rPr>
              <w:t>4</w:t>
            </w:r>
          </w:p>
        </w:tc>
        <w:tc>
          <w:tcPr>
            <w:tcW w:w="1100" w:type="dxa"/>
            <w:vAlign w:val="bottom"/>
            <w:tcBorders>
              <w:top w:val="single" w:sz="8" w:color="auto"/>
              <w:bottom w:val="single" w:sz="8" w:color="auto"/>
            </w:tcBorders>
            <w:shd w:val="clear" w:color="auto" w:fill="CCEEFF"/>
          </w:tcPr>
          <w:p>
            <w:pPr>
              <w:jc w:val="right"/>
              <w:ind w:right="863"/>
              <w:spacing w:after="0"/>
              <w:rPr>
                <w:sz w:val="20"/>
                <w:szCs w:val="20"/>
                <w:color w:val="auto"/>
              </w:rPr>
            </w:pPr>
            <w:r>
              <w:rPr>
                <w:rFonts w:ascii="Arial" w:cs="Arial" w:eastAsia="Arial" w:hAnsi="Arial"/>
                <w:sz w:val="15"/>
                <w:szCs w:val="15"/>
                <w:color w:val="auto"/>
              </w:rPr>
              <w:t>$</w:t>
            </w:r>
          </w:p>
        </w:tc>
        <w:tc>
          <w:tcPr>
            <w:tcW w:w="440" w:type="dxa"/>
            <w:vAlign w:val="bottom"/>
            <w:tcBorders>
              <w:top w:val="single" w:sz="8" w:color="auto"/>
              <w:bottom w:val="single" w:sz="8" w:color="auto"/>
            </w:tcBorders>
            <w:shd w:val="clear" w:color="auto" w:fill="CCEEFF"/>
          </w:tcPr>
          <w:p>
            <w:pPr>
              <w:jc w:val="center"/>
              <w:ind w:right="3"/>
              <w:spacing w:after="0"/>
              <w:rPr>
                <w:sz w:val="20"/>
                <w:szCs w:val="20"/>
                <w:color w:val="auto"/>
              </w:rPr>
            </w:pPr>
            <w:r>
              <w:rPr>
                <w:rFonts w:ascii="Arial" w:cs="Arial" w:eastAsia="Arial" w:hAnsi="Arial"/>
                <w:sz w:val="15"/>
                <w:szCs w:val="15"/>
                <w:color w:val="auto"/>
                <w:w w:val="95"/>
              </w:rPr>
              <w:t>5</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060" w:type="dxa"/>
            <w:vAlign w:val="bottom"/>
            <w:tcBorders>
              <w:top w:val="single" w:sz="8" w:color="auto"/>
              <w:bottom w:val="single" w:sz="8" w:color="auto"/>
            </w:tcBorders>
            <w:shd w:val="clear" w:color="auto" w:fill="CCEEFF"/>
          </w:tcPr>
          <w:p>
            <w:pPr>
              <w:ind w:left="840"/>
              <w:spacing w:after="0"/>
              <w:rPr>
                <w:sz w:val="20"/>
                <w:szCs w:val="20"/>
                <w:color w:val="auto"/>
              </w:rPr>
            </w:pPr>
            <w:r>
              <w:rPr>
                <w:rFonts w:ascii="Arial" w:cs="Arial" w:eastAsia="Arial" w:hAnsi="Arial"/>
                <w:sz w:val="15"/>
                <w:szCs w:val="15"/>
                <w:b w:val="1"/>
                <w:bCs w:val="1"/>
                <w:color w:val="auto"/>
              </w:rPr>
              <w:t>—</w:t>
            </w:r>
          </w:p>
        </w:tc>
        <w:tc>
          <w:tcPr>
            <w:tcW w:w="28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20" w:type="dxa"/>
            <w:vAlign w:val="bottom"/>
          </w:tcPr>
          <w:p>
            <w:pPr>
              <w:spacing w:after="0"/>
              <w:rPr>
                <w:sz w:val="15"/>
                <w:szCs w:val="15"/>
                <w:color w:val="auto"/>
              </w:rPr>
            </w:pPr>
          </w:p>
        </w:tc>
      </w:tr>
    </w:tbl>
    <w:p>
      <w:pPr>
        <w:spacing w:after="0" w:line="189" w:lineRule="exact"/>
        <w:rPr>
          <w:sz w:val="20"/>
          <w:szCs w:val="20"/>
          <w:color w:val="auto"/>
        </w:rPr>
      </w:pPr>
    </w:p>
    <w:p>
      <w:pPr>
        <w:jc w:val="both"/>
        <w:ind w:right="20"/>
        <w:spacing w:after="0" w:line="259" w:lineRule="auto"/>
        <w:rPr>
          <w:sz w:val="20"/>
          <w:szCs w:val="20"/>
          <w:color w:val="auto"/>
        </w:rPr>
      </w:pPr>
      <w:r>
        <w:rPr>
          <w:rFonts w:ascii="Arial" w:cs="Arial" w:eastAsia="Arial" w:hAnsi="Arial"/>
          <w:sz w:val="15"/>
          <w:szCs w:val="15"/>
          <w:color w:val="auto"/>
        </w:rPr>
        <w:t xml:space="preserve">On February 23, 2017, the Company made a contribution of $25 million to the U.S. qualified plan. The Company continually evaluates the amount and timing of any future contributions. The Company currently does not expect to make any further pension plan contributions during this year. Actual contributions are dependent on several factors, including the outcome of the ongoing U.S. pension litigation. See Note 12, </w:t>
      </w:r>
      <w:r>
        <w:rPr>
          <w:rFonts w:ascii="Arial" w:cs="Arial" w:eastAsia="Arial" w:hAnsi="Arial"/>
          <w:sz w:val="15"/>
          <w:szCs w:val="15"/>
          <w:i w:val="1"/>
          <w:iCs w:val="1"/>
          <w:color w:val="auto"/>
        </w:rPr>
        <w:t>Legal Proceedings,</w:t>
      </w:r>
      <w:r>
        <w:rPr>
          <w:rFonts w:ascii="Arial" w:cs="Arial" w:eastAsia="Arial" w:hAnsi="Arial"/>
          <w:sz w:val="15"/>
          <w:szCs w:val="15"/>
          <w:color w:val="auto"/>
        </w:rPr>
        <w:t xml:space="preserve"> for further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11. Share-Based Compensation</w:t>
      </w:r>
    </w:p>
    <w:p>
      <w:pPr>
        <w:spacing w:after="0" w:line="186" w:lineRule="exact"/>
        <w:rPr>
          <w:sz w:val="20"/>
          <w:szCs w:val="20"/>
          <w:color w:val="auto"/>
        </w:rPr>
      </w:pPr>
    </w:p>
    <w:p>
      <w:pPr>
        <w:jc w:val="both"/>
        <w:ind w:right="20"/>
        <w:spacing w:after="0" w:line="254" w:lineRule="auto"/>
        <w:rPr>
          <w:sz w:val="20"/>
          <w:szCs w:val="20"/>
          <w:color w:val="auto"/>
        </w:rPr>
      </w:pPr>
      <w:r>
        <w:rPr>
          <w:rFonts w:ascii="Arial" w:cs="Arial" w:eastAsia="Arial" w:hAnsi="Arial"/>
          <w:sz w:val="15"/>
          <w:szCs w:val="15"/>
          <w:color w:val="auto"/>
        </w:rPr>
        <w:t>Total compensation expense included in SG&amp;A, and the associated tax benefits recognized related to the Company’s share-based compensation plans, were as follows:</w:t>
      </w:r>
    </w:p>
    <w:p>
      <w:pPr>
        <w:spacing w:after="0" w:line="43" w:lineRule="exact"/>
        <w:rPr>
          <w:sz w:val="20"/>
          <w:szCs w:val="20"/>
          <w:color w:val="auto"/>
        </w:rPr>
      </w:pPr>
    </w:p>
    <w:p>
      <w:pPr>
        <w:ind w:left="6860"/>
        <w:spacing w:after="0"/>
        <w:rPr>
          <w:sz w:val="20"/>
          <w:szCs w:val="20"/>
          <w:color w:val="auto"/>
        </w:rPr>
      </w:pPr>
      <w:r>
        <w:rPr>
          <w:rFonts w:ascii="Arial" w:cs="Arial" w:eastAsia="Arial" w:hAnsi="Arial"/>
          <w:sz w:val="15"/>
          <w:szCs w:val="15"/>
          <w:b w:val="1"/>
          <w:bCs w:val="1"/>
          <w:color w:val="auto"/>
        </w:rPr>
        <w:t>Thirteen weeks ended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566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5"/>
                <w:szCs w:val="15"/>
                <w:b w:val="1"/>
                <w:bCs w:val="1"/>
                <w:color w:val="auto"/>
              </w:rPr>
              <w:t>April 29,</w:t>
            </w:r>
          </w:p>
        </w:tc>
        <w:tc>
          <w:tcPr>
            <w:tcW w:w="52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263"/>
              <w:spacing w:after="0" w:line="151" w:lineRule="exact"/>
              <w:rPr>
                <w:sz w:val="20"/>
                <w:szCs w:val="20"/>
                <w:color w:val="auto"/>
              </w:rPr>
            </w:pPr>
            <w:r>
              <w:rPr>
                <w:rFonts w:ascii="Arial" w:cs="Arial" w:eastAsia="Arial" w:hAnsi="Arial"/>
                <w:sz w:val="15"/>
                <w:szCs w:val="15"/>
                <w:b w:val="1"/>
                <w:bCs w:val="1"/>
                <w:color w:val="auto"/>
              </w:rPr>
              <w:t>April 30,</w:t>
            </w:r>
          </w:p>
        </w:tc>
        <w:tc>
          <w:tcPr>
            <w:tcW w:w="20" w:type="dxa"/>
            <w:vAlign w:val="bottom"/>
          </w:tcPr>
          <w:p>
            <w:pPr>
              <w:spacing w:after="0"/>
              <w:rPr>
                <w:sz w:val="13"/>
                <w:szCs w:val="13"/>
                <w:color w:val="auto"/>
              </w:rPr>
            </w:pPr>
          </w:p>
        </w:tc>
      </w:tr>
      <w:tr>
        <w:trPr>
          <w:trHeight w:val="194"/>
        </w:trPr>
        <w:tc>
          <w:tcPr>
            <w:tcW w:w="56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rPr>
              <w:t>2017</w:t>
            </w:r>
          </w:p>
        </w:tc>
        <w:tc>
          <w:tcPr>
            <w:tcW w:w="5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b w:val="1"/>
                <w:bCs w:val="1"/>
                <w:color w:val="auto"/>
              </w:rPr>
              <w:t>2016</w:t>
            </w:r>
          </w:p>
        </w:tc>
        <w:tc>
          <w:tcPr>
            <w:tcW w:w="20" w:type="dxa"/>
            <w:vAlign w:val="bottom"/>
          </w:tcPr>
          <w:p>
            <w:pPr>
              <w:spacing w:after="0"/>
              <w:rPr>
                <w:sz w:val="16"/>
                <w:szCs w:val="16"/>
                <w:color w:val="auto"/>
              </w:rPr>
            </w:pPr>
          </w:p>
        </w:tc>
      </w:tr>
      <w:tr>
        <w:trPr>
          <w:trHeight w:val="187"/>
        </w:trPr>
        <w:tc>
          <w:tcPr>
            <w:tcW w:w="56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Arial" w:cs="Arial" w:eastAsia="Arial" w:hAnsi="Arial"/>
                <w:sz w:val="15"/>
                <w:szCs w:val="15"/>
                <w:color w:val="auto"/>
                <w:w w:val="99"/>
              </w:rPr>
              <w:t>($ in millions)</w:t>
            </w: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70"/>
        </w:trPr>
        <w:tc>
          <w:tcPr>
            <w:tcW w:w="5660" w:type="dxa"/>
            <w:vAlign w:val="bottom"/>
            <w:shd w:val="clear" w:color="auto" w:fill="CCEEFF"/>
          </w:tcPr>
          <w:p>
            <w:pPr>
              <w:spacing w:after="0" w:line="170" w:lineRule="exact"/>
              <w:rPr>
                <w:sz w:val="20"/>
                <w:szCs w:val="20"/>
                <w:color w:val="auto"/>
              </w:rPr>
            </w:pPr>
            <w:r>
              <w:rPr>
                <w:rFonts w:ascii="Arial" w:cs="Arial" w:eastAsia="Arial" w:hAnsi="Arial"/>
                <w:sz w:val="15"/>
                <w:szCs w:val="15"/>
                <w:color w:val="auto"/>
              </w:rPr>
              <w:t>Options and shares purchased under the employee stock purchase plan</w:t>
            </w:r>
          </w:p>
        </w:tc>
        <w:tc>
          <w:tcPr>
            <w:tcW w:w="1560" w:type="dxa"/>
            <w:vAlign w:val="bottom"/>
            <w:shd w:val="clear" w:color="auto" w:fill="CCEEFF"/>
          </w:tcPr>
          <w:p>
            <w:pPr>
              <w:jc w:val="right"/>
              <w:ind w:right="643"/>
              <w:spacing w:after="0" w:line="170" w:lineRule="exact"/>
              <w:rPr>
                <w:sz w:val="20"/>
                <w:szCs w:val="20"/>
                <w:color w:val="auto"/>
              </w:rPr>
            </w:pPr>
            <w:r>
              <w:rPr>
                <w:rFonts w:ascii="Arial" w:cs="Arial" w:eastAsia="Arial" w:hAnsi="Arial"/>
                <w:sz w:val="15"/>
                <w:szCs w:val="15"/>
                <w:b w:val="1"/>
                <w:bCs w:val="1"/>
                <w:color w:val="auto"/>
              </w:rPr>
              <w:t>$</w:t>
            </w:r>
          </w:p>
        </w:tc>
        <w:tc>
          <w:tcPr>
            <w:tcW w:w="520" w:type="dxa"/>
            <w:vAlign w:val="bottom"/>
            <w:shd w:val="clear" w:color="auto" w:fill="CCEEFF"/>
          </w:tcPr>
          <w:p>
            <w:pPr>
              <w:jc w:val="right"/>
              <w:ind w:right="143"/>
              <w:spacing w:after="0" w:line="170" w:lineRule="exact"/>
              <w:rPr>
                <w:sz w:val="20"/>
                <w:szCs w:val="20"/>
                <w:color w:val="auto"/>
              </w:rPr>
            </w:pPr>
            <w:r>
              <w:rPr>
                <w:rFonts w:ascii="Arial" w:cs="Arial" w:eastAsia="Arial" w:hAnsi="Arial"/>
                <w:sz w:val="15"/>
                <w:szCs w:val="15"/>
                <w:b w:val="1"/>
                <w:bCs w:val="1"/>
                <w:color w:val="auto"/>
              </w:rPr>
              <w:t>2</w:t>
            </w:r>
          </w:p>
        </w:tc>
        <w:tc>
          <w:tcPr>
            <w:tcW w:w="400" w:type="dxa"/>
            <w:vAlign w:val="bottom"/>
            <w:shd w:val="clear" w:color="auto" w:fill="CCEEFF"/>
          </w:tcPr>
          <w:p>
            <w:pPr>
              <w:jc w:val="right"/>
              <w:ind w:right="23"/>
              <w:spacing w:after="0" w:line="170" w:lineRule="exact"/>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rPr>
              <w:t>3</w:t>
            </w:r>
          </w:p>
        </w:tc>
        <w:tc>
          <w:tcPr>
            <w:tcW w:w="20" w:type="dxa"/>
            <w:vAlign w:val="bottom"/>
          </w:tcPr>
          <w:p>
            <w:pPr>
              <w:spacing w:after="0"/>
              <w:rPr>
                <w:sz w:val="14"/>
                <w:szCs w:val="14"/>
                <w:color w:val="auto"/>
              </w:rPr>
            </w:pPr>
          </w:p>
        </w:tc>
      </w:tr>
      <w:tr>
        <w:trPr>
          <w:trHeight w:val="207"/>
        </w:trPr>
        <w:tc>
          <w:tcPr>
            <w:tcW w:w="56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Restricted stock and restricted stock units</w:t>
            </w:r>
          </w:p>
        </w:tc>
        <w:tc>
          <w:tcPr>
            <w:tcW w:w="15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b w:val="1"/>
                <w:bCs w:val="1"/>
                <w:color w:val="auto"/>
              </w:rPr>
              <w:t>3</w:t>
            </w: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w:t>
            </w:r>
          </w:p>
        </w:tc>
        <w:tc>
          <w:tcPr>
            <w:tcW w:w="20" w:type="dxa"/>
            <w:vAlign w:val="bottom"/>
          </w:tcPr>
          <w:p>
            <w:pPr>
              <w:spacing w:after="0"/>
              <w:rPr>
                <w:sz w:val="17"/>
                <w:szCs w:val="17"/>
                <w:color w:val="auto"/>
              </w:rPr>
            </w:pPr>
          </w:p>
        </w:tc>
      </w:tr>
      <w:tr>
        <w:trPr>
          <w:trHeight w:val="179"/>
        </w:trPr>
        <w:tc>
          <w:tcPr>
            <w:tcW w:w="56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Total share-based compensation expense</w:t>
            </w:r>
          </w:p>
        </w:tc>
        <w:tc>
          <w:tcPr>
            <w:tcW w:w="1560" w:type="dxa"/>
            <w:vAlign w:val="bottom"/>
            <w:tcBorders>
              <w:bottom w:val="single" w:sz="8" w:color="auto"/>
            </w:tcBorders>
            <w:shd w:val="clear" w:color="auto" w:fill="CCEEFF"/>
          </w:tcPr>
          <w:p>
            <w:pPr>
              <w:jc w:val="right"/>
              <w:ind w:right="643"/>
              <w:spacing w:after="0"/>
              <w:rPr>
                <w:sz w:val="20"/>
                <w:szCs w:val="20"/>
                <w:color w:val="auto"/>
              </w:rPr>
            </w:pPr>
            <w:r>
              <w:rPr>
                <w:rFonts w:ascii="Arial" w:cs="Arial" w:eastAsia="Arial" w:hAnsi="Arial"/>
                <w:sz w:val="15"/>
                <w:szCs w:val="15"/>
                <w:b w:val="1"/>
                <w:bCs w:val="1"/>
                <w:color w:val="auto"/>
              </w:rPr>
              <w:t>$</w:t>
            </w:r>
          </w:p>
        </w:tc>
        <w:tc>
          <w:tcPr>
            <w:tcW w:w="52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5</w:t>
            </w:r>
          </w:p>
        </w:tc>
        <w:tc>
          <w:tcPr>
            <w:tcW w:w="4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20" w:type="dxa"/>
            <w:vAlign w:val="bottom"/>
          </w:tcPr>
          <w:p>
            <w:pPr>
              <w:spacing w:after="0"/>
              <w:rPr>
                <w:sz w:val="15"/>
                <w:szCs w:val="15"/>
                <w:color w:val="auto"/>
              </w:rPr>
            </w:pPr>
          </w:p>
        </w:tc>
      </w:tr>
      <w:tr>
        <w:trPr>
          <w:trHeight w:val="195"/>
        </w:trPr>
        <w:tc>
          <w:tcPr>
            <w:tcW w:w="56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7"/>
        </w:trPr>
        <w:tc>
          <w:tcPr>
            <w:tcW w:w="56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Tax benefit recognized</w:t>
            </w:r>
          </w:p>
        </w:tc>
        <w:tc>
          <w:tcPr>
            <w:tcW w:w="1560" w:type="dxa"/>
            <w:vAlign w:val="bottom"/>
            <w:tcBorders>
              <w:bottom w:val="single" w:sz="8" w:color="auto"/>
            </w:tcBorders>
            <w:shd w:val="clear" w:color="auto" w:fill="CCEEFF"/>
          </w:tcPr>
          <w:p>
            <w:pPr>
              <w:jc w:val="right"/>
              <w:ind w:right="643"/>
              <w:spacing w:after="0"/>
              <w:rPr>
                <w:sz w:val="20"/>
                <w:szCs w:val="20"/>
                <w:color w:val="auto"/>
              </w:rPr>
            </w:pPr>
            <w:r>
              <w:rPr>
                <w:rFonts w:ascii="Arial" w:cs="Arial" w:eastAsia="Arial" w:hAnsi="Arial"/>
                <w:sz w:val="15"/>
                <w:szCs w:val="15"/>
                <w:b w:val="1"/>
                <w:bCs w:val="1"/>
                <w:color w:val="auto"/>
              </w:rPr>
              <w:t>$</w:t>
            </w:r>
          </w:p>
        </w:tc>
        <w:tc>
          <w:tcPr>
            <w:tcW w:w="52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1</w:t>
            </w:r>
          </w:p>
        </w:tc>
        <w:tc>
          <w:tcPr>
            <w:tcW w:w="4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20" w:type="dxa"/>
            <w:vAlign w:val="bottom"/>
          </w:tcPr>
          <w:p>
            <w:pPr>
              <w:spacing w:after="0"/>
              <w:rPr>
                <w:sz w:val="17"/>
                <w:szCs w:val="17"/>
                <w:color w:val="auto"/>
              </w:rPr>
            </w:pPr>
          </w:p>
        </w:tc>
      </w:tr>
      <w:tr>
        <w:trPr>
          <w:trHeight w:val="731"/>
        </w:trPr>
        <w:tc>
          <w:tcPr>
            <w:tcW w:w="5660" w:type="dxa"/>
            <w:vAlign w:val="bottom"/>
          </w:tcPr>
          <w:p>
            <w:pPr>
              <w:ind w:left="4460"/>
              <w:spacing w:after="0"/>
              <w:rPr>
                <w:sz w:val="20"/>
                <w:szCs w:val="20"/>
                <w:color w:val="auto"/>
              </w:rPr>
            </w:pPr>
            <w:r>
              <w:rPr>
                <w:rFonts w:ascii="Arial" w:cs="Arial" w:eastAsia="Arial" w:hAnsi="Arial"/>
                <w:sz w:val="15"/>
                <w:szCs w:val="15"/>
                <w:color w:val="auto"/>
              </w:rPr>
              <w:t>12</w:t>
            </w:r>
          </w:p>
        </w:tc>
        <w:tc>
          <w:tcPr>
            <w:tcW w:w="1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8"/>
        </w:trPr>
        <w:tc>
          <w:tcPr>
            <w:tcW w:w="5660" w:type="dxa"/>
            <w:vAlign w:val="bottom"/>
            <w:tcBorders>
              <w:bottom w:val="single" w:sz="8" w:color="9A9A9A"/>
            </w:tcBorders>
          </w:tcPr>
          <w:p>
            <w:pPr>
              <w:spacing w:after="0"/>
              <w:rPr>
                <w:sz w:val="7"/>
                <w:szCs w:val="7"/>
                <w:color w:val="auto"/>
              </w:rPr>
            </w:pPr>
          </w:p>
        </w:tc>
        <w:tc>
          <w:tcPr>
            <w:tcW w:w="156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r>
        <w:trPr>
          <w:trHeight w:val="20"/>
        </w:trPr>
        <w:tc>
          <w:tcPr>
            <w:tcW w:w="5660" w:type="dxa"/>
            <w:vAlign w:val="bottom"/>
            <w:tcBorders>
              <w:bottom w:val="single" w:sz="8" w:color="EEEEEE"/>
            </w:tcBorders>
          </w:tcPr>
          <w:p>
            <w:pPr>
              <w:spacing w:after="0" w:line="20" w:lineRule="exact"/>
              <w:rPr>
                <w:sz w:val="1"/>
                <w:szCs w:val="1"/>
                <w:color w:val="auto"/>
              </w:rPr>
            </w:pPr>
          </w:p>
        </w:tc>
        <w:tc>
          <w:tcPr>
            <w:tcW w:w="1560" w:type="dxa"/>
            <w:vAlign w:val="bottom"/>
            <w:tcBorders>
              <w:bottom w:val="single" w:sz="8" w:color="EEEEEE"/>
            </w:tcBorders>
          </w:tcPr>
          <w:p>
            <w:pPr>
              <w:spacing w:after="0" w:line="20" w:lineRule="exact"/>
              <w:rPr>
                <w:sz w:val="1"/>
                <w:szCs w:val="1"/>
                <w:color w:val="auto"/>
              </w:rPr>
            </w:pPr>
          </w:p>
        </w:tc>
        <w:tc>
          <w:tcPr>
            <w:tcW w:w="52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5775325</wp:posOffset>
            </wp:positionH>
            <wp:positionV relativeFrom="paragraph">
              <wp:posOffset>-34925</wp:posOffset>
            </wp:positionV>
            <wp:extent cx="33020" cy="482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020" cy="4826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-34925</wp:posOffset>
            </wp:positionV>
            <wp:extent cx="33020" cy="482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020" cy="48260"/>
                    </a:xfrm>
                    <a:prstGeom prst="rect">
                      <a:avLst/>
                    </a:prstGeom>
                    <a:noFill/>
                  </pic:spPr>
                </pic:pic>
              </a:graphicData>
            </a:graphic>
          </wp:anchor>
        </w:drawing>
      </w:r>
    </w:p>
    <w:p>
      <w:pPr>
        <w:sectPr>
          <w:pgSz w:w="11900" w:h="16838" w:orient="portrait"/>
          <w:cols w:equalWidth="0" w:num="1">
            <w:col w:w="9120"/>
          </w:cols>
          <w:pgMar w:left="1400" w:top="116" w:right="1379" w:bottom="1440" w:gutter="0" w:footer="0" w:header="0"/>
        </w:sectPr>
      </w:pPr>
    </w:p>
    <w:bookmarkStart w:id="14" w:name="page15"/>
    <w:bookmarkEnd w:id="14"/>
    <w:p>
      <w:pPr>
        <w:jc w:val="center"/>
        <w:spacing w:after="0"/>
        <w:rPr>
          <w:sz w:val="20"/>
          <w:szCs w:val="20"/>
          <w:color w:val="auto"/>
        </w:rPr>
      </w:pPr>
      <w:r>
        <w:rPr>
          <w:rFonts w:ascii="Arial" w:cs="Arial" w:eastAsia="Arial" w:hAnsi="Arial"/>
          <w:sz w:val="15"/>
          <w:szCs w:val="15"/>
          <w:b w:val="1"/>
          <w:bCs w:val="1"/>
          <w:color w:val="auto"/>
        </w:rPr>
        <w:t>FOOT LOCKER,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CONDENSED CONSOLIDATED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Valuation Model and Assumptions</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The Company uses the Black-Scholes option-pricing model to estimate the fair value of share-based awards. The Black-Scholes option-pricing model incorporates various and highly subjective assumptions, including expected term and expected volatility.</w:t>
      </w:r>
    </w:p>
    <w:p>
      <w:pPr>
        <w:spacing w:after="0" w:line="146"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In connection with the adoption of ASU 2016-09, during the first quarter of 2017, we have made the accounting policy election to discontinue estimating forfeitures and will account for forfeitures as they occur.</w:t>
      </w:r>
    </w:p>
    <w:p>
      <w:pPr>
        <w:spacing w:after="0" w:line="146"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The following table shows the Company’s assumptions used to compute the share-based compensation expense for awards granted during the thirteen weeks ended April 29, 2017 and April 30, 2016:</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4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3"/>
          </w:tcPr>
          <w:p>
            <w:pPr>
              <w:jc w:val="right"/>
              <w:ind w:right="643"/>
              <w:spacing w:after="0"/>
              <w:rPr>
                <w:sz w:val="20"/>
                <w:szCs w:val="20"/>
                <w:color w:val="auto"/>
              </w:rPr>
            </w:pPr>
            <w:r>
              <w:rPr>
                <w:rFonts w:ascii="Arial" w:cs="Arial" w:eastAsia="Arial" w:hAnsi="Arial"/>
                <w:sz w:val="15"/>
                <w:szCs w:val="15"/>
                <w:b w:val="1"/>
                <w:bCs w:val="1"/>
                <w:color w:val="auto"/>
              </w:rPr>
              <w:t>Stock Option Plans</w:t>
            </w:r>
          </w:p>
        </w:tc>
        <w:tc>
          <w:tcPr>
            <w:tcW w:w="2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3"/>
          </w:tcPr>
          <w:p>
            <w:pPr>
              <w:jc w:val="right"/>
              <w:ind w:right="523"/>
              <w:spacing w:after="0"/>
              <w:rPr>
                <w:sz w:val="20"/>
                <w:szCs w:val="20"/>
                <w:color w:val="auto"/>
              </w:rPr>
            </w:pPr>
            <w:r>
              <w:rPr>
                <w:rFonts w:ascii="Arial" w:cs="Arial" w:eastAsia="Arial" w:hAnsi="Arial"/>
                <w:sz w:val="15"/>
                <w:szCs w:val="15"/>
                <w:b w:val="1"/>
                <w:bCs w:val="1"/>
                <w:color w:val="auto"/>
              </w:rPr>
              <w:t>Stock Purchase Plan</w:t>
            </w:r>
          </w:p>
        </w:tc>
      </w:tr>
      <w:tr>
        <w:trPr>
          <w:trHeight w:val="151"/>
        </w:trPr>
        <w:tc>
          <w:tcPr>
            <w:tcW w:w="3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jc w:val="right"/>
              <w:ind w:right="363"/>
              <w:spacing w:after="0" w:line="151" w:lineRule="exact"/>
              <w:rPr>
                <w:sz w:val="20"/>
                <w:szCs w:val="20"/>
                <w:color w:val="auto"/>
              </w:rPr>
            </w:pPr>
            <w:r>
              <w:rPr>
                <w:rFonts w:ascii="Arial" w:cs="Arial" w:eastAsia="Arial" w:hAnsi="Arial"/>
                <w:sz w:val="15"/>
                <w:szCs w:val="15"/>
                <w:b w:val="1"/>
                <w:bCs w:val="1"/>
                <w:color w:val="auto"/>
              </w:rPr>
              <w:t>April 29,</w:t>
            </w:r>
          </w:p>
        </w:tc>
        <w:tc>
          <w:tcPr>
            <w:tcW w:w="280" w:type="dxa"/>
            <w:vAlign w:val="bottom"/>
          </w:tcPr>
          <w:p>
            <w:pPr>
              <w:spacing w:after="0"/>
              <w:rPr>
                <w:sz w:val="13"/>
                <w:szCs w:val="13"/>
                <w:color w:val="auto"/>
              </w:rPr>
            </w:pPr>
          </w:p>
        </w:tc>
        <w:tc>
          <w:tcPr>
            <w:tcW w:w="1100" w:type="dxa"/>
            <w:vAlign w:val="bottom"/>
          </w:tcPr>
          <w:p>
            <w:pPr>
              <w:jc w:val="right"/>
              <w:ind w:right="323"/>
              <w:spacing w:after="0" w:line="151" w:lineRule="exact"/>
              <w:rPr>
                <w:sz w:val="20"/>
                <w:szCs w:val="20"/>
                <w:color w:val="auto"/>
              </w:rPr>
            </w:pPr>
            <w:r>
              <w:rPr>
                <w:rFonts w:ascii="Arial" w:cs="Arial" w:eastAsia="Arial" w:hAnsi="Arial"/>
                <w:sz w:val="15"/>
                <w:szCs w:val="15"/>
                <w:b w:val="1"/>
                <w:bCs w:val="1"/>
                <w:color w:val="auto"/>
              </w:rPr>
              <w:t>April 30,</w:t>
            </w:r>
          </w:p>
        </w:tc>
        <w:tc>
          <w:tcPr>
            <w:tcW w:w="280" w:type="dxa"/>
            <w:vAlign w:val="bottom"/>
          </w:tcPr>
          <w:p>
            <w:pPr>
              <w:spacing w:after="0"/>
              <w:rPr>
                <w:sz w:val="13"/>
                <w:szCs w:val="13"/>
                <w:color w:val="auto"/>
              </w:rPr>
            </w:pPr>
          </w:p>
        </w:tc>
        <w:tc>
          <w:tcPr>
            <w:tcW w:w="1120" w:type="dxa"/>
            <w:vAlign w:val="bottom"/>
          </w:tcPr>
          <w:p>
            <w:pPr>
              <w:jc w:val="right"/>
              <w:ind w:right="343"/>
              <w:spacing w:after="0" w:line="151" w:lineRule="exact"/>
              <w:rPr>
                <w:sz w:val="20"/>
                <w:szCs w:val="20"/>
                <w:color w:val="auto"/>
              </w:rPr>
            </w:pPr>
            <w:r>
              <w:rPr>
                <w:rFonts w:ascii="Arial" w:cs="Arial" w:eastAsia="Arial" w:hAnsi="Arial"/>
                <w:sz w:val="15"/>
                <w:szCs w:val="15"/>
                <w:b w:val="1"/>
                <w:bCs w:val="1"/>
                <w:color w:val="auto"/>
              </w:rPr>
              <w:t>April 29,</w:t>
            </w:r>
          </w:p>
        </w:tc>
        <w:tc>
          <w:tcPr>
            <w:tcW w:w="260" w:type="dxa"/>
            <w:vAlign w:val="bottom"/>
          </w:tcPr>
          <w:p>
            <w:pPr>
              <w:spacing w:after="0"/>
              <w:rPr>
                <w:sz w:val="13"/>
                <w:szCs w:val="13"/>
                <w:color w:val="auto"/>
              </w:rPr>
            </w:pPr>
          </w:p>
        </w:tc>
        <w:tc>
          <w:tcPr>
            <w:tcW w:w="1080" w:type="dxa"/>
            <w:vAlign w:val="bottom"/>
          </w:tcPr>
          <w:p>
            <w:pPr>
              <w:jc w:val="right"/>
              <w:ind w:right="303"/>
              <w:spacing w:after="0" w:line="151" w:lineRule="exact"/>
              <w:rPr>
                <w:sz w:val="20"/>
                <w:szCs w:val="20"/>
                <w:color w:val="auto"/>
              </w:rPr>
            </w:pPr>
            <w:r>
              <w:rPr>
                <w:rFonts w:ascii="Arial" w:cs="Arial" w:eastAsia="Arial" w:hAnsi="Arial"/>
                <w:sz w:val="15"/>
                <w:szCs w:val="15"/>
                <w:b w:val="1"/>
                <w:bCs w:val="1"/>
                <w:color w:val="auto"/>
              </w:rPr>
              <w:t>April 30,</w:t>
            </w:r>
          </w:p>
        </w:tc>
      </w:tr>
      <w:tr>
        <w:trPr>
          <w:trHeight w:val="194"/>
        </w:trPr>
        <w:tc>
          <w:tcPr>
            <w:tcW w:w="34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83"/>
              <w:spacing w:after="0"/>
              <w:rPr>
                <w:sz w:val="20"/>
                <w:szCs w:val="20"/>
                <w:color w:val="auto"/>
              </w:rPr>
            </w:pPr>
            <w:r>
              <w:rPr>
                <w:rFonts w:ascii="Arial" w:cs="Arial" w:eastAsia="Arial" w:hAnsi="Arial"/>
                <w:sz w:val="15"/>
                <w:szCs w:val="15"/>
                <w:b w:val="1"/>
                <w:bCs w:val="1"/>
                <w:color w:val="auto"/>
              </w:rPr>
              <w:t>2017</w:t>
            </w: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63"/>
              <w:spacing w:after="0"/>
              <w:rPr>
                <w:sz w:val="20"/>
                <w:szCs w:val="20"/>
                <w:color w:val="auto"/>
              </w:rPr>
            </w:pPr>
            <w:r>
              <w:rPr>
                <w:rFonts w:ascii="Arial" w:cs="Arial" w:eastAsia="Arial" w:hAnsi="Arial"/>
                <w:sz w:val="15"/>
                <w:szCs w:val="15"/>
                <w:b w:val="1"/>
                <w:bCs w:val="1"/>
                <w:color w:val="auto"/>
              </w:rPr>
              <w:t>2016</w:t>
            </w: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83"/>
              <w:spacing w:after="0"/>
              <w:rPr>
                <w:sz w:val="20"/>
                <w:szCs w:val="20"/>
                <w:color w:val="auto"/>
              </w:rPr>
            </w:pPr>
            <w:r>
              <w:rPr>
                <w:rFonts w:ascii="Arial" w:cs="Arial" w:eastAsia="Arial" w:hAnsi="Arial"/>
                <w:sz w:val="15"/>
                <w:szCs w:val="15"/>
                <w:b w:val="1"/>
                <w:bCs w:val="1"/>
                <w:color w:val="auto"/>
              </w:rPr>
              <w:t>2017</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23"/>
              <w:spacing w:after="0"/>
              <w:rPr>
                <w:sz w:val="20"/>
                <w:szCs w:val="20"/>
                <w:color w:val="auto"/>
              </w:rPr>
            </w:pPr>
            <w:r>
              <w:rPr>
                <w:rFonts w:ascii="Arial" w:cs="Arial" w:eastAsia="Arial" w:hAnsi="Arial"/>
                <w:sz w:val="15"/>
                <w:szCs w:val="15"/>
                <w:b w:val="1"/>
                <w:bCs w:val="1"/>
                <w:color w:val="auto"/>
              </w:rPr>
              <w:t>2016</w:t>
            </w:r>
          </w:p>
        </w:tc>
      </w:tr>
      <w:tr>
        <w:trPr>
          <w:trHeight w:val="187"/>
        </w:trPr>
        <w:tc>
          <w:tcPr>
            <w:tcW w:w="3480" w:type="dxa"/>
            <w:vAlign w:val="bottom"/>
            <w:shd w:val="clear" w:color="auto" w:fill="CCEEFF"/>
          </w:tcPr>
          <w:p>
            <w:pPr>
              <w:spacing w:after="0"/>
              <w:rPr>
                <w:sz w:val="20"/>
                <w:szCs w:val="20"/>
                <w:color w:val="auto"/>
              </w:rPr>
            </w:pPr>
            <w:r>
              <w:rPr>
                <w:rFonts w:ascii="Arial" w:cs="Arial" w:eastAsia="Arial" w:hAnsi="Arial"/>
                <w:sz w:val="15"/>
                <w:szCs w:val="15"/>
                <w:color w:val="auto"/>
              </w:rPr>
              <w:t>Weighted-average risk free rate of interest</w:t>
            </w: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2.1 %</w:t>
            </w: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1.4 %</w:t>
            </w:r>
          </w:p>
        </w:tc>
        <w:tc>
          <w:tcPr>
            <w:tcW w:w="28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0.7 %</w:t>
            </w: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0.3 %</w:t>
            </w:r>
          </w:p>
        </w:tc>
      </w:tr>
      <w:tr>
        <w:trPr>
          <w:trHeight w:val="207"/>
        </w:trPr>
        <w:tc>
          <w:tcPr>
            <w:tcW w:w="3480" w:type="dxa"/>
            <w:vAlign w:val="bottom"/>
          </w:tcPr>
          <w:p>
            <w:pPr>
              <w:spacing w:after="0"/>
              <w:rPr>
                <w:sz w:val="20"/>
                <w:szCs w:val="20"/>
                <w:color w:val="auto"/>
              </w:rPr>
            </w:pPr>
            <w:r>
              <w:rPr>
                <w:rFonts w:ascii="Arial" w:cs="Arial" w:eastAsia="Arial" w:hAnsi="Arial"/>
                <w:sz w:val="15"/>
                <w:szCs w:val="15"/>
                <w:color w:val="auto"/>
              </w:rPr>
              <w:t>Expected volatility</w:t>
            </w:r>
          </w:p>
        </w:tc>
        <w:tc>
          <w:tcPr>
            <w:tcW w:w="360" w:type="dxa"/>
            <w:vAlign w:val="bottom"/>
          </w:tcPr>
          <w:p>
            <w:pPr>
              <w:spacing w:after="0"/>
              <w:rPr>
                <w:sz w:val="17"/>
                <w:szCs w:val="17"/>
                <w:color w:val="auto"/>
              </w:rPr>
            </w:pPr>
          </w:p>
        </w:tc>
        <w:tc>
          <w:tcPr>
            <w:tcW w:w="1140" w:type="dxa"/>
            <w:vAlign w:val="bottom"/>
          </w:tcPr>
          <w:p>
            <w:pPr>
              <w:jc w:val="right"/>
              <w:ind w:right="23"/>
              <w:spacing w:after="0"/>
              <w:rPr>
                <w:sz w:val="20"/>
                <w:szCs w:val="20"/>
                <w:color w:val="auto"/>
              </w:rPr>
            </w:pPr>
            <w:r>
              <w:rPr>
                <w:rFonts w:ascii="Arial" w:cs="Arial" w:eastAsia="Arial" w:hAnsi="Arial"/>
                <w:sz w:val="15"/>
                <w:szCs w:val="15"/>
                <w:b w:val="1"/>
                <w:bCs w:val="1"/>
                <w:color w:val="auto"/>
              </w:rPr>
              <w:t>25 %</w:t>
            </w:r>
          </w:p>
        </w:tc>
        <w:tc>
          <w:tcPr>
            <w:tcW w:w="28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30 %</w:t>
            </w:r>
          </w:p>
        </w:tc>
        <w:tc>
          <w:tcPr>
            <w:tcW w:w="280" w:type="dxa"/>
            <w:vAlign w:val="bottom"/>
          </w:tcPr>
          <w:p>
            <w:pPr>
              <w:spacing w:after="0"/>
              <w:rPr>
                <w:sz w:val="17"/>
                <w:szCs w:val="17"/>
                <w:color w:val="auto"/>
              </w:rPr>
            </w:pPr>
          </w:p>
        </w:tc>
        <w:tc>
          <w:tcPr>
            <w:tcW w:w="1120" w:type="dxa"/>
            <w:vAlign w:val="bottom"/>
          </w:tcPr>
          <w:p>
            <w:pPr>
              <w:jc w:val="right"/>
              <w:ind w:right="23"/>
              <w:spacing w:after="0"/>
              <w:rPr>
                <w:sz w:val="20"/>
                <w:szCs w:val="20"/>
                <w:color w:val="auto"/>
              </w:rPr>
            </w:pPr>
            <w:r>
              <w:rPr>
                <w:rFonts w:ascii="Arial" w:cs="Arial" w:eastAsia="Arial" w:hAnsi="Arial"/>
                <w:sz w:val="15"/>
                <w:szCs w:val="15"/>
                <w:b w:val="1"/>
                <w:bCs w:val="1"/>
                <w:color w:val="auto"/>
              </w:rPr>
              <w:t>29 %</w:t>
            </w:r>
          </w:p>
        </w:tc>
        <w:tc>
          <w:tcPr>
            <w:tcW w:w="2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25 %</w:t>
            </w:r>
          </w:p>
        </w:tc>
      </w:tr>
      <w:tr>
        <w:trPr>
          <w:trHeight w:val="365"/>
        </w:trPr>
        <w:tc>
          <w:tcPr>
            <w:tcW w:w="3480" w:type="dxa"/>
            <w:vAlign w:val="bottom"/>
            <w:shd w:val="clear" w:color="auto" w:fill="CCEEFF"/>
          </w:tcPr>
          <w:p>
            <w:pPr>
              <w:spacing w:after="0"/>
              <w:rPr>
                <w:sz w:val="20"/>
                <w:szCs w:val="20"/>
                <w:color w:val="auto"/>
              </w:rPr>
            </w:pPr>
            <w:r>
              <w:rPr>
                <w:rFonts w:ascii="Arial" w:cs="Arial" w:eastAsia="Arial" w:hAnsi="Arial"/>
                <w:sz w:val="15"/>
                <w:szCs w:val="15"/>
                <w:color w:val="auto"/>
              </w:rPr>
              <w:t>Weighted-average expected award life (in years)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03"/>
              <w:spacing w:after="0"/>
              <w:rPr>
                <w:sz w:val="20"/>
                <w:szCs w:val="20"/>
                <w:color w:val="auto"/>
              </w:rPr>
            </w:pPr>
            <w:r>
              <w:rPr>
                <w:rFonts w:ascii="Arial" w:cs="Arial" w:eastAsia="Arial" w:hAnsi="Arial"/>
                <w:sz w:val="15"/>
                <w:szCs w:val="15"/>
                <w:b w:val="1"/>
                <w:bCs w:val="1"/>
                <w:color w:val="auto"/>
              </w:rPr>
              <w:t>5.3</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rPr>
              <w:t>5.7</w:t>
            </w:r>
          </w:p>
        </w:tc>
        <w:tc>
          <w:tcPr>
            <w:tcW w:w="28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3"/>
              <w:spacing w:after="0"/>
              <w:rPr>
                <w:sz w:val="20"/>
                <w:szCs w:val="20"/>
                <w:color w:val="auto"/>
              </w:rPr>
            </w:pPr>
            <w:r>
              <w:rPr>
                <w:rFonts w:ascii="Arial" w:cs="Arial" w:eastAsia="Arial" w:hAnsi="Arial"/>
                <w:sz w:val="15"/>
                <w:szCs w:val="15"/>
                <w:b w:val="1"/>
                <w:bCs w:val="1"/>
                <w:color w:val="auto"/>
              </w:rPr>
              <w:t>1.0</w:t>
            </w: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rPr>
              <w:t>1.0</w:t>
            </w:r>
          </w:p>
        </w:tc>
      </w:tr>
      <w:tr>
        <w:trPr>
          <w:trHeight w:val="207"/>
        </w:trPr>
        <w:tc>
          <w:tcPr>
            <w:tcW w:w="3480" w:type="dxa"/>
            <w:vAlign w:val="bottom"/>
          </w:tcPr>
          <w:p>
            <w:pPr>
              <w:spacing w:after="0"/>
              <w:rPr>
                <w:sz w:val="20"/>
                <w:szCs w:val="20"/>
                <w:color w:val="auto"/>
              </w:rPr>
            </w:pPr>
            <w:r>
              <w:rPr>
                <w:rFonts w:ascii="Arial" w:cs="Arial" w:eastAsia="Arial" w:hAnsi="Arial"/>
                <w:sz w:val="15"/>
                <w:szCs w:val="15"/>
                <w:color w:val="auto"/>
              </w:rPr>
              <w:t>Dividend yield</w:t>
            </w:r>
          </w:p>
        </w:tc>
        <w:tc>
          <w:tcPr>
            <w:tcW w:w="360" w:type="dxa"/>
            <w:vAlign w:val="bottom"/>
          </w:tcPr>
          <w:p>
            <w:pPr>
              <w:spacing w:after="0"/>
              <w:rPr>
                <w:sz w:val="17"/>
                <w:szCs w:val="17"/>
                <w:color w:val="auto"/>
              </w:rPr>
            </w:pPr>
          </w:p>
        </w:tc>
        <w:tc>
          <w:tcPr>
            <w:tcW w:w="1140" w:type="dxa"/>
            <w:vAlign w:val="bottom"/>
          </w:tcPr>
          <w:p>
            <w:pPr>
              <w:jc w:val="right"/>
              <w:ind w:right="23"/>
              <w:spacing w:after="0"/>
              <w:rPr>
                <w:sz w:val="20"/>
                <w:szCs w:val="20"/>
                <w:color w:val="auto"/>
              </w:rPr>
            </w:pPr>
            <w:r>
              <w:rPr>
                <w:rFonts w:ascii="Arial" w:cs="Arial" w:eastAsia="Arial" w:hAnsi="Arial"/>
                <w:sz w:val="15"/>
                <w:szCs w:val="15"/>
                <w:b w:val="1"/>
                <w:bCs w:val="1"/>
                <w:color w:val="auto"/>
              </w:rPr>
              <w:t>1.7 %</w:t>
            </w:r>
          </w:p>
        </w:tc>
        <w:tc>
          <w:tcPr>
            <w:tcW w:w="28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1.7 %</w:t>
            </w:r>
          </w:p>
        </w:tc>
        <w:tc>
          <w:tcPr>
            <w:tcW w:w="280" w:type="dxa"/>
            <w:vAlign w:val="bottom"/>
          </w:tcPr>
          <w:p>
            <w:pPr>
              <w:spacing w:after="0"/>
              <w:rPr>
                <w:sz w:val="17"/>
                <w:szCs w:val="17"/>
                <w:color w:val="auto"/>
              </w:rPr>
            </w:pPr>
          </w:p>
        </w:tc>
        <w:tc>
          <w:tcPr>
            <w:tcW w:w="1120" w:type="dxa"/>
            <w:vAlign w:val="bottom"/>
          </w:tcPr>
          <w:p>
            <w:pPr>
              <w:jc w:val="right"/>
              <w:ind w:right="23"/>
              <w:spacing w:after="0"/>
              <w:rPr>
                <w:sz w:val="20"/>
                <w:szCs w:val="20"/>
                <w:color w:val="auto"/>
              </w:rPr>
            </w:pPr>
            <w:r>
              <w:rPr>
                <w:rFonts w:ascii="Arial" w:cs="Arial" w:eastAsia="Arial" w:hAnsi="Arial"/>
                <w:sz w:val="15"/>
                <w:szCs w:val="15"/>
                <w:b w:val="1"/>
                <w:bCs w:val="1"/>
                <w:color w:val="auto"/>
              </w:rPr>
              <w:t>2.0 %</w:t>
            </w:r>
          </w:p>
        </w:tc>
        <w:tc>
          <w:tcPr>
            <w:tcW w:w="2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1.6 %</w:t>
            </w:r>
          </w:p>
        </w:tc>
      </w:tr>
      <w:tr>
        <w:trPr>
          <w:trHeight w:val="207"/>
        </w:trPr>
        <w:tc>
          <w:tcPr>
            <w:tcW w:w="3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Weighted-average fair value</w:t>
            </w:r>
          </w:p>
        </w:tc>
        <w:tc>
          <w:tcPr>
            <w:tcW w:w="3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w:t>
            </w:r>
          </w:p>
        </w:tc>
        <w:tc>
          <w:tcPr>
            <w:tcW w:w="114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b w:val="1"/>
                <w:bCs w:val="1"/>
                <w:color w:val="auto"/>
              </w:rPr>
              <w:t>15.58</w:t>
            </w:r>
          </w:p>
        </w:tc>
        <w:tc>
          <w:tcPr>
            <w:tcW w:w="2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rPr>
              <w:t>15.78</w:t>
            </w:r>
          </w:p>
        </w:tc>
        <w:tc>
          <w:tcPr>
            <w:tcW w:w="2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w:t>
            </w:r>
          </w:p>
        </w:tc>
        <w:tc>
          <w:tcPr>
            <w:tcW w:w="112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b w:val="1"/>
                <w:bCs w:val="1"/>
                <w:color w:val="auto"/>
              </w:rPr>
              <w:t>10.33</w:t>
            </w:r>
          </w:p>
        </w:tc>
        <w:tc>
          <w:tcPr>
            <w:tcW w:w="2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rPr>
              <w:t>11.12</w:t>
            </w:r>
          </w:p>
        </w:tc>
      </w:tr>
    </w:tbl>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The information in the following table covers option activity under the Company’s stock option plans for the thirteen weeks ended April 29, 2017:</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80" w:type="dxa"/>
            <w:vAlign w:val="bottom"/>
          </w:tcPr>
          <w:p>
            <w:pPr>
              <w:jc w:val="center"/>
              <w:ind w:right="83"/>
              <w:spacing w:after="0"/>
              <w:rPr>
                <w:sz w:val="20"/>
                <w:szCs w:val="20"/>
                <w:color w:val="auto"/>
              </w:rPr>
            </w:pPr>
            <w:r>
              <w:rPr>
                <w:rFonts w:ascii="Arial" w:cs="Arial" w:eastAsia="Arial" w:hAnsi="Arial"/>
                <w:sz w:val="15"/>
                <w:szCs w:val="15"/>
                <w:b w:val="1"/>
                <w:bCs w:val="1"/>
                <w:color w:val="auto"/>
              </w:rPr>
              <w:t>Weighted-</w:t>
            </w:r>
          </w:p>
        </w:tc>
        <w:tc>
          <w:tcPr>
            <w:tcW w:w="320" w:type="dxa"/>
            <w:vAlign w:val="bottom"/>
          </w:tcPr>
          <w:p>
            <w:pPr>
              <w:spacing w:after="0"/>
              <w:rPr>
                <w:sz w:val="15"/>
                <w:szCs w:val="15"/>
                <w:color w:val="auto"/>
              </w:rPr>
            </w:pPr>
          </w:p>
        </w:tc>
        <w:tc>
          <w:tcPr>
            <w:tcW w:w="1100" w:type="dxa"/>
            <w:vAlign w:val="bottom"/>
          </w:tcPr>
          <w:p>
            <w:pPr>
              <w:jc w:val="center"/>
              <w:ind w:right="203"/>
              <w:spacing w:after="0"/>
              <w:rPr>
                <w:sz w:val="20"/>
                <w:szCs w:val="20"/>
                <w:color w:val="auto"/>
              </w:rPr>
            </w:pPr>
            <w:r>
              <w:rPr>
                <w:rFonts w:ascii="Arial" w:cs="Arial" w:eastAsia="Arial" w:hAnsi="Arial"/>
                <w:sz w:val="15"/>
                <w:szCs w:val="15"/>
                <w:b w:val="1"/>
                <w:bCs w:val="1"/>
                <w:color w:val="auto"/>
              </w:rPr>
              <w:t>Weighted-</w:t>
            </w:r>
          </w:p>
        </w:tc>
      </w:tr>
      <w:tr>
        <w:trPr>
          <w:trHeight w:val="182"/>
        </w:trPr>
        <w:tc>
          <w:tcPr>
            <w:tcW w:w="6100" w:type="dxa"/>
            <w:vAlign w:val="bottom"/>
            <w:gridSpan w:val="2"/>
          </w:tcPr>
          <w:p>
            <w:pPr>
              <w:jc w:val="center"/>
              <w:ind w:left="4563"/>
              <w:spacing w:after="0"/>
              <w:rPr>
                <w:sz w:val="20"/>
                <w:szCs w:val="20"/>
                <w:color w:val="auto"/>
              </w:rPr>
            </w:pPr>
            <w:r>
              <w:rPr>
                <w:rFonts w:ascii="Arial" w:cs="Arial" w:eastAsia="Arial" w:hAnsi="Arial"/>
                <w:sz w:val="15"/>
                <w:szCs w:val="15"/>
                <w:b w:val="1"/>
                <w:bCs w:val="1"/>
                <w:color w:val="auto"/>
              </w:rPr>
              <w:t>Number</w:t>
            </w:r>
          </w:p>
        </w:tc>
        <w:tc>
          <w:tcPr>
            <w:tcW w:w="1580" w:type="dxa"/>
            <w:vAlign w:val="bottom"/>
          </w:tcPr>
          <w:p>
            <w:pPr>
              <w:jc w:val="center"/>
              <w:ind w:right="63"/>
              <w:spacing w:after="0"/>
              <w:rPr>
                <w:sz w:val="20"/>
                <w:szCs w:val="20"/>
                <w:color w:val="auto"/>
              </w:rPr>
            </w:pPr>
            <w:r>
              <w:rPr>
                <w:rFonts w:ascii="Arial" w:cs="Arial" w:eastAsia="Arial" w:hAnsi="Arial"/>
                <w:sz w:val="15"/>
                <w:szCs w:val="15"/>
                <w:b w:val="1"/>
                <w:bCs w:val="1"/>
                <w:color w:val="auto"/>
              </w:rPr>
              <w:t>Average</w:t>
            </w:r>
          </w:p>
        </w:tc>
        <w:tc>
          <w:tcPr>
            <w:tcW w:w="320" w:type="dxa"/>
            <w:vAlign w:val="bottom"/>
          </w:tcPr>
          <w:p>
            <w:pPr>
              <w:spacing w:after="0"/>
              <w:rPr>
                <w:sz w:val="15"/>
                <w:szCs w:val="15"/>
                <w:color w:val="auto"/>
              </w:rPr>
            </w:pPr>
          </w:p>
        </w:tc>
        <w:tc>
          <w:tcPr>
            <w:tcW w:w="1100" w:type="dxa"/>
            <w:vAlign w:val="bottom"/>
          </w:tcPr>
          <w:p>
            <w:pPr>
              <w:jc w:val="center"/>
              <w:ind w:right="183"/>
              <w:spacing w:after="0"/>
              <w:rPr>
                <w:sz w:val="20"/>
                <w:szCs w:val="20"/>
                <w:color w:val="auto"/>
              </w:rPr>
            </w:pPr>
            <w:r>
              <w:rPr>
                <w:rFonts w:ascii="Arial" w:cs="Arial" w:eastAsia="Arial" w:hAnsi="Arial"/>
                <w:sz w:val="15"/>
                <w:szCs w:val="15"/>
                <w:b w:val="1"/>
                <w:bCs w:val="1"/>
                <w:color w:val="auto"/>
              </w:rPr>
              <w:t>Average</w:t>
            </w:r>
          </w:p>
        </w:tc>
      </w:tr>
      <w:tr>
        <w:trPr>
          <w:trHeight w:val="182"/>
        </w:trPr>
        <w:tc>
          <w:tcPr>
            <w:tcW w:w="5440" w:type="dxa"/>
            <w:vAlign w:val="bottom"/>
          </w:tcPr>
          <w:p>
            <w:pPr>
              <w:jc w:val="center"/>
              <w:ind w:left="5223"/>
              <w:spacing w:after="0"/>
              <w:rPr>
                <w:sz w:val="20"/>
                <w:szCs w:val="20"/>
                <w:color w:val="auto"/>
              </w:rPr>
            </w:pPr>
            <w:r>
              <w:rPr>
                <w:rFonts w:ascii="Arial" w:cs="Arial" w:eastAsia="Arial" w:hAnsi="Arial"/>
                <w:sz w:val="15"/>
                <w:szCs w:val="15"/>
                <w:b w:val="1"/>
                <w:bCs w:val="1"/>
                <w:color w:val="auto"/>
                <w:w w:val="98"/>
              </w:rPr>
              <w:t>of</w:t>
            </w:r>
          </w:p>
        </w:tc>
        <w:tc>
          <w:tcPr>
            <w:tcW w:w="660" w:type="dxa"/>
            <w:vAlign w:val="bottom"/>
          </w:tcPr>
          <w:p>
            <w:pPr>
              <w:spacing w:after="0"/>
              <w:rPr>
                <w:sz w:val="15"/>
                <w:szCs w:val="15"/>
                <w:color w:val="auto"/>
              </w:rPr>
            </w:pPr>
          </w:p>
        </w:tc>
        <w:tc>
          <w:tcPr>
            <w:tcW w:w="1580" w:type="dxa"/>
            <w:vAlign w:val="bottom"/>
          </w:tcPr>
          <w:p>
            <w:pPr>
              <w:jc w:val="center"/>
              <w:ind w:right="63"/>
              <w:spacing w:after="0"/>
              <w:rPr>
                <w:sz w:val="20"/>
                <w:szCs w:val="20"/>
                <w:color w:val="auto"/>
              </w:rPr>
            </w:pPr>
            <w:r>
              <w:rPr>
                <w:rFonts w:ascii="Arial" w:cs="Arial" w:eastAsia="Arial" w:hAnsi="Arial"/>
                <w:sz w:val="15"/>
                <w:szCs w:val="15"/>
                <w:b w:val="1"/>
                <w:bCs w:val="1"/>
                <w:color w:val="auto"/>
              </w:rPr>
              <w:t>Remaining</w:t>
            </w:r>
          </w:p>
        </w:tc>
        <w:tc>
          <w:tcPr>
            <w:tcW w:w="320" w:type="dxa"/>
            <w:vAlign w:val="bottom"/>
          </w:tcPr>
          <w:p>
            <w:pPr>
              <w:spacing w:after="0"/>
              <w:rPr>
                <w:sz w:val="15"/>
                <w:szCs w:val="15"/>
                <w:color w:val="auto"/>
              </w:rPr>
            </w:pPr>
          </w:p>
        </w:tc>
        <w:tc>
          <w:tcPr>
            <w:tcW w:w="1100" w:type="dxa"/>
            <w:vAlign w:val="bottom"/>
          </w:tcPr>
          <w:p>
            <w:pPr>
              <w:jc w:val="center"/>
              <w:ind w:right="183"/>
              <w:spacing w:after="0"/>
              <w:rPr>
                <w:sz w:val="20"/>
                <w:szCs w:val="20"/>
                <w:color w:val="auto"/>
              </w:rPr>
            </w:pPr>
            <w:r>
              <w:rPr>
                <w:rFonts w:ascii="Arial" w:cs="Arial" w:eastAsia="Arial" w:hAnsi="Arial"/>
                <w:sz w:val="15"/>
                <w:szCs w:val="15"/>
                <w:b w:val="1"/>
                <w:bCs w:val="1"/>
                <w:color w:val="auto"/>
              </w:rPr>
              <w:t>Exercise</w:t>
            </w:r>
          </w:p>
        </w:tc>
      </w:tr>
      <w:tr>
        <w:trPr>
          <w:trHeight w:val="194"/>
        </w:trPr>
        <w:tc>
          <w:tcPr>
            <w:tcW w:w="6100" w:type="dxa"/>
            <w:vAlign w:val="bottom"/>
            <w:tcBorders>
              <w:bottom w:val="single" w:sz="8" w:color="auto"/>
            </w:tcBorders>
            <w:gridSpan w:val="2"/>
          </w:tcPr>
          <w:p>
            <w:pPr>
              <w:jc w:val="center"/>
              <w:ind w:left="4543"/>
              <w:spacing w:after="0"/>
              <w:rPr>
                <w:sz w:val="20"/>
                <w:szCs w:val="20"/>
                <w:color w:val="auto"/>
              </w:rPr>
            </w:pPr>
            <w:r>
              <w:rPr>
                <w:rFonts w:ascii="Arial" w:cs="Arial" w:eastAsia="Arial" w:hAnsi="Arial"/>
                <w:sz w:val="15"/>
                <w:szCs w:val="15"/>
                <w:b w:val="1"/>
                <w:bCs w:val="1"/>
                <w:color w:val="auto"/>
              </w:rPr>
              <w:t>Shares</w:t>
            </w:r>
          </w:p>
        </w:tc>
        <w:tc>
          <w:tcPr>
            <w:tcW w:w="1580" w:type="dxa"/>
            <w:vAlign w:val="bottom"/>
            <w:tcBorders>
              <w:bottom w:val="single" w:sz="8" w:color="auto"/>
            </w:tcBorders>
          </w:tcPr>
          <w:p>
            <w:pPr>
              <w:jc w:val="center"/>
              <w:ind w:right="63"/>
              <w:spacing w:after="0"/>
              <w:rPr>
                <w:sz w:val="20"/>
                <w:szCs w:val="20"/>
                <w:color w:val="auto"/>
              </w:rPr>
            </w:pPr>
            <w:r>
              <w:rPr>
                <w:rFonts w:ascii="Arial" w:cs="Arial" w:eastAsia="Arial" w:hAnsi="Arial"/>
                <w:sz w:val="15"/>
                <w:szCs w:val="15"/>
                <w:b w:val="1"/>
                <w:bCs w:val="1"/>
                <w:color w:val="auto"/>
              </w:rPr>
              <w:t>Contractual Life</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03"/>
              <w:spacing w:after="0"/>
              <w:rPr>
                <w:sz w:val="20"/>
                <w:szCs w:val="20"/>
                <w:color w:val="auto"/>
              </w:rPr>
            </w:pPr>
            <w:r>
              <w:rPr>
                <w:rFonts w:ascii="Arial" w:cs="Arial" w:eastAsia="Arial" w:hAnsi="Arial"/>
                <w:sz w:val="15"/>
                <w:szCs w:val="15"/>
                <w:b w:val="1"/>
                <w:bCs w:val="1"/>
                <w:color w:val="auto"/>
              </w:rPr>
              <w:t>Price</w:t>
            </w:r>
          </w:p>
        </w:tc>
      </w:tr>
      <w:tr>
        <w:trPr>
          <w:trHeight w:val="187"/>
        </w:trPr>
        <w:tc>
          <w:tcPr>
            <w:tcW w:w="6100" w:type="dxa"/>
            <w:vAlign w:val="bottom"/>
            <w:gridSpan w:val="2"/>
          </w:tcPr>
          <w:p>
            <w:pPr>
              <w:jc w:val="center"/>
              <w:ind w:left="4563"/>
              <w:spacing w:after="0"/>
              <w:rPr>
                <w:sz w:val="20"/>
                <w:szCs w:val="20"/>
                <w:color w:val="auto"/>
              </w:rPr>
            </w:pPr>
            <w:r>
              <w:rPr>
                <w:rFonts w:ascii="Arial" w:cs="Arial" w:eastAsia="Arial" w:hAnsi="Arial"/>
                <w:sz w:val="15"/>
                <w:szCs w:val="15"/>
                <w:color w:val="auto"/>
              </w:rPr>
              <w:t>(in thousands)</w:t>
            </w:r>
          </w:p>
        </w:tc>
        <w:tc>
          <w:tcPr>
            <w:tcW w:w="1580" w:type="dxa"/>
            <w:vAlign w:val="bottom"/>
          </w:tcPr>
          <w:p>
            <w:pPr>
              <w:jc w:val="center"/>
              <w:ind w:right="63"/>
              <w:spacing w:after="0"/>
              <w:rPr>
                <w:sz w:val="20"/>
                <w:szCs w:val="20"/>
                <w:color w:val="auto"/>
              </w:rPr>
            </w:pPr>
            <w:r>
              <w:rPr>
                <w:rFonts w:ascii="Arial" w:cs="Arial" w:eastAsia="Arial" w:hAnsi="Arial"/>
                <w:sz w:val="15"/>
                <w:szCs w:val="15"/>
                <w:color w:val="auto"/>
              </w:rPr>
              <w:t>(in years)</w:t>
            </w:r>
          </w:p>
        </w:tc>
        <w:tc>
          <w:tcPr>
            <w:tcW w:w="320" w:type="dxa"/>
            <w:vAlign w:val="bottom"/>
          </w:tcPr>
          <w:p>
            <w:pPr>
              <w:spacing w:after="0"/>
              <w:rPr>
                <w:sz w:val="16"/>
                <w:szCs w:val="16"/>
                <w:color w:val="auto"/>
              </w:rPr>
            </w:pPr>
          </w:p>
        </w:tc>
        <w:tc>
          <w:tcPr>
            <w:tcW w:w="1100" w:type="dxa"/>
            <w:vAlign w:val="bottom"/>
          </w:tcPr>
          <w:p>
            <w:pPr>
              <w:jc w:val="center"/>
              <w:ind w:right="183"/>
              <w:spacing w:after="0"/>
              <w:rPr>
                <w:sz w:val="20"/>
                <w:szCs w:val="20"/>
                <w:color w:val="auto"/>
              </w:rPr>
            </w:pPr>
            <w:r>
              <w:rPr>
                <w:rFonts w:ascii="Arial" w:cs="Arial" w:eastAsia="Arial" w:hAnsi="Arial"/>
                <w:sz w:val="15"/>
                <w:szCs w:val="15"/>
                <w:color w:val="auto"/>
              </w:rPr>
              <w:t>(per share)</w:t>
            </w:r>
          </w:p>
        </w:tc>
      </w:tr>
      <w:tr>
        <w:trPr>
          <w:trHeight w:val="207"/>
        </w:trPr>
        <w:tc>
          <w:tcPr>
            <w:tcW w:w="5440" w:type="dxa"/>
            <w:vAlign w:val="bottom"/>
            <w:shd w:val="clear" w:color="auto" w:fill="CCEEFF"/>
          </w:tcPr>
          <w:p>
            <w:pPr>
              <w:spacing w:after="0"/>
              <w:rPr>
                <w:sz w:val="20"/>
                <w:szCs w:val="20"/>
                <w:color w:val="auto"/>
              </w:rPr>
            </w:pPr>
            <w:r>
              <w:rPr>
                <w:rFonts w:ascii="Arial" w:cs="Arial" w:eastAsia="Arial" w:hAnsi="Arial"/>
                <w:sz w:val="15"/>
                <w:szCs w:val="15"/>
                <w:color w:val="auto"/>
              </w:rPr>
              <w:t>Options outstanding at the beginning of the year</w:t>
            </w:r>
          </w:p>
        </w:tc>
        <w:tc>
          <w:tcPr>
            <w:tcW w:w="6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2,806</w:t>
            </w:r>
          </w:p>
        </w:tc>
        <w:tc>
          <w:tcPr>
            <w:tcW w:w="158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42.61</w:t>
            </w:r>
          </w:p>
        </w:tc>
      </w:tr>
      <w:tr>
        <w:trPr>
          <w:trHeight w:val="207"/>
        </w:trPr>
        <w:tc>
          <w:tcPr>
            <w:tcW w:w="5440" w:type="dxa"/>
            <w:vAlign w:val="bottom"/>
          </w:tcPr>
          <w:p>
            <w:pPr>
              <w:spacing w:after="0"/>
              <w:rPr>
                <w:sz w:val="20"/>
                <w:szCs w:val="20"/>
                <w:color w:val="auto"/>
              </w:rPr>
            </w:pPr>
            <w:r>
              <w:rPr>
                <w:rFonts w:ascii="Arial" w:cs="Arial" w:eastAsia="Arial" w:hAnsi="Arial"/>
                <w:sz w:val="15"/>
                <w:szCs w:val="15"/>
                <w:color w:val="auto"/>
              </w:rPr>
              <w:t>Granted</w:t>
            </w:r>
          </w:p>
        </w:tc>
        <w:tc>
          <w:tcPr>
            <w:tcW w:w="660" w:type="dxa"/>
            <w:vAlign w:val="bottom"/>
          </w:tcPr>
          <w:p>
            <w:pPr>
              <w:jc w:val="right"/>
              <w:ind w:right="103"/>
              <w:spacing w:after="0"/>
              <w:rPr>
                <w:sz w:val="20"/>
                <w:szCs w:val="20"/>
                <w:color w:val="auto"/>
              </w:rPr>
            </w:pPr>
            <w:r>
              <w:rPr>
                <w:rFonts w:ascii="Arial" w:cs="Arial" w:eastAsia="Arial" w:hAnsi="Arial"/>
                <w:sz w:val="15"/>
                <w:szCs w:val="15"/>
                <w:color w:val="auto"/>
              </w:rPr>
              <w:t>496</w:t>
            </w:r>
          </w:p>
        </w:tc>
        <w:tc>
          <w:tcPr>
            <w:tcW w:w="1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72.83</w:t>
            </w:r>
          </w:p>
        </w:tc>
      </w:tr>
      <w:tr>
        <w:trPr>
          <w:trHeight w:val="207"/>
        </w:trPr>
        <w:tc>
          <w:tcPr>
            <w:tcW w:w="5440" w:type="dxa"/>
            <w:vAlign w:val="bottom"/>
            <w:shd w:val="clear" w:color="auto" w:fill="CCEEFF"/>
          </w:tcPr>
          <w:p>
            <w:pPr>
              <w:spacing w:after="0"/>
              <w:rPr>
                <w:sz w:val="20"/>
                <w:szCs w:val="20"/>
                <w:color w:val="auto"/>
              </w:rPr>
            </w:pPr>
            <w:r>
              <w:rPr>
                <w:rFonts w:ascii="Arial" w:cs="Arial" w:eastAsia="Arial" w:hAnsi="Arial"/>
                <w:sz w:val="15"/>
                <w:szCs w:val="15"/>
                <w:color w:val="auto"/>
              </w:rPr>
              <w:t>Exercised</w:t>
            </w:r>
          </w:p>
        </w:tc>
        <w:tc>
          <w:tcPr>
            <w:tcW w:w="6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(315)</w:t>
            </w:r>
          </w:p>
        </w:tc>
        <w:tc>
          <w:tcPr>
            <w:tcW w:w="1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27.83</w:t>
            </w:r>
          </w:p>
        </w:tc>
      </w:tr>
      <w:tr>
        <w:trPr>
          <w:trHeight w:val="207"/>
        </w:trPr>
        <w:tc>
          <w:tcPr>
            <w:tcW w:w="54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Expired or cancelled</w:t>
            </w:r>
          </w:p>
        </w:tc>
        <w:tc>
          <w:tcPr>
            <w:tcW w:w="66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(2)</w:t>
            </w:r>
          </w:p>
        </w:tc>
        <w:tc>
          <w:tcPr>
            <w:tcW w:w="15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41.81</w:t>
            </w:r>
          </w:p>
        </w:tc>
      </w:tr>
      <w:tr>
        <w:trPr>
          <w:trHeight w:val="179"/>
        </w:trPr>
        <w:tc>
          <w:tcPr>
            <w:tcW w:w="5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Options outstanding at April 29, 2017</w:t>
            </w:r>
          </w:p>
        </w:tc>
        <w:tc>
          <w:tcPr>
            <w:tcW w:w="6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2,985</w:t>
            </w:r>
          </w:p>
        </w:tc>
        <w:tc>
          <w:tcPr>
            <w:tcW w:w="15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6.7</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49.19</w:t>
            </w:r>
          </w:p>
        </w:tc>
      </w:tr>
      <w:tr>
        <w:trPr>
          <w:trHeight w:val="195"/>
        </w:trPr>
        <w:tc>
          <w:tcPr>
            <w:tcW w:w="5440" w:type="dxa"/>
            <w:vAlign w:val="bottom"/>
          </w:tcPr>
          <w:p>
            <w:pPr>
              <w:spacing w:after="0"/>
              <w:rPr>
                <w:sz w:val="20"/>
                <w:szCs w:val="20"/>
                <w:color w:val="auto"/>
              </w:rPr>
            </w:pPr>
            <w:r>
              <w:rPr>
                <w:rFonts w:ascii="Arial" w:cs="Arial" w:eastAsia="Arial" w:hAnsi="Arial"/>
                <w:sz w:val="15"/>
                <w:szCs w:val="15"/>
                <w:color w:val="auto"/>
              </w:rPr>
              <w:t>Options exercisable at April 29, 2017</w:t>
            </w:r>
          </w:p>
        </w:tc>
        <w:tc>
          <w:tcPr>
            <w:tcW w:w="660" w:type="dxa"/>
            <w:vAlign w:val="bottom"/>
          </w:tcPr>
          <w:p>
            <w:pPr>
              <w:jc w:val="right"/>
              <w:ind w:right="103"/>
              <w:spacing w:after="0"/>
              <w:rPr>
                <w:sz w:val="20"/>
                <w:szCs w:val="20"/>
                <w:color w:val="auto"/>
              </w:rPr>
            </w:pPr>
            <w:r>
              <w:rPr>
                <w:rFonts w:ascii="Arial" w:cs="Arial" w:eastAsia="Arial" w:hAnsi="Arial"/>
                <w:sz w:val="15"/>
                <w:szCs w:val="15"/>
                <w:color w:val="auto"/>
              </w:rPr>
              <w:t>1,935</w:t>
            </w:r>
          </w:p>
        </w:tc>
        <w:tc>
          <w:tcPr>
            <w:tcW w:w="1580" w:type="dxa"/>
            <w:vAlign w:val="bottom"/>
          </w:tcPr>
          <w:p>
            <w:pPr>
              <w:jc w:val="right"/>
              <w:ind w:right="103"/>
              <w:spacing w:after="0"/>
              <w:rPr>
                <w:sz w:val="20"/>
                <w:szCs w:val="20"/>
                <w:color w:val="auto"/>
              </w:rPr>
            </w:pPr>
            <w:r>
              <w:rPr>
                <w:rFonts w:ascii="Arial" w:cs="Arial" w:eastAsia="Arial" w:hAnsi="Arial"/>
                <w:sz w:val="15"/>
                <w:szCs w:val="15"/>
                <w:color w:val="auto"/>
              </w:rPr>
              <w:t>5.4</w:t>
            </w:r>
          </w:p>
        </w:tc>
        <w:tc>
          <w:tcPr>
            <w:tcW w:w="320" w:type="dxa"/>
            <w:vAlign w:val="bottom"/>
          </w:tcPr>
          <w:p>
            <w:pPr>
              <w:jc w:val="right"/>
              <w:spacing w:after="0"/>
              <w:rPr>
                <w:sz w:val="20"/>
                <w:szCs w:val="20"/>
                <w:color w:val="auto"/>
              </w:rPr>
            </w:pPr>
            <w:r>
              <w:rPr>
                <w:rFonts w:ascii="Arial" w:cs="Arial" w:eastAsia="Arial" w:hAnsi="Arial"/>
                <w:sz w:val="15"/>
                <w:szCs w:val="15"/>
                <w:color w:val="auto"/>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39.23</w:t>
            </w:r>
          </w:p>
        </w:tc>
      </w:tr>
      <w:tr>
        <w:trPr>
          <w:trHeight w:val="207"/>
        </w:trPr>
        <w:tc>
          <w:tcPr>
            <w:tcW w:w="5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Options available for future grant at April 29, 2017</w:t>
            </w:r>
          </w:p>
        </w:tc>
        <w:tc>
          <w:tcPr>
            <w:tcW w:w="6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11,031</w:t>
            </w:r>
          </w:p>
        </w:tc>
        <w:tc>
          <w:tcPr>
            <w:tcW w:w="158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r>
    </w:tbl>
    <w:p>
      <w:pPr>
        <w:spacing w:after="0" w:line="189"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The total fair value of options vested as of April 29, 2017 and April 30, 2016 was $7 million and $8 million, respectively. The cash received from option exercises for the thirteen weeks ended April 29, 2017 and April 30, 2016 was $9 million and $7 million, respectively.</w:t>
      </w:r>
    </w:p>
    <w:p>
      <w:pPr>
        <w:spacing w:after="0" w:line="326"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The total intrinsic value of options exercised (the difference between the market price of the Company’s common stock on the exercise date and the price paid by the optionee to exercise the option) is presented below:</w:t>
      </w:r>
    </w:p>
    <w:p>
      <w:pPr>
        <w:spacing w:after="0" w:line="79" w:lineRule="exact"/>
        <w:rPr>
          <w:sz w:val="20"/>
          <w:szCs w:val="20"/>
          <w:color w:val="auto"/>
        </w:rPr>
      </w:pPr>
    </w:p>
    <w:p>
      <w:pPr>
        <w:ind w:left="6860"/>
        <w:spacing w:after="0"/>
        <w:rPr>
          <w:sz w:val="20"/>
          <w:szCs w:val="20"/>
          <w:color w:val="auto"/>
        </w:rPr>
      </w:pPr>
      <w:r>
        <w:rPr>
          <w:rFonts w:ascii="Arial" w:cs="Arial" w:eastAsia="Arial" w:hAnsi="Arial"/>
          <w:sz w:val="15"/>
          <w:szCs w:val="15"/>
          <w:b w:val="1"/>
          <w:bCs w:val="1"/>
          <w:color w:val="auto"/>
        </w:rPr>
        <w:t>Thirteen weeks ended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460" w:type="dxa"/>
            <w:vAlign w:val="bottom"/>
            <w:tcBorders>
              <w:top w:val="single" w:sz="8" w:color="auto"/>
            </w:tcBorders>
          </w:tcPr>
          <w:p>
            <w:pPr>
              <w:spacing w:after="0"/>
              <w:rPr>
                <w:sz w:val="13"/>
                <w:szCs w:val="13"/>
                <w:color w:val="auto"/>
              </w:rPr>
            </w:pPr>
          </w:p>
        </w:tc>
        <w:tc>
          <w:tcPr>
            <w:tcW w:w="3760" w:type="dxa"/>
            <w:vAlign w:val="bottom"/>
            <w:tcBorders>
              <w:top w:val="single" w:sz="8" w:color="auto"/>
            </w:tcBorders>
          </w:tcPr>
          <w:p>
            <w:pPr>
              <w:jc w:val="center"/>
              <w:ind w:left="3043"/>
              <w:spacing w:after="0" w:line="151" w:lineRule="exact"/>
              <w:rPr>
                <w:sz w:val="20"/>
                <w:szCs w:val="20"/>
                <w:color w:val="auto"/>
              </w:rPr>
            </w:pPr>
            <w:r>
              <w:rPr>
                <w:rFonts w:ascii="Arial" w:cs="Arial" w:eastAsia="Arial" w:hAnsi="Arial"/>
                <w:sz w:val="15"/>
                <w:szCs w:val="15"/>
                <w:b w:val="1"/>
                <w:bCs w:val="1"/>
                <w:color w:val="auto"/>
              </w:rPr>
              <w:t>April 29,</w:t>
            </w:r>
          </w:p>
        </w:tc>
        <w:tc>
          <w:tcPr>
            <w:tcW w:w="4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263"/>
              <w:spacing w:after="0" w:line="151" w:lineRule="exact"/>
              <w:rPr>
                <w:sz w:val="20"/>
                <w:szCs w:val="20"/>
                <w:color w:val="auto"/>
              </w:rPr>
            </w:pPr>
            <w:r>
              <w:rPr>
                <w:rFonts w:ascii="Arial" w:cs="Arial" w:eastAsia="Arial" w:hAnsi="Arial"/>
                <w:sz w:val="15"/>
                <w:szCs w:val="15"/>
                <w:b w:val="1"/>
                <w:bCs w:val="1"/>
                <w:color w:val="auto"/>
              </w:rPr>
              <w:t>April 30,</w:t>
            </w:r>
          </w:p>
        </w:tc>
      </w:tr>
      <w:tr>
        <w:trPr>
          <w:trHeight w:val="194"/>
        </w:trPr>
        <w:tc>
          <w:tcPr>
            <w:tcW w:w="3460" w:type="dxa"/>
            <w:vAlign w:val="bottom"/>
            <w:tcBorders>
              <w:bottom w:val="single" w:sz="8" w:color="auto"/>
            </w:tcBorders>
          </w:tcPr>
          <w:p>
            <w:pPr>
              <w:spacing w:after="0"/>
              <w:rPr>
                <w:sz w:val="16"/>
                <w:szCs w:val="16"/>
                <w:color w:val="auto"/>
              </w:rPr>
            </w:pPr>
          </w:p>
        </w:tc>
        <w:tc>
          <w:tcPr>
            <w:tcW w:w="376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rPr>
              <w:t>2017</w:t>
            </w:r>
          </w:p>
        </w:tc>
        <w:tc>
          <w:tcPr>
            <w:tcW w:w="4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b w:val="1"/>
                <w:bCs w:val="1"/>
                <w:color w:val="auto"/>
              </w:rPr>
              <w:t>2016</w:t>
            </w:r>
          </w:p>
        </w:tc>
      </w:tr>
      <w:tr>
        <w:trPr>
          <w:trHeight w:val="199"/>
        </w:trPr>
        <w:tc>
          <w:tcPr>
            <w:tcW w:w="346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5"/>
                <w:szCs w:val="15"/>
                <w:color w:val="auto"/>
                <w:w w:val="99"/>
              </w:rPr>
              <w:t>($ in millions)</w:t>
            </w:r>
          </w:p>
        </w:tc>
        <w:tc>
          <w:tcPr>
            <w:tcW w:w="960" w:type="dxa"/>
            <w:vAlign w:val="bottom"/>
          </w:tcPr>
          <w:p>
            <w:pPr>
              <w:spacing w:after="0"/>
              <w:rPr>
                <w:sz w:val="17"/>
                <w:szCs w:val="17"/>
                <w:color w:val="auto"/>
              </w:rPr>
            </w:pPr>
          </w:p>
        </w:tc>
      </w:tr>
      <w:tr>
        <w:trPr>
          <w:trHeight w:val="207"/>
        </w:trPr>
        <w:tc>
          <w:tcPr>
            <w:tcW w:w="3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Exercised</w:t>
            </w:r>
          </w:p>
        </w:tc>
        <w:tc>
          <w:tcPr>
            <w:tcW w:w="3760" w:type="dxa"/>
            <w:vAlign w:val="bottom"/>
            <w:tcBorders>
              <w:bottom w:val="single" w:sz="8" w:color="auto"/>
            </w:tcBorders>
            <w:shd w:val="clear" w:color="auto" w:fill="CCEEFF"/>
          </w:tcPr>
          <w:p>
            <w:pPr>
              <w:jc w:val="right"/>
              <w:ind w:right="803"/>
              <w:spacing w:after="0"/>
              <w:rPr>
                <w:sz w:val="20"/>
                <w:szCs w:val="20"/>
                <w:color w:val="auto"/>
              </w:rPr>
            </w:pPr>
            <w:r>
              <w:rPr>
                <w:rFonts w:ascii="Arial" w:cs="Arial" w:eastAsia="Arial" w:hAnsi="Arial"/>
                <w:sz w:val="15"/>
                <w:szCs w:val="15"/>
                <w:b w:val="1"/>
                <w:bCs w:val="1"/>
                <w:color w:val="auto"/>
              </w:rPr>
              <w:t>$</w:t>
            </w:r>
          </w:p>
        </w:tc>
        <w:tc>
          <w:tcPr>
            <w:tcW w:w="4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b w:val="1"/>
                <w:bCs w:val="1"/>
                <w:color w:val="auto"/>
              </w:rPr>
              <w:t>15</w:t>
            </w:r>
          </w:p>
        </w:tc>
        <w:tc>
          <w:tcPr>
            <w:tcW w:w="48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w:t>
            </w:r>
          </w:p>
        </w:tc>
      </w:tr>
    </w:tbl>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The total tax benefit realized from option exercises was $6 million and $5 million for the thirteen weeks ended April 29, 2017 and April 30, 2016,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5817870" cy="482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116" w:right="1399" w:bottom="1440" w:gutter="0" w:footer="0" w:header="0"/>
        </w:sectPr>
      </w:pPr>
    </w:p>
    <w:bookmarkStart w:id="15" w:name="page16"/>
    <w:bookmarkEnd w:id="15"/>
    <w:p>
      <w:pPr>
        <w:jc w:val="center"/>
        <w:spacing w:after="0"/>
        <w:rPr>
          <w:sz w:val="20"/>
          <w:szCs w:val="20"/>
          <w:color w:val="auto"/>
        </w:rPr>
      </w:pPr>
      <w:r>
        <w:rPr>
          <w:rFonts w:ascii="Arial" w:cs="Arial" w:eastAsia="Arial" w:hAnsi="Arial"/>
          <w:sz w:val="15"/>
          <w:szCs w:val="15"/>
          <w:b w:val="1"/>
          <w:bCs w:val="1"/>
          <w:color w:val="auto"/>
        </w:rPr>
        <w:t>FOOT LOCKER,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CONDENSED CONSOLIDATED FINANCIAL STATEMENTS</w:t>
      </w:r>
    </w:p>
    <w:p>
      <w:pPr>
        <w:spacing w:after="0" w:line="19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The aggregate intrinsic value for stock options outstanding, outstanding and exercisable, and vested and expected to vest (the difference between the Company’s closing stock price on the last trading day of the period and the exercise price of the options, multiplied by the number of in-the-money stock options) is presented below:</w:t>
      </w:r>
    </w:p>
    <w:p>
      <w:pPr>
        <w:spacing w:after="0" w:line="184" w:lineRule="exact"/>
        <w:rPr>
          <w:sz w:val="20"/>
          <w:szCs w:val="20"/>
          <w:color w:val="auto"/>
        </w:rPr>
      </w:pPr>
    </w:p>
    <w:p>
      <w:pPr>
        <w:ind w:left="6860"/>
        <w:spacing w:after="0"/>
        <w:rPr>
          <w:sz w:val="20"/>
          <w:szCs w:val="20"/>
          <w:color w:val="auto"/>
        </w:rPr>
      </w:pPr>
      <w:r>
        <w:rPr>
          <w:rFonts w:ascii="Arial" w:cs="Arial" w:eastAsia="Arial" w:hAnsi="Arial"/>
          <w:sz w:val="15"/>
          <w:szCs w:val="15"/>
          <w:b w:val="1"/>
          <w:bCs w:val="1"/>
          <w:color w:val="auto"/>
        </w:rPr>
        <w:t>Thirteen weeks ended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4180" w:type="dxa"/>
            <w:vAlign w:val="bottom"/>
            <w:tcBorders>
              <w:top w:val="single" w:sz="8" w:color="auto"/>
            </w:tcBorders>
          </w:tcPr>
          <w:p>
            <w:pPr>
              <w:spacing w:after="0"/>
              <w:rPr>
                <w:sz w:val="13"/>
                <w:szCs w:val="13"/>
                <w:color w:val="auto"/>
              </w:rPr>
            </w:pPr>
          </w:p>
        </w:tc>
        <w:tc>
          <w:tcPr>
            <w:tcW w:w="304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5"/>
                <w:szCs w:val="15"/>
                <w:b w:val="1"/>
                <w:bCs w:val="1"/>
                <w:color w:val="auto"/>
              </w:rPr>
              <w:t>April 29,</w:t>
            </w:r>
          </w:p>
        </w:tc>
        <w:tc>
          <w:tcPr>
            <w:tcW w:w="52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263"/>
              <w:spacing w:after="0" w:line="151" w:lineRule="exact"/>
              <w:rPr>
                <w:sz w:val="20"/>
                <w:szCs w:val="20"/>
                <w:color w:val="auto"/>
              </w:rPr>
            </w:pPr>
            <w:r>
              <w:rPr>
                <w:rFonts w:ascii="Arial" w:cs="Arial" w:eastAsia="Arial" w:hAnsi="Arial"/>
                <w:sz w:val="15"/>
                <w:szCs w:val="15"/>
                <w:b w:val="1"/>
                <w:bCs w:val="1"/>
                <w:color w:val="auto"/>
              </w:rPr>
              <w:t>April 30,</w:t>
            </w:r>
          </w:p>
        </w:tc>
      </w:tr>
      <w:tr>
        <w:trPr>
          <w:trHeight w:val="194"/>
        </w:trPr>
        <w:tc>
          <w:tcPr>
            <w:tcW w:w="418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rPr>
              <w:t>2017</w:t>
            </w:r>
          </w:p>
        </w:tc>
        <w:tc>
          <w:tcPr>
            <w:tcW w:w="5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b w:val="1"/>
                <w:bCs w:val="1"/>
                <w:color w:val="auto"/>
              </w:rPr>
              <w:t>2016</w:t>
            </w:r>
          </w:p>
        </w:tc>
      </w:tr>
      <w:tr>
        <w:trPr>
          <w:trHeight w:val="187"/>
        </w:trPr>
        <w:tc>
          <w:tcPr>
            <w:tcW w:w="418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Arial" w:cs="Arial" w:eastAsia="Arial" w:hAnsi="Arial"/>
                <w:sz w:val="15"/>
                <w:szCs w:val="15"/>
                <w:color w:val="auto"/>
                <w:w w:val="99"/>
              </w:rPr>
              <w:t>($ in millions)</w:t>
            </w:r>
          </w:p>
        </w:tc>
        <w:tc>
          <w:tcPr>
            <w:tcW w:w="960" w:type="dxa"/>
            <w:vAlign w:val="bottom"/>
          </w:tcPr>
          <w:p>
            <w:pPr>
              <w:spacing w:after="0"/>
              <w:rPr>
                <w:sz w:val="16"/>
                <w:szCs w:val="16"/>
                <w:color w:val="auto"/>
              </w:rPr>
            </w:pPr>
          </w:p>
        </w:tc>
      </w:tr>
      <w:tr>
        <w:trPr>
          <w:trHeight w:val="207"/>
        </w:trPr>
        <w:tc>
          <w:tcPr>
            <w:tcW w:w="4180" w:type="dxa"/>
            <w:vAlign w:val="bottom"/>
            <w:shd w:val="clear" w:color="auto" w:fill="CCEEFF"/>
          </w:tcPr>
          <w:p>
            <w:pPr>
              <w:spacing w:after="0"/>
              <w:rPr>
                <w:sz w:val="20"/>
                <w:szCs w:val="20"/>
                <w:color w:val="auto"/>
              </w:rPr>
            </w:pPr>
            <w:r>
              <w:rPr>
                <w:rFonts w:ascii="Arial" w:cs="Arial" w:eastAsia="Arial" w:hAnsi="Arial"/>
                <w:sz w:val="15"/>
                <w:szCs w:val="15"/>
                <w:color w:val="auto"/>
              </w:rPr>
              <w:t>Outstanding</w:t>
            </w:r>
          </w:p>
        </w:tc>
        <w:tc>
          <w:tcPr>
            <w:tcW w:w="3040" w:type="dxa"/>
            <w:vAlign w:val="bottom"/>
            <w:shd w:val="clear" w:color="auto" w:fill="CCEEFF"/>
          </w:tcPr>
          <w:p>
            <w:pPr>
              <w:jc w:val="right"/>
              <w:ind w:right="643"/>
              <w:spacing w:after="0"/>
              <w:rPr>
                <w:sz w:val="20"/>
                <w:szCs w:val="20"/>
                <w:color w:val="auto"/>
              </w:rPr>
            </w:pPr>
            <w:r>
              <w:rPr>
                <w:rFonts w:ascii="Arial" w:cs="Arial" w:eastAsia="Arial" w:hAnsi="Arial"/>
                <w:sz w:val="15"/>
                <w:szCs w:val="15"/>
                <w:b w:val="1"/>
                <w:bCs w:val="1"/>
                <w:color w:val="auto"/>
              </w:rPr>
              <w:t>$</w:t>
            </w:r>
          </w:p>
        </w:tc>
        <w:tc>
          <w:tcPr>
            <w:tcW w:w="52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84</w:t>
            </w:r>
          </w:p>
        </w:tc>
        <w:tc>
          <w:tcPr>
            <w:tcW w:w="4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w:t>
            </w:r>
          </w:p>
        </w:tc>
      </w:tr>
      <w:tr>
        <w:trPr>
          <w:trHeight w:val="207"/>
        </w:trPr>
        <w:tc>
          <w:tcPr>
            <w:tcW w:w="4180" w:type="dxa"/>
            <w:vAlign w:val="bottom"/>
          </w:tcPr>
          <w:p>
            <w:pPr>
              <w:spacing w:after="0"/>
              <w:rPr>
                <w:sz w:val="20"/>
                <w:szCs w:val="20"/>
                <w:color w:val="auto"/>
              </w:rPr>
            </w:pPr>
            <w:r>
              <w:rPr>
                <w:rFonts w:ascii="Arial" w:cs="Arial" w:eastAsia="Arial" w:hAnsi="Arial"/>
                <w:sz w:val="15"/>
                <w:szCs w:val="15"/>
                <w:color w:val="auto"/>
              </w:rPr>
              <w:t>Outstanding and exercisable</w:t>
            </w:r>
          </w:p>
        </w:tc>
        <w:tc>
          <w:tcPr>
            <w:tcW w:w="3040" w:type="dxa"/>
            <w:vAlign w:val="bottom"/>
          </w:tcPr>
          <w:p>
            <w:pPr>
              <w:jc w:val="right"/>
              <w:ind w:right="643"/>
              <w:spacing w:after="0"/>
              <w:rPr>
                <w:sz w:val="20"/>
                <w:szCs w:val="20"/>
                <w:color w:val="auto"/>
              </w:rPr>
            </w:pPr>
            <w:r>
              <w:rPr>
                <w:rFonts w:ascii="Arial" w:cs="Arial" w:eastAsia="Arial" w:hAnsi="Arial"/>
                <w:sz w:val="15"/>
                <w:szCs w:val="15"/>
                <w:b w:val="1"/>
                <w:bCs w:val="1"/>
                <w:color w:val="auto"/>
              </w:rPr>
              <w:t>$</w:t>
            </w:r>
          </w:p>
        </w:tc>
        <w:tc>
          <w:tcPr>
            <w:tcW w:w="520" w:type="dxa"/>
            <w:vAlign w:val="bottom"/>
          </w:tcPr>
          <w:p>
            <w:pPr>
              <w:jc w:val="right"/>
              <w:ind w:right="143"/>
              <w:spacing w:after="0"/>
              <w:rPr>
                <w:sz w:val="20"/>
                <w:szCs w:val="20"/>
                <w:color w:val="auto"/>
              </w:rPr>
            </w:pPr>
            <w:r>
              <w:rPr>
                <w:rFonts w:ascii="Arial" w:cs="Arial" w:eastAsia="Arial" w:hAnsi="Arial"/>
                <w:sz w:val="15"/>
                <w:szCs w:val="15"/>
                <w:b w:val="1"/>
                <w:bCs w:val="1"/>
                <w:color w:val="auto"/>
              </w:rPr>
              <w:t>74</w:t>
            </w:r>
          </w:p>
        </w:tc>
        <w:tc>
          <w:tcPr>
            <w:tcW w:w="40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91</w:t>
            </w:r>
          </w:p>
        </w:tc>
      </w:tr>
      <w:tr>
        <w:trPr>
          <w:trHeight w:val="207"/>
        </w:trPr>
        <w:tc>
          <w:tcPr>
            <w:tcW w:w="4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Vested and expected to vest</w:t>
            </w:r>
          </w:p>
        </w:tc>
        <w:tc>
          <w:tcPr>
            <w:tcW w:w="3040" w:type="dxa"/>
            <w:vAlign w:val="bottom"/>
            <w:tcBorders>
              <w:bottom w:val="single" w:sz="8" w:color="auto"/>
            </w:tcBorders>
            <w:shd w:val="clear" w:color="auto" w:fill="CCEEFF"/>
          </w:tcPr>
          <w:p>
            <w:pPr>
              <w:jc w:val="right"/>
              <w:ind w:right="643"/>
              <w:spacing w:after="0"/>
              <w:rPr>
                <w:sz w:val="20"/>
                <w:szCs w:val="20"/>
                <w:color w:val="auto"/>
              </w:rPr>
            </w:pPr>
            <w:r>
              <w:rPr>
                <w:rFonts w:ascii="Arial" w:cs="Arial" w:eastAsia="Arial" w:hAnsi="Arial"/>
                <w:sz w:val="15"/>
                <w:szCs w:val="15"/>
                <w:b w:val="1"/>
                <w:bCs w:val="1"/>
                <w:color w:val="auto"/>
              </w:rPr>
              <w:t>$</w:t>
            </w:r>
          </w:p>
        </w:tc>
        <w:tc>
          <w:tcPr>
            <w:tcW w:w="52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84</w:t>
            </w:r>
          </w:p>
        </w:tc>
        <w:tc>
          <w:tcPr>
            <w:tcW w:w="4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94</w:t>
            </w:r>
          </w:p>
        </w:tc>
      </w:tr>
    </w:tbl>
    <w:p>
      <w:pPr>
        <w:spacing w:after="0" w:line="128"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As of April 29, 2017 there was $11 million of total unrecognized compensation cost related to nonvested stock options, which is expected to be recognized over a remaining weighted-average period of 1.8 years. The following table summarizes information about stock options outstanding and exercisable at April 29, 2017:</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9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Options Outstanding</w:t>
            </w: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3"/>
          </w:tcPr>
          <w:p>
            <w:pPr>
              <w:jc w:val="right"/>
              <w:ind w:right="403"/>
              <w:spacing w:after="0"/>
              <w:rPr>
                <w:sz w:val="20"/>
                <w:szCs w:val="20"/>
                <w:color w:val="auto"/>
              </w:rPr>
            </w:pPr>
            <w:r>
              <w:rPr>
                <w:rFonts w:ascii="Arial" w:cs="Arial" w:eastAsia="Arial" w:hAnsi="Arial"/>
                <w:sz w:val="15"/>
                <w:szCs w:val="15"/>
                <w:b w:val="1"/>
                <w:bCs w:val="1"/>
                <w:color w:val="auto"/>
              </w:rPr>
              <w:t>Options Exercisable</w:t>
            </w:r>
          </w:p>
        </w:tc>
      </w:tr>
      <w:tr>
        <w:trPr>
          <w:trHeight w:val="151"/>
        </w:trPr>
        <w:tc>
          <w:tcPr>
            <w:tcW w:w="19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660" w:type="dxa"/>
            <w:vAlign w:val="bottom"/>
          </w:tcPr>
          <w:p>
            <w:pPr>
              <w:jc w:val="center"/>
              <w:spacing w:after="0" w:line="151" w:lineRule="exact"/>
              <w:rPr>
                <w:sz w:val="20"/>
                <w:szCs w:val="20"/>
                <w:color w:val="auto"/>
              </w:rPr>
            </w:pPr>
            <w:r>
              <w:rPr>
                <w:rFonts w:ascii="Arial" w:cs="Arial" w:eastAsia="Arial" w:hAnsi="Arial"/>
                <w:sz w:val="15"/>
                <w:szCs w:val="15"/>
                <w:b w:val="1"/>
                <w:bCs w:val="1"/>
                <w:color w:val="auto"/>
              </w:rPr>
              <w:t>Weighted-</w:t>
            </w: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82"/>
        </w:trPr>
        <w:tc>
          <w:tcPr>
            <w:tcW w:w="19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Arial" w:cs="Arial" w:eastAsia="Arial" w:hAnsi="Arial"/>
                <w:sz w:val="15"/>
                <w:szCs w:val="15"/>
                <w:b w:val="1"/>
                <w:bCs w:val="1"/>
                <w:color w:val="auto"/>
              </w:rPr>
              <w:t>Average</w:t>
            </w:r>
          </w:p>
        </w:tc>
        <w:tc>
          <w:tcPr>
            <w:tcW w:w="240" w:type="dxa"/>
            <w:vAlign w:val="bottom"/>
          </w:tcPr>
          <w:p>
            <w:pPr>
              <w:spacing w:after="0"/>
              <w:rPr>
                <w:sz w:val="15"/>
                <w:szCs w:val="15"/>
                <w:color w:val="auto"/>
              </w:rPr>
            </w:pPr>
          </w:p>
        </w:tc>
        <w:tc>
          <w:tcPr>
            <w:tcW w:w="1060" w:type="dxa"/>
            <w:vAlign w:val="bottom"/>
          </w:tcPr>
          <w:p>
            <w:pPr>
              <w:jc w:val="center"/>
              <w:ind w:right="123"/>
              <w:spacing w:after="0"/>
              <w:rPr>
                <w:sz w:val="20"/>
                <w:szCs w:val="20"/>
                <w:color w:val="auto"/>
              </w:rPr>
            </w:pPr>
            <w:r>
              <w:rPr>
                <w:rFonts w:ascii="Arial" w:cs="Arial" w:eastAsia="Arial" w:hAnsi="Arial"/>
                <w:sz w:val="15"/>
                <w:szCs w:val="15"/>
                <w:b w:val="1"/>
                <w:bCs w:val="1"/>
                <w:color w:val="auto"/>
              </w:rPr>
              <w:t>Weighted-</w:t>
            </w: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5"/>
                <w:szCs w:val="15"/>
                <w:b w:val="1"/>
                <w:bCs w:val="1"/>
                <w:color w:val="auto"/>
              </w:rPr>
              <w:t>Weighted-</w:t>
            </w:r>
          </w:p>
        </w:tc>
      </w:tr>
      <w:tr>
        <w:trPr>
          <w:trHeight w:val="182"/>
        </w:trPr>
        <w:tc>
          <w:tcPr>
            <w:tcW w:w="19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Arial" w:cs="Arial" w:eastAsia="Arial" w:hAnsi="Arial"/>
                <w:sz w:val="15"/>
                <w:szCs w:val="15"/>
                <w:b w:val="1"/>
                <w:bCs w:val="1"/>
                <w:color w:val="auto"/>
              </w:rPr>
              <w:t>Remaining</w:t>
            </w:r>
          </w:p>
        </w:tc>
        <w:tc>
          <w:tcPr>
            <w:tcW w:w="240" w:type="dxa"/>
            <w:vAlign w:val="bottom"/>
          </w:tcPr>
          <w:p>
            <w:pPr>
              <w:spacing w:after="0"/>
              <w:rPr>
                <w:sz w:val="15"/>
                <w:szCs w:val="15"/>
                <w:color w:val="auto"/>
              </w:rPr>
            </w:pPr>
          </w:p>
        </w:tc>
        <w:tc>
          <w:tcPr>
            <w:tcW w:w="1060" w:type="dxa"/>
            <w:vAlign w:val="bottom"/>
          </w:tcPr>
          <w:p>
            <w:pPr>
              <w:jc w:val="center"/>
              <w:ind w:right="123"/>
              <w:spacing w:after="0"/>
              <w:rPr>
                <w:sz w:val="20"/>
                <w:szCs w:val="20"/>
                <w:color w:val="auto"/>
              </w:rPr>
            </w:pPr>
            <w:r>
              <w:rPr>
                <w:rFonts w:ascii="Arial" w:cs="Arial" w:eastAsia="Arial" w:hAnsi="Arial"/>
                <w:sz w:val="15"/>
                <w:szCs w:val="15"/>
                <w:b w:val="1"/>
                <w:bCs w:val="1"/>
                <w:color w:val="auto"/>
              </w:rPr>
              <w:t>Average</w:t>
            </w: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5"/>
                <w:szCs w:val="15"/>
                <w:b w:val="1"/>
                <w:bCs w:val="1"/>
                <w:color w:val="auto"/>
              </w:rPr>
              <w:t>Average</w:t>
            </w:r>
          </w:p>
        </w:tc>
      </w:tr>
      <w:tr>
        <w:trPr>
          <w:trHeight w:val="203"/>
        </w:trPr>
        <w:tc>
          <w:tcPr>
            <w:tcW w:w="1940" w:type="dxa"/>
            <w:vAlign w:val="bottom"/>
          </w:tcPr>
          <w:p>
            <w:pPr>
              <w:spacing w:after="0"/>
              <w:rPr>
                <w:sz w:val="20"/>
                <w:szCs w:val="20"/>
                <w:color w:val="auto"/>
              </w:rPr>
            </w:pPr>
            <w:r>
              <w:rPr>
                <w:rFonts w:ascii="Arial" w:cs="Arial" w:eastAsia="Arial" w:hAnsi="Arial"/>
                <w:sz w:val="15"/>
                <w:szCs w:val="15"/>
                <w:b w:val="1"/>
                <w:bCs w:val="1"/>
                <w:color w:val="auto"/>
              </w:rPr>
              <w:t>Range of Exercise</w:t>
            </w:r>
          </w:p>
        </w:tc>
        <w:tc>
          <w:tcPr>
            <w:tcW w:w="1640" w:type="dxa"/>
            <w:vAlign w:val="bottom"/>
          </w:tcPr>
          <w:p>
            <w:pPr>
              <w:jc w:val="right"/>
              <w:ind w:right="223"/>
              <w:spacing w:after="0"/>
              <w:rPr>
                <w:sz w:val="20"/>
                <w:szCs w:val="20"/>
                <w:color w:val="auto"/>
              </w:rPr>
            </w:pPr>
            <w:r>
              <w:rPr>
                <w:rFonts w:ascii="Arial" w:cs="Arial" w:eastAsia="Arial" w:hAnsi="Arial"/>
                <w:sz w:val="15"/>
                <w:szCs w:val="15"/>
                <w:b w:val="1"/>
                <w:bCs w:val="1"/>
                <w:color w:val="auto"/>
              </w:rPr>
              <w:t>Number</w:t>
            </w:r>
          </w:p>
        </w:tc>
        <w:tc>
          <w:tcPr>
            <w:tcW w:w="1660" w:type="dxa"/>
            <w:vAlign w:val="bottom"/>
          </w:tcPr>
          <w:p>
            <w:pPr>
              <w:jc w:val="center"/>
              <w:spacing w:after="0"/>
              <w:rPr>
                <w:sz w:val="20"/>
                <w:szCs w:val="20"/>
                <w:color w:val="auto"/>
              </w:rPr>
            </w:pPr>
            <w:r>
              <w:rPr>
                <w:rFonts w:ascii="Arial" w:cs="Arial" w:eastAsia="Arial" w:hAnsi="Arial"/>
                <w:sz w:val="15"/>
                <w:szCs w:val="15"/>
                <w:b w:val="1"/>
                <w:bCs w:val="1"/>
                <w:color w:val="auto"/>
              </w:rPr>
              <w:t>Contractual</w:t>
            </w:r>
          </w:p>
        </w:tc>
        <w:tc>
          <w:tcPr>
            <w:tcW w:w="240" w:type="dxa"/>
            <w:vAlign w:val="bottom"/>
          </w:tcPr>
          <w:p>
            <w:pPr>
              <w:spacing w:after="0"/>
              <w:rPr>
                <w:sz w:val="17"/>
                <w:szCs w:val="17"/>
                <w:color w:val="auto"/>
              </w:rPr>
            </w:pPr>
          </w:p>
        </w:tc>
        <w:tc>
          <w:tcPr>
            <w:tcW w:w="1060" w:type="dxa"/>
            <w:vAlign w:val="bottom"/>
          </w:tcPr>
          <w:p>
            <w:pPr>
              <w:jc w:val="center"/>
              <w:ind w:right="123"/>
              <w:spacing w:after="0"/>
              <w:rPr>
                <w:sz w:val="20"/>
                <w:szCs w:val="20"/>
                <w:color w:val="auto"/>
              </w:rPr>
            </w:pPr>
            <w:r>
              <w:rPr>
                <w:rFonts w:ascii="Arial" w:cs="Arial" w:eastAsia="Arial" w:hAnsi="Arial"/>
                <w:sz w:val="15"/>
                <w:szCs w:val="15"/>
                <w:b w:val="1"/>
                <w:bCs w:val="1"/>
                <w:color w:val="auto"/>
              </w:rPr>
              <w:t>Exercise</w:t>
            </w:r>
          </w:p>
        </w:tc>
        <w:tc>
          <w:tcPr>
            <w:tcW w:w="1360" w:type="dxa"/>
            <w:vAlign w:val="bottom"/>
          </w:tcPr>
          <w:p>
            <w:pPr>
              <w:jc w:val="right"/>
              <w:ind w:right="383"/>
              <w:spacing w:after="0"/>
              <w:rPr>
                <w:sz w:val="20"/>
                <w:szCs w:val="20"/>
                <w:color w:val="auto"/>
              </w:rPr>
            </w:pPr>
            <w:r>
              <w:rPr>
                <w:rFonts w:ascii="Arial" w:cs="Arial" w:eastAsia="Arial" w:hAnsi="Arial"/>
                <w:sz w:val="15"/>
                <w:szCs w:val="15"/>
                <w:b w:val="1"/>
                <w:bCs w:val="1"/>
                <w:color w:val="auto"/>
              </w:rPr>
              <w:t>Number</w:t>
            </w:r>
          </w:p>
        </w:tc>
        <w:tc>
          <w:tcPr>
            <w:tcW w:w="28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5"/>
                <w:szCs w:val="15"/>
                <w:b w:val="1"/>
                <w:bCs w:val="1"/>
                <w:color w:val="auto"/>
              </w:rPr>
              <w:t>Exercise</w:t>
            </w:r>
          </w:p>
        </w:tc>
      </w:tr>
      <w:tr>
        <w:trPr>
          <w:trHeight w:val="197"/>
        </w:trPr>
        <w:tc>
          <w:tcPr>
            <w:tcW w:w="194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Prices</w:t>
            </w:r>
          </w:p>
        </w:tc>
        <w:tc>
          <w:tcPr>
            <w:tcW w:w="16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rPr>
              <w:t>Outstanding</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Life</w:t>
            </w: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123"/>
              <w:spacing w:after="0"/>
              <w:rPr>
                <w:sz w:val="20"/>
                <w:szCs w:val="20"/>
                <w:color w:val="auto"/>
              </w:rPr>
            </w:pPr>
            <w:r>
              <w:rPr>
                <w:rFonts w:ascii="Arial" w:cs="Arial" w:eastAsia="Arial" w:hAnsi="Arial"/>
                <w:sz w:val="15"/>
                <w:szCs w:val="15"/>
                <w:b w:val="1"/>
                <w:bCs w:val="1"/>
                <w:color w:val="auto"/>
              </w:rPr>
              <w:t>Price</w:t>
            </w:r>
          </w:p>
        </w:tc>
        <w:tc>
          <w:tcPr>
            <w:tcW w:w="136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b w:val="1"/>
                <w:bCs w:val="1"/>
                <w:color w:val="auto"/>
              </w:rPr>
              <w:t>Exercisable</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Price</w:t>
            </w:r>
          </w:p>
        </w:tc>
      </w:tr>
      <w:tr>
        <w:trPr>
          <w:trHeight w:val="187"/>
        </w:trPr>
        <w:tc>
          <w:tcPr>
            <w:tcW w:w="19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320" w:type="dxa"/>
            <w:vAlign w:val="bottom"/>
            <w:gridSpan w:val="4"/>
          </w:tcPr>
          <w:p>
            <w:pPr>
              <w:jc w:val="right"/>
              <w:ind w:right="83"/>
              <w:spacing w:after="0"/>
              <w:rPr>
                <w:sz w:val="20"/>
                <w:szCs w:val="20"/>
                <w:color w:val="auto"/>
              </w:rPr>
            </w:pPr>
            <w:r>
              <w:rPr>
                <w:rFonts w:ascii="Arial" w:cs="Arial" w:eastAsia="Arial" w:hAnsi="Arial"/>
                <w:sz w:val="15"/>
                <w:szCs w:val="15"/>
                <w:color w:val="auto"/>
              </w:rPr>
              <w:t>(in thousands, except prices per share and contractual life)</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07"/>
        </w:trPr>
        <w:tc>
          <w:tcPr>
            <w:tcW w:w="1940" w:type="dxa"/>
            <w:vAlign w:val="bottom"/>
            <w:shd w:val="clear" w:color="auto" w:fill="CCEEFF"/>
          </w:tcPr>
          <w:p>
            <w:pPr>
              <w:spacing w:after="0"/>
              <w:rPr>
                <w:sz w:val="20"/>
                <w:szCs w:val="20"/>
                <w:color w:val="auto"/>
              </w:rPr>
            </w:pPr>
            <w:r>
              <w:rPr>
                <w:rFonts w:ascii="Arial" w:cs="Arial" w:eastAsia="Arial" w:hAnsi="Arial"/>
                <w:sz w:val="15"/>
                <w:szCs w:val="15"/>
                <w:color w:val="auto"/>
              </w:rPr>
              <w:t>$9.85 to $24.75</w:t>
            </w: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551</w:t>
            </w:r>
          </w:p>
        </w:tc>
        <w:tc>
          <w:tcPr>
            <w:tcW w:w="1660" w:type="dxa"/>
            <w:vAlign w:val="bottom"/>
            <w:shd w:val="clear" w:color="auto" w:fill="CCEEFF"/>
          </w:tcPr>
          <w:p>
            <w:pPr>
              <w:jc w:val="right"/>
              <w:ind w:right="283"/>
              <w:spacing w:after="0"/>
              <w:rPr>
                <w:sz w:val="20"/>
                <w:szCs w:val="20"/>
                <w:color w:val="auto"/>
              </w:rPr>
            </w:pPr>
            <w:r>
              <w:rPr>
                <w:rFonts w:ascii="Arial" w:cs="Arial" w:eastAsia="Arial" w:hAnsi="Arial"/>
                <w:sz w:val="15"/>
                <w:szCs w:val="15"/>
                <w:color w:val="auto"/>
              </w:rPr>
              <w:t>2.4</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14.37</w:t>
            </w:r>
          </w:p>
        </w:tc>
        <w:tc>
          <w:tcPr>
            <w:tcW w:w="1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rPr>
              <w:t>551</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14.37</w:t>
            </w:r>
          </w:p>
        </w:tc>
      </w:tr>
      <w:tr>
        <w:trPr>
          <w:trHeight w:val="207"/>
        </w:trPr>
        <w:tc>
          <w:tcPr>
            <w:tcW w:w="1940" w:type="dxa"/>
            <w:vAlign w:val="bottom"/>
          </w:tcPr>
          <w:p>
            <w:pPr>
              <w:spacing w:after="0"/>
              <w:rPr>
                <w:sz w:val="20"/>
                <w:szCs w:val="20"/>
                <w:color w:val="auto"/>
              </w:rPr>
            </w:pPr>
            <w:r>
              <w:rPr>
                <w:rFonts w:ascii="Arial" w:cs="Arial" w:eastAsia="Arial" w:hAnsi="Arial"/>
                <w:sz w:val="15"/>
                <w:szCs w:val="15"/>
                <w:color w:val="auto"/>
              </w:rPr>
              <w:t>$30.92 to $45.08</w:t>
            </w:r>
          </w:p>
        </w:tc>
        <w:tc>
          <w:tcPr>
            <w:tcW w:w="1640" w:type="dxa"/>
            <w:vAlign w:val="bottom"/>
          </w:tcPr>
          <w:p>
            <w:pPr>
              <w:jc w:val="right"/>
              <w:spacing w:after="0"/>
              <w:rPr>
                <w:sz w:val="20"/>
                <w:szCs w:val="20"/>
                <w:color w:val="auto"/>
              </w:rPr>
            </w:pPr>
            <w:r>
              <w:rPr>
                <w:rFonts w:ascii="Arial" w:cs="Arial" w:eastAsia="Arial" w:hAnsi="Arial"/>
                <w:sz w:val="15"/>
                <w:szCs w:val="15"/>
                <w:color w:val="auto"/>
              </w:rPr>
              <w:t>761</w:t>
            </w:r>
          </w:p>
        </w:tc>
        <w:tc>
          <w:tcPr>
            <w:tcW w:w="1660" w:type="dxa"/>
            <w:vAlign w:val="bottom"/>
          </w:tcPr>
          <w:p>
            <w:pPr>
              <w:jc w:val="right"/>
              <w:ind w:right="283"/>
              <w:spacing w:after="0"/>
              <w:rPr>
                <w:sz w:val="20"/>
                <w:szCs w:val="20"/>
                <w:color w:val="auto"/>
              </w:rPr>
            </w:pPr>
            <w:r>
              <w:rPr>
                <w:rFonts w:ascii="Arial" w:cs="Arial" w:eastAsia="Arial" w:hAnsi="Arial"/>
                <w:sz w:val="15"/>
                <w:szCs w:val="15"/>
                <w:color w:val="auto"/>
              </w:rPr>
              <w:t>5.8</w:t>
            </w:r>
          </w:p>
        </w:tc>
        <w:tc>
          <w:tcPr>
            <w:tcW w:w="240" w:type="dxa"/>
            <w:vAlign w:val="bottom"/>
          </w:tcPr>
          <w:p>
            <w:pPr>
              <w:spacing w:after="0"/>
              <w:rPr>
                <w:sz w:val="17"/>
                <w:szCs w:val="17"/>
                <w:color w:val="auto"/>
              </w:rPr>
            </w:pPr>
          </w:p>
        </w:tc>
        <w:tc>
          <w:tcPr>
            <w:tcW w:w="1060" w:type="dxa"/>
            <w:vAlign w:val="bottom"/>
          </w:tcPr>
          <w:p>
            <w:pPr>
              <w:jc w:val="right"/>
              <w:ind w:right="103"/>
              <w:spacing w:after="0"/>
              <w:rPr>
                <w:sz w:val="20"/>
                <w:szCs w:val="20"/>
                <w:color w:val="auto"/>
              </w:rPr>
            </w:pPr>
            <w:r>
              <w:rPr>
                <w:rFonts w:ascii="Arial" w:cs="Arial" w:eastAsia="Arial" w:hAnsi="Arial"/>
                <w:sz w:val="15"/>
                <w:szCs w:val="15"/>
                <w:color w:val="auto"/>
              </w:rPr>
              <w:t>38.50</w:t>
            </w:r>
          </w:p>
        </w:tc>
        <w:tc>
          <w:tcPr>
            <w:tcW w:w="1360" w:type="dxa"/>
            <w:vAlign w:val="bottom"/>
          </w:tcPr>
          <w:p>
            <w:pPr>
              <w:jc w:val="right"/>
              <w:ind w:right="203"/>
              <w:spacing w:after="0"/>
              <w:rPr>
                <w:sz w:val="20"/>
                <w:szCs w:val="20"/>
                <w:color w:val="auto"/>
              </w:rPr>
            </w:pPr>
            <w:r>
              <w:rPr>
                <w:rFonts w:ascii="Arial" w:cs="Arial" w:eastAsia="Arial" w:hAnsi="Arial"/>
                <w:sz w:val="15"/>
                <w:szCs w:val="15"/>
                <w:color w:val="auto"/>
              </w:rPr>
              <w:t>761</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38.50</w:t>
            </w:r>
          </w:p>
        </w:tc>
      </w:tr>
      <w:tr>
        <w:trPr>
          <w:trHeight w:val="207"/>
        </w:trPr>
        <w:tc>
          <w:tcPr>
            <w:tcW w:w="1940" w:type="dxa"/>
            <w:vAlign w:val="bottom"/>
            <w:shd w:val="clear" w:color="auto" w:fill="CCEEFF"/>
          </w:tcPr>
          <w:p>
            <w:pPr>
              <w:spacing w:after="0"/>
              <w:rPr>
                <w:sz w:val="20"/>
                <w:szCs w:val="20"/>
                <w:color w:val="auto"/>
              </w:rPr>
            </w:pPr>
            <w:r>
              <w:rPr>
                <w:rFonts w:ascii="Arial" w:cs="Arial" w:eastAsia="Arial" w:hAnsi="Arial"/>
                <w:sz w:val="15"/>
                <w:szCs w:val="15"/>
                <w:color w:val="auto"/>
              </w:rPr>
              <w:t>$55.02 to $62.11</w:t>
            </w: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700</w:t>
            </w:r>
          </w:p>
        </w:tc>
        <w:tc>
          <w:tcPr>
            <w:tcW w:w="1660" w:type="dxa"/>
            <w:vAlign w:val="bottom"/>
            <w:shd w:val="clear" w:color="auto" w:fill="CCEEFF"/>
          </w:tcPr>
          <w:p>
            <w:pPr>
              <w:jc w:val="right"/>
              <w:ind w:right="283"/>
              <w:spacing w:after="0"/>
              <w:rPr>
                <w:sz w:val="20"/>
                <w:szCs w:val="20"/>
                <w:color w:val="auto"/>
              </w:rPr>
            </w:pPr>
            <w:r>
              <w:rPr>
                <w:rFonts w:ascii="Arial" w:cs="Arial" w:eastAsia="Arial" w:hAnsi="Arial"/>
                <w:sz w:val="15"/>
                <w:szCs w:val="15"/>
                <w:color w:val="auto"/>
              </w:rPr>
              <w:t>7.4</w:t>
            </w: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61.26</w:t>
            </w:r>
          </w:p>
        </w:tc>
        <w:tc>
          <w:tcPr>
            <w:tcW w:w="1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rPr>
              <w:t>467</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61.43</w:t>
            </w:r>
          </w:p>
        </w:tc>
      </w:tr>
      <w:tr>
        <w:trPr>
          <w:trHeight w:val="207"/>
        </w:trPr>
        <w:tc>
          <w:tcPr>
            <w:tcW w:w="19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$63.79 to $73.21</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973</w:t>
            </w:r>
          </w:p>
        </w:tc>
        <w:tc>
          <w:tcPr>
            <w:tcW w:w="166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color w:val="auto"/>
              </w:rPr>
              <w:t>9.4</w:t>
            </w: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68.57</w:t>
            </w:r>
          </w:p>
        </w:tc>
        <w:tc>
          <w:tcPr>
            <w:tcW w:w="136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color w:val="auto"/>
              </w:rPr>
              <w:t>156</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64.02</w:t>
            </w:r>
          </w:p>
        </w:tc>
      </w:tr>
      <w:tr>
        <w:trPr>
          <w:trHeight w:val="179"/>
        </w:trPr>
        <w:tc>
          <w:tcPr>
            <w:tcW w:w="1940" w:type="dxa"/>
            <w:vAlign w:val="bottom"/>
            <w:tcBorders>
              <w:bottom w:val="single" w:sz="8" w:color="auto"/>
            </w:tcBorders>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2,985</w:t>
            </w:r>
          </w:p>
        </w:tc>
        <w:tc>
          <w:tcPr>
            <w:tcW w:w="1660" w:type="dxa"/>
            <w:vAlign w:val="bottom"/>
            <w:tcBorders>
              <w:bottom w:val="single" w:sz="8" w:color="auto"/>
            </w:tcBorders>
            <w:shd w:val="clear" w:color="auto" w:fill="CCEEFF"/>
          </w:tcPr>
          <w:p>
            <w:pPr>
              <w:jc w:val="right"/>
              <w:ind w:right="283"/>
              <w:spacing w:after="0"/>
              <w:rPr>
                <w:sz w:val="20"/>
                <w:szCs w:val="20"/>
                <w:color w:val="auto"/>
              </w:rPr>
            </w:pPr>
            <w:r>
              <w:rPr>
                <w:rFonts w:ascii="Arial" w:cs="Arial" w:eastAsia="Arial" w:hAnsi="Arial"/>
                <w:sz w:val="15"/>
                <w:szCs w:val="15"/>
                <w:color w:val="auto"/>
              </w:rPr>
              <w:t>6.7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49.19</w:t>
            </w:r>
          </w:p>
        </w:tc>
        <w:tc>
          <w:tcPr>
            <w:tcW w:w="136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color w:val="auto"/>
              </w:rPr>
              <w:t>1,935</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39.23</w:t>
            </w:r>
          </w:p>
        </w:tc>
      </w:tr>
    </w:tbl>
    <w:p>
      <w:pPr>
        <w:spacing w:after="0" w:line="17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Restricted Stock and Restricted Stock Units</w:t>
      </w:r>
    </w:p>
    <w:p>
      <w:pPr>
        <w:spacing w:after="0" w:line="160"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Restricted shares of the Company’s common stock and restricted stock units (“RSU”) may be awarded to certain officers and key employees of the Company. Additionally, RSU awards are made to employees in connection with the Company’s long-term incentive program, and to nonemployee directors. Each RSU represents the right to receive one share of the Company’s common stock provided that the performance and vesting conditions are satisfied. There were 669,542 and 660,797 RSU awards outstanding as of April 29, 2017 and April 30, 2016, respectively.</w:t>
      </w:r>
    </w:p>
    <w:p>
      <w:pPr>
        <w:spacing w:after="0" w:line="131" w:lineRule="exact"/>
        <w:rPr>
          <w:sz w:val="20"/>
          <w:szCs w:val="20"/>
          <w:color w:val="auto"/>
        </w:rPr>
      </w:pPr>
    </w:p>
    <w:p>
      <w:pPr>
        <w:jc w:val="both"/>
        <w:spacing w:after="0" w:line="239" w:lineRule="auto"/>
        <w:rPr>
          <w:sz w:val="20"/>
          <w:szCs w:val="20"/>
          <w:color w:val="auto"/>
        </w:rPr>
      </w:pPr>
      <w:r>
        <w:rPr>
          <w:rFonts w:ascii="Arial" w:cs="Arial" w:eastAsia="Arial" w:hAnsi="Arial"/>
          <w:sz w:val="15"/>
          <w:szCs w:val="15"/>
          <w:color w:val="auto"/>
        </w:rPr>
        <w:t>Generally, awards fully vest after the passage of time, typically three years. However, RSU awards made in connection with the Company’s performance-based long-term incentive program are earned after the attainment of certain performance metrics and vest after the passage of time. Restricted stock is considered outstanding at the time of grant and the holders have voting rights. Dividends are paid to holders of restricted stock that vest with the passage of time. With regard to performance-based restricted stock, dividends will be accumulated and paid after the performance criteria are met. No dividends are paid or accumulated on RSU awards. Compensation expense is recognized using the market value at the date of grant and is amortized over the vesting period, provided the recipient continues to be employed by the Company.</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5817870" cy="482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116" w:right="1399" w:bottom="1440" w:gutter="0" w:footer="0" w:header="0"/>
        </w:sectPr>
      </w:pPr>
    </w:p>
    <w:bookmarkStart w:id="16" w:name="page17"/>
    <w:bookmarkEnd w:id="16"/>
    <w:p>
      <w:pPr>
        <w:jc w:val="center"/>
        <w:spacing w:after="0"/>
        <w:rPr>
          <w:sz w:val="20"/>
          <w:szCs w:val="20"/>
          <w:color w:val="auto"/>
        </w:rPr>
      </w:pPr>
      <w:r>
        <w:rPr>
          <w:rFonts w:ascii="Arial" w:cs="Arial" w:eastAsia="Arial" w:hAnsi="Arial"/>
          <w:sz w:val="15"/>
          <w:szCs w:val="15"/>
          <w:b w:val="1"/>
          <w:bCs w:val="1"/>
          <w:color w:val="auto"/>
        </w:rPr>
        <w:t>FOOT LOCKER,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CONDENSED CONSOLIDATED FINANCIAL STATEMENTS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520" w:type="dxa"/>
            <w:vAlign w:val="bottom"/>
            <w:gridSpan w:val="4"/>
          </w:tcPr>
          <w:p>
            <w:pPr>
              <w:spacing w:after="0"/>
              <w:rPr>
                <w:sz w:val="20"/>
                <w:szCs w:val="20"/>
                <w:color w:val="auto"/>
              </w:rPr>
            </w:pPr>
            <w:r>
              <w:rPr>
                <w:rFonts w:ascii="Arial" w:cs="Arial" w:eastAsia="Arial" w:hAnsi="Arial"/>
                <w:sz w:val="15"/>
                <w:szCs w:val="15"/>
                <w:color w:val="auto"/>
              </w:rPr>
              <w:t>Restricted stock and RSU activity for the thirteen weeks ended April 29, 2017 is summarized as follows:</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68"/>
        </w:trPr>
        <w:tc>
          <w:tcPr>
            <w:tcW w:w="34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5"/>
                <w:szCs w:val="15"/>
                <w:b w:val="1"/>
                <w:bCs w:val="1"/>
                <w:color w:val="auto"/>
              </w:rPr>
              <w:t>Weighted-</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82"/>
        </w:trPr>
        <w:tc>
          <w:tcPr>
            <w:tcW w:w="34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5"/>
                <w:szCs w:val="15"/>
                <w:b w:val="1"/>
                <w:bCs w:val="1"/>
                <w:color w:val="auto"/>
              </w:rPr>
              <w:t>Average</w:t>
            </w:r>
          </w:p>
        </w:tc>
        <w:tc>
          <w:tcPr>
            <w:tcW w:w="360" w:type="dxa"/>
            <w:vAlign w:val="bottom"/>
          </w:tcPr>
          <w:p>
            <w:pPr>
              <w:spacing w:after="0"/>
              <w:rPr>
                <w:sz w:val="15"/>
                <w:szCs w:val="15"/>
                <w:color w:val="auto"/>
              </w:rPr>
            </w:pPr>
          </w:p>
        </w:tc>
        <w:tc>
          <w:tcPr>
            <w:tcW w:w="1220" w:type="dxa"/>
            <w:vAlign w:val="bottom"/>
          </w:tcPr>
          <w:p>
            <w:pPr>
              <w:jc w:val="center"/>
              <w:ind w:right="243"/>
              <w:spacing w:after="0"/>
              <w:rPr>
                <w:sz w:val="20"/>
                <w:szCs w:val="20"/>
                <w:color w:val="auto"/>
              </w:rPr>
            </w:pPr>
            <w:r>
              <w:rPr>
                <w:rFonts w:ascii="Arial" w:cs="Arial" w:eastAsia="Arial" w:hAnsi="Arial"/>
                <w:sz w:val="15"/>
                <w:szCs w:val="15"/>
                <w:b w:val="1"/>
                <w:bCs w:val="1"/>
                <w:color w:val="auto"/>
              </w:rPr>
              <w:t>Weighted-</w:t>
            </w:r>
          </w:p>
        </w:tc>
      </w:tr>
      <w:tr>
        <w:trPr>
          <w:trHeight w:val="170"/>
        </w:trPr>
        <w:tc>
          <w:tcPr>
            <w:tcW w:w="3440" w:type="dxa"/>
            <w:vAlign w:val="bottom"/>
          </w:tcPr>
          <w:p>
            <w:pPr>
              <w:spacing w:after="0"/>
              <w:rPr>
                <w:sz w:val="14"/>
                <w:szCs w:val="14"/>
                <w:color w:val="auto"/>
              </w:rPr>
            </w:pPr>
          </w:p>
        </w:tc>
        <w:tc>
          <w:tcPr>
            <w:tcW w:w="2820" w:type="dxa"/>
            <w:vAlign w:val="bottom"/>
            <w:gridSpan w:val="2"/>
          </w:tcPr>
          <w:p>
            <w:pPr>
              <w:jc w:val="center"/>
              <w:ind w:left="1123"/>
              <w:spacing w:after="0" w:line="170" w:lineRule="exact"/>
              <w:rPr>
                <w:sz w:val="20"/>
                <w:szCs w:val="20"/>
                <w:color w:val="auto"/>
              </w:rPr>
            </w:pPr>
            <w:r>
              <w:rPr>
                <w:rFonts w:ascii="Arial" w:cs="Arial" w:eastAsia="Arial" w:hAnsi="Arial"/>
                <w:sz w:val="15"/>
                <w:szCs w:val="15"/>
                <w:b w:val="1"/>
                <w:bCs w:val="1"/>
                <w:color w:val="auto"/>
              </w:rPr>
              <w:t>Number</w:t>
            </w:r>
          </w:p>
        </w:tc>
        <w:tc>
          <w:tcPr>
            <w:tcW w:w="1260" w:type="dxa"/>
            <w:vAlign w:val="bottom"/>
          </w:tcPr>
          <w:p>
            <w:pPr>
              <w:jc w:val="center"/>
              <w:spacing w:after="0" w:line="170" w:lineRule="exact"/>
              <w:rPr>
                <w:sz w:val="20"/>
                <w:szCs w:val="20"/>
                <w:color w:val="auto"/>
              </w:rPr>
            </w:pPr>
            <w:r>
              <w:rPr>
                <w:rFonts w:ascii="Arial" w:cs="Arial" w:eastAsia="Arial" w:hAnsi="Arial"/>
                <w:sz w:val="15"/>
                <w:szCs w:val="15"/>
                <w:b w:val="1"/>
                <w:bCs w:val="1"/>
                <w:color w:val="auto"/>
              </w:rPr>
              <w:t>Remaining</w:t>
            </w:r>
          </w:p>
        </w:tc>
        <w:tc>
          <w:tcPr>
            <w:tcW w:w="360" w:type="dxa"/>
            <w:vAlign w:val="bottom"/>
          </w:tcPr>
          <w:p>
            <w:pPr>
              <w:spacing w:after="0"/>
              <w:rPr>
                <w:sz w:val="14"/>
                <w:szCs w:val="14"/>
                <w:color w:val="auto"/>
              </w:rPr>
            </w:pPr>
          </w:p>
        </w:tc>
        <w:tc>
          <w:tcPr>
            <w:tcW w:w="1220" w:type="dxa"/>
            <w:vAlign w:val="bottom"/>
          </w:tcPr>
          <w:p>
            <w:pPr>
              <w:jc w:val="center"/>
              <w:ind w:right="223"/>
              <w:spacing w:after="0" w:line="170" w:lineRule="exact"/>
              <w:rPr>
                <w:sz w:val="20"/>
                <w:szCs w:val="20"/>
                <w:color w:val="auto"/>
              </w:rPr>
            </w:pPr>
            <w:r>
              <w:rPr>
                <w:rFonts w:ascii="Arial" w:cs="Arial" w:eastAsia="Arial" w:hAnsi="Arial"/>
                <w:sz w:val="15"/>
                <w:szCs w:val="15"/>
                <w:b w:val="1"/>
                <w:bCs w:val="1"/>
                <w:color w:val="auto"/>
              </w:rPr>
              <w:t>Average</w:t>
            </w:r>
          </w:p>
        </w:tc>
      </w:tr>
      <w:tr>
        <w:trPr>
          <w:trHeight w:val="170"/>
        </w:trPr>
        <w:tc>
          <w:tcPr>
            <w:tcW w:w="3440" w:type="dxa"/>
            <w:vAlign w:val="bottom"/>
          </w:tcPr>
          <w:p>
            <w:pPr>
              <w:spacing w:after="0"/>
              <w:rPr>
                <w:sz w:val="14"/>
                <w:szCs w:val="14"/>
                <w:color w:val="auto"/>
              </w:rPr>
            </w:pPr>
          </w:p>
        </w:tc>
        <w:tc>
          <w:tcPr>
            <w:tcW w:w="2280" w:type="dxa"/>
            <w:vAlign w:val="bottom"/>
          </w:tcPr>
          <w:p>
            <w:pPr>
              <w:jc w:val="center"/>
              <w:ind w:left="1663"/>
              <w:spacing w:after="0" w:line="170" w:lineRule="exact"/>
              <w:rPr>
                <w:sz w:val="20"/>
                <w:szCs w:val="20"/>
                <w:color w:val="auto"/>
              </w:rPr>
            </w:pPr>
            <w:r>
              <w:rPr>
                <w:rFonts w:ascii="Arial" w:cs="Arial" w:eastAsia="Arial" w:hAnsi="Arial"/>
                <w:sz w:val="15"/>
                <w:szCs w:val="15"/>
                <w:b w:val="1"/>
                <w:bCs w:val="1"/>
                <w:color w:val="auto"/>
                <w:w w:val="98"/>
              </w:rPr>
              <w:t>of</w:t>
            </w:r>
          </w:p>
        </w:tc>
        <w:tc>
          <w:tcPr>
            <w:tcW w:w="540" w:type="dxa"/>
            <w:vAlign w:val="bottom"/>
          </w:tcPr>
          <w:p>
            <w:pPr>
              <w:spacing w:after="0"/>
              <w:rPr>
                <w:sz w:val="14"/>
                <w:szCs w:val="14"/>
                <w:color w:val="auto"/>
              </w:rPr>
            </w:pPr>
          </w:p>
        </w:tc>
        <w:tc>
          <w:tcPr>
            <w:tcW w:w="1260" w:type="dxa"/>
            <w:vAlign w:val="bottom"/>
          </w:tcPr>
          <w:p>
            <w:pPr>
              <w:jc w:val="center"/>
              <w:spacing w:after="0" w:line="170" w:lineRule="exact"/>
              <w:rPr>
                <w:sz w:val="20"/>
                <w:szCs w:val="20"/>
                <w:color w:val="auto"/>
              </w:rPr>
            </w:pPr>
            <w:r>
              <w:rPr>
                <w:rFonts w:ascii="Arial" w:cs="Arial" w:eastAsia="Arial" w:hAnsi="Arial"/>
                <w:sz w:val="15"/>
                <w:szCs w:val="15"/>
                <w:b w:val="1"/>
                <w:bCs w:val="1"/>
                <w:color w:val="auto"/>
              </w:rPr>
              <w:t>Contractual</w:t>
            </w:r>
          </w:p>
        </w:tc>
        <w:tc>
          <w:tcPr>
            <w:tcW w:w="360" w:type="dxa"/>
            <w:vAlign w:val="bottom"/>
          </w:tcPr>
          <w:p>
            <w:pPr>
              <w:spacing w:after="0"/>
              <w:rPr>
                <w:sz w:val="14"/>
                <w:szCs w:val="14"/>
                <w:color w:val="auto"/>
              </w:rPr>
            </w:pPr>
          </w:p>
        </w:tc>
        <w:tc>
          <w:tcPr>
            <w:tcW w:w="1220" w:type="dxa"/>
            <w:vAlign w:val="bottom"/>
          </w:tcPr>
          <w:p>
            <w:pPr>
              <w:jc w:val="center"/>
              <w:ind w:right="223"/>
              <w:spacing w:after="0" w:line="170" w:lineRule="exact"/>
              <w:rPr>
                <w:sz w:val="20"/>
                <w:szCs w:val="20"/>
                <w:color w:val="auto"/>
              </w:rPr>
            </w:pPr>
            <w:r>
              <w:rPr>
                <w:rFonts w:ascii="Arial" w:cs="Arial" w:eastAsia="Arial" w:hAnsi="Arial"/>
                <w:sz w:val="15"/>
                <w:szCs w:val="15"/>
                <w:b w:val="1"/>
                <w:bCs w:val="1"/>
                <w:color w:val="auto"/>
              </w:rPr>
              <w:t>Grant Date</w:t>
            </w:r>
          </w:p>
        </w:tc>
      </w:tr>
      <w:tr>
        <w:trPr>
          <w:trHeight w:val="194"/>
        </w:trPr>
        <w:tc>
          <w:tcPr>
            <w:tcW w:w="34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tcPr>
          <w:p>
            <w:pPr>
              <w:jc w:val="center"/>
              <w:ind w:left="1683"/>
              <w:spacing w:after="0"/>
              <w:rPr>
                <w:sz w:val="20"/>
                <w:szCs w:val="20"/>
                <w:color w:val="auto"/>
              </w:rPr>
            </w:pPr>
            <w:r>
              <w:rPr>
                <w:rFonts w:ascii="Arial" w:cs="Arial" w:eastAsia="Arial" w:hAnsi="Arial"/>
                <w:sz w:val="15"/>
                <w:szCs w:val="15"/>
                <w:b w:val="1"/>
                <w:bCs w:val="1"/>
                <w:color w:val="auto"/>
              </w:rPr>
              <w:t>Shares</w:t>
            </w:r>
          </w:p>
        </w:tc>
        <w:tc>
          <w:tcPr>
            <w:tcW w:w="5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Life</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223"/>
              <w:spacing w:after="0"/>
              <w:rPr>
                <w:sz w:val="20"/>
                <w:szCs w:val="20"/>
                <w:color w:val="auto"/>
              </w:rPr>
            </w:pPr>
            <w:r>
              <w:rPr>
                <w:rFonts w:ascii="Arial" w:cs="Arial" w:eastAsia="Arial" w:hAnsi="Arial"/>
                <w:sz w:val="15"/>
                <w:szCs w:val="15"/>
                <w:b w:val="1"/>
                <w:bCs w:val="1"/>
                <w:color w:val="auto"/>
              </w:rPr>
              <w:t>Fair Value</w:t>
            </w:r>
          </w:p>
        </w:tc>
      </w:tr>
      <w:tr>
        <w:trPr>
          <w:trHeight w:val="187"/>
        </w:trPr>
        <w:tc>
          <w:tcPr>
            <w:tcW w:w="3440" w:type="dxa"/>
            <w:vAlign w:val="bottom"/>
          </w:tcPr>
          <w:p>
            <w:pPr>
              <w:spacing w:after="0"/>
              <w:rPr>
                <w:sz w:val="16"/>
                <w:szCs w:val="16"/>
                <w:color w:val="auto"/>
              </w:rPr>
            </w:pPr>
          </w:p>
        </w:tc>
        <w:tc>
          <w:tcPr>
            <w:tcW w:w="2820" w:type="dxa"/>
            <w:vAlign w:val="bottom"/>
            <w:gridSpan w:val="2"/>
          </w:tcPr>
          <w:p>
            <w:pPr>
              <w:jc w:val="center"/>
              <w:ind w:left="1123"/>
              <w:spacing w:after="0"/>
              <w:rPr>
                <w:sz w:val="20"/>
                <w:szCs w:val="20"/>
                <w:color w:val="auto"/>
              </w:rPr>
            </w:pPr>
            <w:r>
              <w:rPr>
                <w:rFonts w:ascii="Arial" w:cs="Arial" w:eastAsia="Arial" w:hAnsi="Arial"/>
                <w:sz w:val="15"/>
                <w:szCs w:val="15"/>
                <w:color w:val="auto"/>
              </w:rPr>
              <w:t>(in thousands)</w:t>
            </w:r>
          </w:p>
        </w:tc>
        <w:tc>
          <w:tcPr>
            <w:tcW w:w="1260" w:type="dxa"/>
            <w:vAlign w:val="bottom"/>
          </w:tcPr>
          <w:p>
            <w:pPr>
              <w:jc w:val="center"/>
              <w:spacing w:after="0"/>
              <w:rPr>
                <w:sz w:val="20"/>
                <w:szCs w:val="20"/>
                <w:color w:val="auto"/>
              </w:rPr>
            </w:pPr>
            <w:r>
              <w:rPr>
                <w:rFonts w:ascii="Arial" w:cs="Arial" w:eastAsia="Arial" w:hAnsi="Arial"/>
                <w:sz w:val="15"/>
                <w:szCs w:val="15"/>
                <w:color w:val="auto"/>
              </w:rPr>
              <w:t>(in years)</w:t>
            </w:r>
          </w:p>
        </w:tc>
        <w:tc>
          <w:tcPr>
            <w:tcW w:w="360" w:type="dxa"/>
            <w:vAlign w:val="bottom"/>
          </w:tcPr>
          <w:p>
            <w:pPr>
              <w:spacing w:after="0"/>
              <w:rPr>
                <w:sz w:val="16"/>
                <w:szCs w:val="16"/>
                <w:color w:val="auto"/>
              </w:rPr>
            </w:pPr>
          </w:p>
        </w:tc>
        <w:tc>
          <w:tcPr>
            <w:tcW w:w="1220" w:type="dxa"/>
            <w:vAlign w:val="bottom"/>
          </w:tcPr>
          <w:p>
            <w:pPr>
              <w:jc w:val="right"/>
              <w:ind w:right="203"/>
              <w:spacing w:after="0"/>
              <w:rPr>
                <w:sz w:val="20"/>
                <w:szCs w:val="20"/>
                <w:color w:val="auto"/>
              </w:rPr>
            </w:pPr>
            <w:r>
              <w:rPr>
                <w:rFonts w:ascii="Arial" w:cs="Arial" w:eastAsia="Arial" w:hAnsi="Arial"/>
                <w:sz w:val="15"/>
                <w:szCs w:val="15"/>
                <w:color w:val="auto"/>
              </w:rPr>
              <w:t>(per share)</w:t>
            </w:r>
          </w:p>
        </w:tc>
      </w:tr>
      <w:tr>
        <w:trPr>
          <w:trHeight w:val="207"/>
        </w:trPr>
        <w:tc>
          <w:tcPr>
            <w:tcW w:w="3440" w:type="dxa"/>
            <w:vAlign w:val="bottom"/>
            <w:shd w:val="clear" w:color="auto" w:fill="CCEEFF"/>
          </w:tcPr>
          <w:p>
            <w:pPr>
              <w:spacing w:after="0"/>
              <w:rPr>
                <w:sz w:val="20"/>
                <w:szCs w:val="20"/>
                <w:color w:val="auto"/>
              </w:rPr>
            </w:pPr>
            <w:r>
              <w:rPr>
                <w:rFonts w:ascii="Arial" w:cs="Arial" w:eastAsia="Arial" w:hAnsi="Arial"/>
                <w:sz w:val="15"/>
                <w:szCs w:val="15"/>
                <w:color w:val="auto"/>
              </w:rPr>
              <w:t>Nonvested at beginning of year</w:t>
            </w:r>
          </w:p>
        </w:tc>
        <w:tc>
          <w:tcPr>
            <w:tcW w:w="228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798</w:t>
            </w:r>
          </w:p>
        </w:tc>
        <w:tc>
          <w:tcPr>
            <w:tcW w:w="126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56.91</w:t>
            </w:r>
          </w:p>
        </w:tc>
      </w:tr>
      <w:tr>
        <w:trPr>
          <w:trHeight w:val="207"/>
        </w:trPr>
        <w:tc>
          <w:tcPr>
            <w:tcW w:w="3440" w:type="dxa"/>
            <w:vAlign w:val="bottom"/>
          </w:tcPr>
          <w:p>
            <w:pPr>
              <w:spacing w:after="0"/>
              <w:rPr>
                <w:sz w:val="20"/>
                <w:szCs w:val="20"/>
                <w:color w:val="auto"/>
              </w:rPr>
            </w:pPr>
            <w:r>
              <w:rPr>
                <w:rFonts w:ascii="Arial" w:cs="Arial" w:eastAsia="Arial" w:hAnsi="Arial"/>
                <w:sz w:val="15"/>
                <w:szCs w:val="15"/>
                <w:color w:val="auto"/>
              </w:rPr>
              <w:t>Granted</w:t>
            </w:r>
          </w:p>
        </w:tc>
        <w:tc>
          <w:tcPr>
            <w:tcW w:w="2280" w:type="dxa"/>
            <w:vAlign w:val="bottom"/>
          </w:tcPr>
          <w:p>
            <w:pPr>
              <w:spacing w:after="0"/>
              <w:rPr>
                <w:sz w:val="17"/>
                <w:szCs w:val="17"/>
                <w:color w:val="auto"/>
              </w:rPr>
            </w:pPr>
          </w:p>
        </w:tc>
        <w:tc>
          <w:tcPr>
            <w:tcW w:w="540" w:type="dxa"/>
            <w:vAlign w:val="bottom"/>
          </w:tcPr>
          <w:p>
            <w:pPr>
              <w:jc w:val="right"/>
              <w:ind w:right="123"/>
              <w:spacing w:after="0"/>
              <w:rPr>
                <w:sz w:val="20"/>
                <w:szCs w:val="20"/>
                <w:color w:val="auto"/>
              </w:rPr>
            </w:pPr>
            <w:r>
              <w:rPr>
                <w:rFonts w:ascii="Arial" w:cs="Arial" w:eastAsia="Arial" w:hAnsi="Arial"/>
                <w:sz w:val="15"/>
                <w:szCs w:val="15"/>
                <w:color w:val="auto"/>
              </w:rPr>
              <w:t>237</w:t>
            </w:r>
          </w:p>
        </w:tc>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72.83</w:t>
            </w:r>
          </w:p>
        </w:tc>
      </w:tr>
      <w:tr>
        <w:trPr>
          <w:trHeight w:val="207"/>
        </w:trPr>
        <w:tc>
          <w:tcPr>
            <w:tcW w:w="3440" w:type="dxa"/>
            <w:vAlign w:val="bottom"/>
            <w:shd w:val="clear" w:color="auto" w:fill="CCEEFF"/>
          </w:tcPr>
          <w:p>
            <w:pPr>
              <w:spacing w:after="0"/>
              <w:rPr>
                <w:sz w:val="20"/>
                <w:szCs w:val="20"/>
                <w:color w:val="auto"/>
              </w:rPr>
            </w:pPr>
            <w:r>
              <w:rPr>
                <w:rFonts w:ascii="Arial" w:cs="Arial" w:eastAsia="Arial" w:hAnsi="Arial"/>
                <w:sz w:val="15"/>
                <w:szCs w:val="15"/>
                <w:color w:val="auto"/>
              </w:rPr>
              <w:t>Vested</w:t>
            </w:r>
          </w:p>
        </w:tc>
        <w:tc>
          <w:tcPr>
            <w:tcW w:w="228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(263)</w:t>
            </w:r>
          </w:p>
        </w:tc>
        <w:tc>
          <w:tcPr>
            <w:tcW w:w="1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48.60</w:t>
            </w:r>
          </w:p>
        </w:tc>
      </w:tr>
      <w:tr>
        <w:trPr>
          <w:trHeight w:val="207"/>
        </w:trPr>
        <w:tc>
          <w:tcPr>
            <w:tcW w:w="34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Expired or cancelled</w:t>
            </w:r>
          </w:p>
        </w:tc>
        <w:tc>
          <w:tcPr>
            <w:tcW w:w="22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(59)</w:t>
            </w:r>
          </w:p>
        </w:tc>
        <w:tc>
          <w:tcPr>
            <w:tcW w:w="12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43.21</w:t>
            </w:r>
          </w:p>
        </w:tc>
      </w:tr>
      <w:tr>
        <w:trPr>
          <w:trHeight w:val="179"/>
        </w:trPr>
        <w:tc>
          <w:tcPr>
            <w:tcW w:w="3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Nonvested at April 29, 2017</w:t>
            </w:r>
          </w:p>
        </w:tc>
        <w:tc>
          <w:tcPr>
            <w:tcW w:w="22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713</w:t>
            </w:r>
          </w:p>
        </w:tc>
        <w:tc>
          <w:tcPr>
            <w:tcW w:w="12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1.9</w:t>
            </w:r>
          </w:p>
        </w:tc>
        <w:tc>
          <w:tcPr>
            <w:tcW w:w="3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66.31</w:t>
            </w:r>
          </w:p>
        </w:tc>
      </w:tr>
      <w:tr>
        <w:trPr>
          <w:trHeight w:val="219"/>
        </w:trPr>
        <w:tc>
          <w:tcPr>
            <w:tcW w:w="34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Aggregate value ($ in millions)</w:t>
            </w:r>
          </w:p>
        </w:tc>
        <w:tc>
          <w:tcPr>
            <w:tcW w:w="2280" w:type="dxa"/>
            <w:vAlign w:val="bottom"/>
            <w:tcBorders>
              <w:bottom w:val="single" w:sz="8" w:color="auto"/>
            </w:tcBorders>
          </w:tcPr>
          <w:p>
            <w:pPr>
              <w:jc w:val="right"/>
              <w:ind w:right="843"/>
              <w:spacing w:after="0"/>
              <w:rPr>
                <w:sz w:val="20"/>
                <w:szCs w:val="20"/>
                <w:color w:val="auto"/>
              </w:rPr>
            </w:pPr>
            <w:r>
              <w:rPr>
                <w:rFonts w:ascii="Arial" w:cs="Arial" w:eastAsia="Arial" w:hAnsi="Arial"/>
                <w:sz w:val="15"/>
                <w:szCs w:val="15"/>
                <w:color w:val="auto"/>
              </w:rPr>
              <w:t>$</w:t>
            </w:r>
          </w:p>
        </w:tc>
        <w:tc>
          <w:tcPr>
            <w:tcW w:w="54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47</w:t>
            </w:r>
          </w:p>
        </w:tc>
        <w:tc>
          <w:tcPr>
            <w:tcW w:w="12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r>
    </w:tbl>
    <w:p>
      <w:pPr>
        <w:spacing w:after="0" w:line="128"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The total value of awards for which restrictions lapsed during the thirteen weeks ended April 29, 2017 and April 30, 2016 was $13 million and $7 million, respectively. As of April 29, 2017, there was $18 million of total unrecognized compensation cost related to nonvested restricted awards.</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12. Legal Proceedings</w:t>
      </w:r>
    </w:p>
    <w:p>
      <w:pPr>
        <w:spacing w:after="0" w:line="125"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Legal proceedings pending against the Company or its consolidated subsidiaries consist of ordinary, routine litigation, including administrative proceedings, incidental to the business of the Company or businesses that have been sold or disposed of by the Company in past years. These legal proceedings include commercial, intellectual property, customer, environmental, and employment-related claims.</w:t>
      </w:r>
    </w:p>
    <w:p>
      <w:pPr>
        <w:spacing w:after="0" w:line="91" w:lineRule="exact"/>
        <w:rPr>
          <w:sz w:val="20"/>
          <w:szCs w:val="20"/>
          <w:color w:val="auto"/>
        </w:rPr>
      </w:pPr>
    </w:p>
    <w:p>
      <w:pPr>
        <w:jc w:val="both"/>
        <w:spacing w:after="0"/>
        <w:rPr>
          <w:sz w:val="20"/>
          <w:szCs w:val="20"/>
          <w:color w:val="auto"/>
        </w:rPr>
      </w:pPr>
      <w:r>
        <w:rPr>
          <w:rFonts w:ascii="Arial" w:cs="Arial" w:eastAsia="Arial" w:hAnsi="Arial"/>
          <w:sz w:val="15"/>
          <w:szCs w:val="15"/>
          <w:color w:val="auto"/>
        </w:rPr>
        <w:t>The Company and the Company’s U.S. retirement plan are defendants in a class action (</w:t>
      </w:r>
      <w:r>
        <w:rPr>
          <w:rFonts w:ascii="Arial" w:cs="Arial" w:eastAsia="Arial" w:hAnsi="Arial"/>
          <w:sz w:val="15"/>
          <w:szCs w:val="15"/>
          <w:i w:val="1"/>
          <w:iCs w:val="1"/>
          <w:color w:val="auto"/>
        </w:rPr>
        <w:t>Osberg v. Foot Locker Inc.</w:t>
      </w:r>
      <w:r>
        <w:rPr>
          <w:rFonts w:ascii="Arial" w:cs="Arial" w:eastAsia="Arial" w:hAnsi="Arial"/>
          <w:sz w:val="15"/>
          <w:szCs w:val="15"/>
          <w:color w:val="auto"/>
        </w:rPr>
        <w:t xml:space="preserve"> et ano., filed in the U.S. District Court for the Southern District of New York) in which the plaintiff alleges that, in connection with the 1996 conversion of the retirement plan to a defined benefit plan with a cash balance formula, the Company and the retirement plan failed to properly advise plan participants of the “wear-away” effect of the conversion. Plaintiff’s claims were for breach of fiduciary duty under the Employee Retirement Income Security Act of 1974, as amended, and violation of the statutory provisions governing the content of the Summary Plan Description. The trial was held in July 2015 and the court issued a decision in September 2015 in favor of the class on the foregoing claims. The court ordered that the Plan be reformed. As a result of this development, the Company determined that it is probable a liability exists. The Company’s reasonable estimate of this liability is a range between $100 million and $200 million, with no amount within that range more probable than any other amount. Therefore, in accordance with U.S. GAAP, the Company recorded a charge of $100 million pre-tax ($61 million after-tax) in the third quarter of 2015. This amount has been classified as a long-term liability. The Company has appealed the court’s decision, and the judgment has been stayed pending the outcome of the appeal. The Company will continue to vigorously defend itself in this case. In light of the uncertainties involved in this matter, there is no assurance that the ultimate resolution will not differ from the amount currently accrued by the Company.</w:t>
      </w:r>
    </w:p>
    <w:p>
      <w:pPr>
        <w:spacing w:after="0" w:line="97"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Management does not believe that the outcome of any such legal proceedings pending against the Company or its consolidated subsidiaries, as described above, would have a material adverse effect on the Company’s consolidated financial position, liquidity, or results of operations, taken as a whole, based upon current knowledge and taking into consideration current accruals. Litigation is inherently unpredictable, and judgments could be rendered or settlements entered into that could adversely affect the Company’s operating results or cash flows in a particular period.</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5817870" cy="482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116" w:right="1399" w:bottom="1440" w:gutter="0" w:footer="0" w:header="0"/>
        </w:sectPr>
      </w:pPr>
    </w:p>
    <w:bookmarkStart w:id="17" w:name="page18"/>
    <w:bookmarkEnd w:id="17"/>
    <w:p>
      <w:pPr>
        <w:ind w:right="2020"/>
        <w:spacing w:after="0" w:line="486" w:lineRule="auto"/>
        <w:rPr>
          <w:sz w:val="20"/>
          <w:szCs w:val="20"/>
          <w:color w:val="auto"/>
        </w:rPr>
      </w:pPr>
      <w:r>
        <w:rPr>
          <w:rFonts w:ascii="Arial" w:cs="Arial" w:eastAsia="Arial" w:hAnsi="Arial"/>
          <w:sz w:val="15"/>
          <w:szCs w:val="15"/>
          <w:b w:val="1"/>
          <w:bCs w:val="1"/>
          <w:i w:val="1"/>
          <w:iCs w:val="1"/>
          <w:color w:val="auto"/>
        </w:rPr>
        <w:t xml:space="preserve">Item 2. Management’s Discussion and Analysis of Financial Condition and Results of Operations </w:t>
      </w:r>
      <w:r>
        <w:rPr>
          <w:rFonts w:ascii="Arial" w:cs="Arial" w:eastAsia="Arial" w:hAnsi="Arial"/>
          <w:sz w:val="15"/>
          <w:szCs w:val="15"/>
          <w:b w:val="1"/>
          <w:bCs w:val="1"/>
          <w:color w:val="auto"/>
        </w:rPr>
        <w:t>Disclosure Regarding Forward-Looking Statements</w:t>
      </w:r>
    </w:p>
    <w:p>
      <w:pPr>
        <w:spacing w:after="0" w:line="1" w:lineRule="exact"/>
        <w:rPr>
          <w:sz w:val="20"/>
          <w:szCs w:val="20"/>
          <w:color w:val="auto"/>
        </w:rPr>
      </w:pPr>
    </w:p>
    <w:p>
      <w:pPr>
        <w:jc w:val="both"/>
        <w:spacing w:after="0"/>
        <w:rPr>
          <w:sz w:val="20"/>
          <w:szCs w:val="20"/>
          <w:color w:val="auto"/>
        </w:rPr>
      </w:pPr>
      <w:r>
        <w:rPr>
          <w:rFonts w:ascii="Arial" w:cs="Arial" w:eastAsia="Arial" w:hAnsi="Arial"/>
          <w:sz w:val="15"/>
          <w:szCs w:val="15"/>
          <w:color w:val="auto"/>
        </w:rPr>
        <w:t>This report contains forward-looking statements within the meaning of the federal securities laws. Other than statements of historical facts, all statements which address activities, events, or developments that the Company anticipates will or may occur in the future, including, but not limited to, such things as future capital expenditures, expansion, strategic plans, financial objectives, dividend payments, stock repurchases, growth of the Company’s business and operations, including future cash flows, revenues, and earnings, and other such matters, are forward-looking statements. These forward-looking statements are based on many assumptions and factors which are detailed in the Company’s filings with the Securities and Exchange Commission.</w:t>
      </w:r>
    </w:p>
    <w:p>
      <w:pPr>
        <w:spacing w:after="0" w:line="157"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These forward-looking statements are based largely on our expectations and judgments and are subject to a number of risks and uncertainties, many of which are unforeseeable and beyond our control. For additional discussion on risks and uncertainties that may affect forward-looking statements, see “Risk Factors” disclosed in the 2016 Annual Report on Form 10-K. Any changes in such assumptions or factors could produce significantly different results. The Company undertakes no obligation to update forward-looking statements, whether as a result of new information, future events, or otherwise.</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 Overview</w:t>
      </w:r>
    </w:p>
    <w:p>
      <w:pPr>
        <w:spacing w:after="0" w:line="186"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Foot Locker, Inc., through its subsidiaries, operates in two reportable segments – Athletic Stores and Direct-to-Customers. The Athletic Stores segment is one of the largest athletic footwear and apparel retailers in the world, with formats that include Foot Locker, Kids Foot Locker, Lady Foot Locker, Champs Sports, Footaction, Runners Point, Sidestep, and SIX:02. The Direct-to-Customers segment includes Footlocker.com, Inc. and other affiliates, including Eastbay, Inc., and our international ecommerce businesses, which sell to customers through their Internet and mobile sites and catalogs.</w:t>
      </w:r>
    </w:p>
    <w:p>
      <w:pPr>
        <w:spacing w:after="0" w:line="156" w:lineRule="exact"/>
        <w:rPr>
          <w:sz w:val="20"/>
          <w:szCs w:val="20"/>
          <w:color w:val="auto"/>
        </w:rPr>
      </w:pPr>
    </w:p>
    <w:p>
      <w:pPr>
        <w:jc w:val="both"/>
        <w:spacing w:after="0"/>
        <w:rPr>
          <w:sz w:val="20"/>
          <w:szCs w:val="20"/>
          <w:color w:val="auto"/>
        </w:rPr>
      </w:pPr>
      <w:r>
        <w:rPr>
          <w:rFonts w:ascii="Arial" w:cs="Arial" w:eastAsia="Arial" w:hAnsi="Arial"/>
          <w:sz w:val="15"/>
          <w:szCs w:val="15"/>
          <w:color w:val="auto"/>
        </w:rPr>
        <w:t xml:space="preserve">The Foot Locker brand is one of the most widely recognized names in the markets in which we operate, epitomizing premium quality for the active lifestyle customer. This brand equity has aided our ability to successfully develop and increase our portfolio of complementary retail store formats, such as Lady Foot Locker and Kids Foot Locker, as well as Footlocker.com, our direct-to-customer business. Through various marketing channels and experiences, including social, digital, broadcast, and print media, as well as various sports sponsorships and events, we reinforce our image with a consistent message </w:t>
      </w:r>
      <w:r>
        <w:rPr>
          <w:rFonts w:ascii="Arial" w:cs="Arial" w:eastAsia="Arial" w:hAnsi="Arial"/>
          <w:sz w:val="15"/>
          <w:szCs w:val="15"/>
          <w:i w:val="1"/>
          <w:iCs w:val="1"/>
          <w:color w:val="auto"/>
        </w:rPr>
        <w:t>—</w:t>
      </w:r>
      <w:r>
        <w:rPr>
          <w:rFonts w:ascii="Arial" w:cs="Arial" w:eastAsia="Arial" w:hAnsi="Arial"/>
          <w:sz w:val="15"/>
          <w:szCs w:val="15"/>
          <w:color w:val="auto"/>
        </w:rPr>
        <w:t xml:space="preserve"> namely, that we are the destination for athletically inspired shoes and apparel with a wide selection of merchandise in a full-service environment.</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Store Count</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At April 29, 2017, we operated 3,354 stores as compared with 3,363 and 3,396 stores at January 28, 2017 and April 30, 2016, respectively.</w:t>
      </w:r>
    </w:p>
    <w:p>
      <w:pPr>
        <w:spacing w:after="0" w:line="146"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During the first quarter of 2017, the Company entered into a franchise agreement with Fox-Wizel Ltd, who will operate franchise stores in Israel for the Company. Two franchise stores were opened in Israel during the current quarter. A total of 77 franchised stores were operating at April 29, 2017, as compared with 74 and 64 stores at January 28, 2017 and April 30, 2016, respectively. Revenue from the franchised stores was not significant for any of the periods presented. These stores are not included in the operating store count above.</w:t>
      </w:r>
    </w:p>
    <w:p>
      <w:pPr>
        <w:spacing w:after="0" w:line="313"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Foreign Currency Fluctuations</w:t>
      </w:r>
    </w:p>
    <w:p>
      <w:pPr>
        <w:spacing w:after="0" w:line="184"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Throughout the following discussions, where amounts are expressed as excluding the effects of foreign currency fluctuations, such changes are determined by translating all amounts in both years using the prior-year average foreign exchange rates. We believe that presenting amounts on a constant currency basis is useful to investors because it enables them to better understand the changes in our business.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190500</wp:posOffset>
            </wp:positionV>
            <wp:extent cx="5817870" cy="482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311" w:right="1399" w:bottom="1440" w:gutter="0" w:footer="0" w:header="0"/>
        </w:sectPr>
      </w:pPr>
    </w:p>
    <w:bookmarkStart w:id="18" w:name="page19"/>
    <w:bookmarkEnd w:id="18"/>
    <w:p>
      <w:pPr>
        <w:spacing w:after="0"/>
        <w:rPr>
          <w:sz w:val="20"/>
          <w:szCs w:val="20"/>
          <w:color w:val="auto"/>
        </w:rPr>
      </w:pPr>
      <w:r>
        <w:rPr>
          <w:rFonts w:ascii="Arial" w:cs="Arial" w:eastAsia="Arial" w:hAnsi="Arial"/>
          <w:sz w:val="15"/>
          <w:szCs w:val="15"/>
          <w:b w:val="1"/>
          <w:bCs w:val="1"/>
          <w:color w:val="auto"/>
        </w:rPr>
        <w:t>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Sales</w:t>
      </w:r>
    </w:p>
    <w:p>
      <w:pPr>
        <w:spacing w:after="0" w:line="184"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All references to comparable-store sales for a given period relate to sales of stores that were open at the period-end and had been open for more than one year. The computation of consolidated comparable-store sales also includes the sales of the Direct-to-Customers segment. Stores opened or closed during the period are not included in the comparable-store base; however, stores closed temporarily for relocation or remodeling are included. Computations exclude the effect of foreign currency fluctuations.</w:t>
      </w:r>
    </w:p>
    <w:p>
      <w:pPr>
        <w:spacing w:after="0" w:line="156"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Sales increased by $14 million, or 0.7 percent, to $2,001 million for the thirteen weeks ended April 29, 2017, from $1,987 million for the thirteen weeks ended April 30, 2016. Excluding the effect of foreign currency fluctuations, sales increased by 1.8 percent for the thirteen weeks ended April 29, 2017. Comparable-store sales increased by 0.5 percent for the thirteen weeks ended April 29, 2017.</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Gross Margin</w:t>
      </w:r>
    </w:p>
    <w:p>
      <w:pPr>
        <w:spacing w:after="0" w:line="32" w:lineRule="exact"/>
        <w:rPr>
          <w:sz w:val="20"/>
          <w:szCs w:val="20"/>
          <w:color w:val="auto"/>
        </w:rPr>
      </w:pPr>
    </w:p>
    <w:p>
      <w:pPr>
        <w:ind w:left="6580"/>
        <w:spacing w:after="0"/>
        <w:rPr>
          <w:sz w:val="20"/>
          <w:szCs w:val="20"/>
          <w:color w:val="auto"/>
        </w:rPr>
      </w:pPr>
      <w:r>
        <w:rPr>
          <w:rFonts w:ascii="Arial" w:cs="Arial" w:eastAsia="Arial" w:hAnsi="Arial"/>
          <w:sz w:val="15"/>
          <w:szCs w:val="15"/>
          <w:b w:val="1"/>
          <w:bCs w:val="1"/>
          <w:color w:val="auto"/>
        </w:rPr>
        <w:t>Thirteen weeks ended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5160" w:type="dxa"/>
            <w:vAlign w:val="bottom"/>
            <w:tcBorders>
              <w:top w:val="single" w:sz="8" w:color="auto"/>
            </w:tcBorders>
          </w:tcPr>
          <w:p>
            <w:pPr>
              <w:spacing w:after="0"/>
              <w:rPr>
                <w:sz w:val="13"/>
                <w:szCs w:val="13"/>
                <w:color w:val="auto"/>
              </w:rPr>
            </w:pPr>
          </w:p>
        </w:tc>
        <w:tc>
          <w:tcPr>
            <w:tcW w:w="2360" w:type="dxa"/>
            <w:vAlign w:val="bottom"/>
            <w:tcBorders>
              <w:top w:val="single" w:sz="8" w:color="auto"/>
            </w:tcBorders>
          </w:tcPr>
          <w:p>
            <w:pPr>
              <w:jc w:val="right"/>
              <w:ind w:right="703"/>
              <w:spacing w:after="0" w:line="151" w:lineRule="exact"/>
              <w:rPr>
                <w:sz w:val="20"/>
                <w:szCs w:val="20"/>
                <w:color w:val="auto"/>
              </w:rPr>
            </w:pPr>
            <w:r>
              <w:rPr>
                <w:rFonts w:ascii="Arial" w:cs="Arial" w:eastAsia="Arial" w:hAnsi="Arial"/>
                <w:sz w:val="15"/>
                <w:szCs w:val="15"/>
                <w:b w:val="1"/>
                <w:bCs w:val="1"/>
                <w:color w:val="auto"/>
              </w:rPr>
              <w:t>April 29,</w:t>
            </w:r>
          </w:p>
        </w:tc>
        <w:tc>
          <w:tcPr>
            <w:tcW w:w="1580" w:type="dxa"/>
            <w:vAlign w:val="bottom"/>
            <w:tcBorders>
              <w:top w:val="single" w:sz="8" w:color="auto"/>
            </w:tcBorders>
          </w:tcPr>
          <w:p>
            <w:pPr>
              <w:jc w:val="center"/>
              <w:spacing w:after="0" w:line="151" w:lineRule="exact"/>
              <w:rPr>
                <w:sz w:val="20"/>
                <w:szCs w:val="20"/>
                <w:color w:val="auto"/>
              </w:rPr>
            </w:pPr>
            <w:r>
              <w:rPr>
                <w:rFonts w:ascii="Arial" w:cs="Arial" w:eastAsia="Arial" w:hAnsi="Arial"/>
                <w:sz w:val="15"/>
                <w:szCs w:val="15"/>
                <w:b w:val="1"/>
                <w:bCs w:val="1"/>
                <w:color w:val="auto"/>
              </w:rPr>
              <w:t>April 30,</w:t>
            </w:r>
          </w:p>
        </w:tc>
      </w:tr>
      <w:tr>
        <w:trPr>
          <w:trHeight w:val="194"/>
        </w:trPr>
        <w:tc>
          <w:tcPr>
            <w:tcW w:w="51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tcPr>
          <w:p>
            <w:pPr>
              <w:jc w:val="right"/>
              <w:ind w:right="843"/>
              <w:spacing w:after="0"/>
              <w:rPr>
                <w:sz w:val="20"/>
                <w:szCs w:val="20"/>
                <w:color w:val="auto"/>
              </w:rPr>
            </w:pPr>
            <w:r>
              <w:rPr>
                <w:rFonts w:ascii="Arial" w:cs="Arial" w:eastAsia="Arial" w:hAnsi="Arial"/>
                <w:sz w:val="15"/>
                <w:szCs w:val="15"/>
                <w:b w:val="1"/>
                <w:bCs w:val="1"/>
                <w:color w:val="auto"/>
              </w:rPr>
              <w:t>2017</w:t>
            </w:r>
          </w:p>
        </w:tc>
        <w:tc>
          <w:tcPr>
            <w:tcW w:w="1580" w:type="dxa"/>
            <w:vAlign w:val="bottom"/>
            <w:tcBorders>
              <w:bottom w:val="single" w:sz="8" w:color="auto"/>
            </w:tcBorders>
          </w:tcPr>
          <w:p>
            <w:pPr>
              <w:jc w:val="right"/>
              <w:ind w:right="523"/>
              <w:spacing w:after="0"/>
              <w:rPr>
                <w:sz w:val="20"/>
                <w:szCs w:val="20"/>
                <w:color w:val="auto"/>
              </w:rPr>
            </w:pPr>
            <w:r>
              <w:rPr>
                <w:rFonts w:ascii="Arial" w:cs="Arial" w:eastAsia="Arial" w:hAnsi="Arial"/>
                <w:sz w:val="15"/>
                <w:szCs w:val="15"/>
                <w:b w:val="1"/>
                <w:bCs w:val="1"/>
                <w:color w:val="auto"/>
              </w:rPr>
              <w:t>2016</w:t>
            </w:r>
          </w:p>
        </w:tc>
      </w:tr>
      <w:tr>
        <w:trPr>
          <w:trHeight w:val="187"/>
        </w:trPr>
        <w:tc>
          <w:tcPr>
            <w:tcW w:w="5160" w:type="dxa"/>
            <w:vAlign w:val="bottom"/>
            <w:shd w:val="clear" w:color="auto" w:fill="CCEEFF"/>
          </w:tcPr>
          <w:p>
            <w:pPr>
              <w:spacing w:after="0"/>
              <w:rPr>
                <w:sz w:val="20"/>
                <w:szCs w:val="20"/>
                <w:color w:val="auto"/>
              </w:rPr>
            </w:pPr>
            <w:r>
              <w:rPr>
                <w:rFonts w:ascii="Arial" w:cs="Arial" w:eastAsia="Arial" w:hAnsi="Arial"/>
                <w:sz w:val="15"/>
                <w:szCs w:val="15"/>
                <w:color w:val="auto"/>
              </w:rPr>
              <w:t>Gross margin rate</w:t>
            </w:r>
          </w:p>
        </w:tc>
        <w:tc>
          <w:tcPr>
            <w:tcW w:w="2360" w:type="dxa"/>
            <w:vAlign w:val="bottom"/>
            <w:shd w:val="clear" w:color="auto" w:fill="CCEEFF"/>
          </w:tcPr>
          <w:p>
            <w:pPr>
              <w:jc w:val="right"/>
              <w:ind w:right="423"/>
              <w:spacing w:after="0"/>
              <w:rPr>
                <w:sz w:val="20"/>
                <w:szCs w:val="20"/>
                <w:color w:val="auto"/>
              </w:rPr>
            </w:pPr>
            <w:r>
              <w:rPr>
                <w:rFonts w:ascii="Arial" w:cs="Arial" w:eastAsia="Arial" w:hAnsi="Arial"/>
                <w:sz w:val="15"/>
                <w:szCs w:val="15"/>
                <w:b w:val="1"/>
                <w:bCs w:val="1"/>
                <w:color w:val="auto"/>
              </w:rPr>
              <w:t>34.0 %</w:t>
            </w:r>
          </w:p>
        </w:tc>
        <w:tc>
          <w:tcPr>
            <w:tcW w:w="15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35.0 %</w:t>
            </w:r>
          </w:p>
        </w:tc>
      </w:tr>
      <w:tr>
        <w:trPr>
          <w:trHeight w:val="207"/>
        </w:trPr>
        <w:tc>
          <w:tcPr>
            <w:tcW w:w="5160" w:type="dxa"/>
            <w:vAlign w:val="bottom"/>
          </w:tcPr>
          <w:p>
            <w:pPr>
              <w:spacing w:after="0"/>
              <w:rPr>
                <w:sz w:val="20"/>
                <w:szCs w:val="20"/>
                <w:color w:val="auto"/>
              </w:rPr>
            </w:pPr>
            <w:r>
              <w:rPr>
                <w:rFonts w:ascii="Arial" w:cs="Arial" w:eastAsia="Arial" w:hAnsi="Arial"/>
                <w:sz w:val="15"/>
                <w:szCs w:val="15"/>
                <w:color w:val="auto"/>
              </w:rPr>
              <w:t>Basis point change in the gross margin rate</w:t>
            </w:r>
          </w:p>
        </w:tc>
        <w:tc>
          <w:tcPr>
            <w:tcW w:w="2360" w:type="dxa"/>
            <w:vAlign w:val="bottom"/>
          </w:tcPr>
          <w:p>
            <w:pPr>
              <w:jc w:val="right"/>
              <w:ind w:right="563"/>
              <w:spacing w:after="0"/>
              <w:rPr>
                <w:sz w:val="20"/>
                <w:szCs w:val="20"/>
                <w:color w:val="auto"/>
              </w:rPr>
            </w:pPr>
            <w:r>
              <w:rPr>
                <w:rFonts w:ascii="Arial" w:cs="Arial" w:eastAsia="Arial" w:hAnsi="Arial"/>
                <w:sz w:val="15"/>
                <w:szCs w:val="15"/>
                <w:b w:val="1"/>
                <w:bCs w:val="1"/>
                <w:color w:val="auto"/>
              </w:rPr>
              <w:t>(100)</w:t>
            </w:r>
          </w:p>
        </w:tc>
        <w:tc>
          <w:tcPr>
            <w:tcW w:w="1580" w:type="dxa"/>
            <w:vAlign w:val="bottom"/>
          </w:tcPr>
          <w:p>
            <w:pPr>
              <w:spacing w:after="0"/>
              <w:rPr>
                <w:sz w:val="17"/>
                <w:szCs w:val="17"/>
                <w:color w:val="auto"/>
              </w:rPr>
            </w:pPr>
          </w:p>
        </w:tc>
      </w:tr>
      <w:tr>
        <w:trPr>
          <w:trHeight w:val="207"/>
        </w:trPr>
        <w:tc>
          <w:tcPr>
            <w:tcW w:w="5160" w:type="dxa"/>
            <w:vAlign w:val="bottom"/>
            <w:shd w:val="clear" w:color="auto" w:fill="CCEEFF"/>
          </w:tcPr>
          <w:p>
            <w:pPr>
              <w:ind w:left="100"/>
              <w:spacing w:after="0"/>
              <w:rPr>
                <w:sz w:val="20"/>
                <w:szCs w:val="20"/>
                <w:color w:val="auto"/>
              </w:rPr>
            </w:pPr>
            <w:r>
              <w:rPr>
                <w:rFonts w:ascii="Arial" w:cs="Arial" w:eastAsia="Arial" w:hAnsi="Arial"/>
                <w:sz w:val="15"/>
                <w:szCs w:val="15"/>
                <w:color w:val="auto"/>
              </w:rPr>
              <w:t>Components of the change-</w:t>
            </w:r>
          </w:p>
        </w:tc>
        <w:tc>
          <w:tcPr>
            <w:tcW w:w="23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207"/>
        </w:trPr>
        <w:tc>
          <w:tcPr>
            <w:tcW w:w="5160" w:type="dxa"/>
            <w:vAlign w:val="bottom"/>
          </w:tcPr>
          <w:p>
            <w:pPr>
              <w:ind w:left="200"/>
              <w:spacing w:after="0"/>
              <w:rPr>
                <w:sz w:val="20"/>
                <w:szCs w:val="20"/>
                <w:color w:val="auto"/>
              </w:rPr>
            </w:pPr>
            <w:r>
              <w:rPr>
                <w:rFonts w:ascii="Arial" w:cs="Arial" w:eastAsia="Arial" w:hAnsi="Arial"/>
                <w:sz w:val="15"/>
                <w:szCs w:val="15"/>
                <w:color w:val="auto"/>
              </w:rPr>
              <w:t>Decline in the merchandise margin rate</w:t>
            </w:r>
          </w:p>
        </w:tc>
        <w:tc>
          <w:tcPr>
            <w:tcW w:w="2360" w:type="dxa"/>
            <w:vAlign w:val="bottom"/>
          </w:tcPr>
          <w:p>
            <w:pPr>
              <w:jc w:val="right"/>
              <w:ind w:right="563"/>
              <w:spacing w:after="0"/>
              <w:rPr>
                <w:sz w:val="20"/>
                <w:szCs w:val="20"/>
                <w:color w:val="auto"/>
              </w:rPr>
            </w:pPr>
            <w:r>
              <w:rPr>
                <w:rFonts w:ascii="Arial" w:cs="Arial" w:eastAsia="Arial" w:hAnsi="Arial"/>
                <w:sz w:val="15"/>
                <w:szCs w:val="15"/>
                <w:b w:val="1"/>
                <w:bCs w:val="1"/>
                <w:color w:val="auto"/>
              </w:rPr>
              <w:t>(40)</w:t>
            </w:r>
          </w:p>
        </w:tc>
        <w:tc>
          <w:tcPr>
            <w:tcW w:w="1580" w:type="dxa"/>
            <w:vAlign w:val="bottom"/>
          </w:tcPr>
          <w:p>
            <w:pPr>
              <w:spacing w:after="0"/>
              <w:rPr>
                <w:sz w:val="17"/>
                <w:szCs w:val="17"/>
                <w:color w:val="auto"/>
              </w:rPr>
            </w:pPr>
          </w:p>
        </w:tc>
      </w:tr>
      <w:tr>
        <w:trPr>
          <w:trHeight w:val="207"/>
        </w:trPr>
        <w:tc>
          <w:tcPr>
            <w:tcW w:w="51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5"/>
                <w:szCs w:val="15"/>
                <w:color w:val="auto"/>
              </w:rPr>
              <w:t>Higher occupancy and buyers' compensation expense rate</w:t>
            </w:r>
          </w:p>
        </w:tc>
        <w:tc>
          <w:tcPr>
            <w:tcW w:w="2360" w:type="dxa"/>
            <w:vAlign w:val="bottom"/>
            <w:tcBorders>
              <w:bottom w:val="single" w:sz="8" w:color="auto"/>
            </w:tcBorders>
            <w:shd w:val="clear" w:color="auto" w:fill="CCEEFF"/>
          </w:tcPr>
          <w:p>
            <w:pPr>
              <w:jc w:val="right"/>
              <w:ind w:right="563"/>
              <w:spacing w:after="0"/>
              <w:rPr>
                <w:sz w:val="20"/>
                <w:szCs w:val="20"/>
                <w:color w:val="auto"/>
              </w:rPr>
            </w:pPr>
            <w:r>
              <w:rPr>
                <w:rFonts w:ascii="Arial" w:cs="Arial" w:eastAsia="Arial" w:hAnsi="Arial"/>
                <w:sz w:val="15"/>
                <w:szCs w:val="15"/>
                <w:b w:val="1"/>
                <w:bCs w:val="1"/>
                <w:color w:val="auto"/>
              </w:rPr>
              <w:t>(60)</w:t>
            </w:r>
          </w:p>
        </w:tc>
        <w:tc>
          <w:tcPr>
            <w:tcW w:w="1580" w:type="dxa"/>
            <w:vAlign w:val="bottom"/>
            <w:tcBorders>
              <w:bottom w:val="single" w:sz="8" w:color="auto"/>
            </w:tcBorders>
            <w:shd w:val="clear" w:color="auto" w:fill="CCEEFF"/>
          </w:tcPr>
          <w:p>
            <w:pPr>
              <w:spacing w:after="0"/>
              <w:rPr>
                <w:sz w:val="17"/>
                <w:szCs w:val="17"/>
                <w:color w:val="auto"/>
              </w:rPr>
            </w:pPr>
          </w:p>
        </w:tc>
      </w:tr>
    </w:tbl>
    <w:p>
      <w:pPr>
        <w:spacing w:after="0" w:line="153"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The gross margin rate decreased by 100 basis points for the thirteen weeks ended April 29, 2017. This reflected a merchandise margin rate decline of 40 basis points and with an increase in the occupancy and buyers’ compensation expense rate of 60 basis points for the thirteen weeks ended April 29, 2017.</w:t>
      </w:r>
    </w:p>
    <w:p>
      <w:pPr>
        <w:spacing w:after="0" w:line="153"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The merchandise margin rate decline for the current quarter primarily reflected a higher markdown rate for our Direct-to-Customers segment due to increased promotional activity in order to drive traffic to our websites, coupled with higher shipping and handling costs. A decrease in the markdown rate for our Athletic Stores segment partially offset the higher markdowns of the Direct-to-Customers segment to yield an overall merchandise margin rate decrease.</w:t>
      </w:r>
    </w:p>
    <w:p>
      <w:pPr>
        <w:spacing w:after="0" w:line="156"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The higher occupancy and buyers’ compensation expense rate reflected higher rent-related costs coupled with a modest increase in sales, which resulted in the rate deleveraging by 60 basis points. Higher occupancy costs are primarily attributed to several high-profile location leases entered into recently.</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Selling, General and Administrative Expenses (SG&amp;A)</w:t>
      </w:r>
    </w:p>
    <w:p>
      <w:pPr>
        <w:spacing w:after="0" w:line="117" w:lineRule="exact"/>
        <w:rPr>
          <w:sz w:val="20"/>
          <w:szCs w:val="20"/>
          <w:color w:val="auto"/>
        </w:rPr>
      </w:pPr>
    </w:p>
    <w:p>
      <w:pPr>
        <w:ind w:left="6500"/>
        <w:spacing w:after="0"/>
        <w:rPr>
          <w:sz w:val="20"/>
          <w:szCs w:val="20"/>
          <w:color w:val="auto"/>
        </w:rPr>
      </w:pPr>
      <w:r>
        <w:rPr>
          <w:rFonts w:ascii="Arial" w:cs="Arial" w:eastAsia="Arial" w:hAnsi="Arial"/>
          <w:sz w:val="15"/>
          <w:szCs w:val="15"/>
          <w:b w:val="1"/>
          <w:bCs w:val="1"/>
          <w:color w:val="auto"/>
        </w:rPr>
        <w:t>Thirteen weeks ended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960" w:type="dxa"/>
            <w:vAlign w:val="bottom"/>
            <w:tcBorders>
              <w:top w:val="single" w:sz="8" w:color="auto"/>
              <w:bottom w:val="single" w:sz="8" w:color="auto"/>
            </w:tcBorders>
          </w:tcPr>
          <w:p>
            <w:pPr>
              <w:spacing w:after="0"/>
              <w:rPr>
                <w:sz w:val="16"/>
                <w:szCs w:val="16"/>
                <w:color w:val="auto"/>
              </w:rPr>
            </w:pPr>
          </w:p>
        </w:tc>
        <w:tc>
          <w:tcPr>
            <w:tcW w:w="1960" w:type="dxa"/>
            <w:vAlign w:val="bottom"/>
            <w:tcBorders>
              <w:top w:val="single" w:sz="8" w:color="auto"/>
              <w:bottom w:val="single" w:sz="8" w:color="auto"/>
            </w:tcBorders>
          </w:tcPr>
          <w:p>
            <w:pPr>
              <w:spacing w:after="0"/>
              <w:rPr>
                <w:sz w:val="16"/>
                <w:szCs w:val="16"/>
                <w:color w:val="auto"/>
              </w:rPr>
            </w:pPr>
          </w:p>
        </w:tc>
        <w:tc>
          <w:tcPr>
            <w:tcW w:w="1420" w:type="dxa"/>
            <w:vAlign w:val="bottom"/>
            <w:tcBorders>
              <w:top w:val="single" w:sz="8" w:color="auto"/>
              <w:bottom w:val="single" w:sz="8" w:color="auto"/>
            </w:tcBorders>
          </w:tcPr>
          <w:p>
            <w:pPr>
              <w:jc w:val="right"/>
              <w:ind w:right="303"/>
              <w:spacing w:after="0"/>
              <w:rPr>
                <w:sz w:val="20"/>
                <w:szCs w:val="20"/>
                <w:color w:val="auto"/>
              </w:rPr>
            </w:pPr>
            <w:r>
              <w:rPr>
                <w:rFonts w:ascii="Arial" w:cs="Arial" w:eastAsia="Arial" w:hAnsi="Arial"/>
                <w:sz w:val="15"/>
                <w:szCs w:val="15"/>
                <w:b w:val="1"/>
                <w:bCs w:val="1"/>
                <w:color w:val="auto"/>
              </w:rPr>
              <w:t>April 29, 2017</w:t>
            </w:r>
          </w:p>
        </w:tc>
        <w:tc>
          <w:tcPr>
            <w:tcW w:w="220" w:type="dxa"/>
            <w:vAlign w:val="bottom"/>
            <w:tcBorders>
              <w:top w:val="single" w:sz="8" w:color="auto"/>
              <w:bottom w:val="single" w:sz="8" w:color="auto"/>
            </w:tcBorders>
          </w:tcPr>
          <w:p>
            <w:pPr>
              <w:spacing w:after="0"/>
              <w:rPr>
                <w:sz w:val="16"/>
                <w:szCs w:val="16"/>
                <w:color w:val="auto"/>
              </w:rPr>
            </w:pPr>
          </w:p>
        </w:tc>
        <w:tc>
          <w:tcPr>
            <w:tcW w:w="1540" w:type="dxa"/>
            <w:vAlign w:val="bottom"/>
            <w:tcBorders>
              <w:top w:val="single" w:sz="8" w:color="auto"/>
              <w:bottom w:val="single" w:sz="8" w:color="auto"/>
            </w:tcBorders>
          </w:tcPr>
          <w:p>
            <w:pPr>
              <w:jc w:val="right"/>
              <w:ind w:right="403"/>
              <w:spacing w:after="0"/>
              <w:rPr>
                <w:sz w:val="20"/>
                <w:szCs w:val="20"/>
                <w:color w:val="auto"/>
              </w:rPr>
            </w:pPr>
            <w:r>
              <w:rPr>
                <w:rFonts w:ascii="Arial" w:cs="Arial" w:eastAsia="Arial" w:hAnsi="Arial"/>
                <w:sz w:val="15"/>
                <w:szCs w:val="15"/>
                <w:b w:val="1"/>
                <w:bCs w:val="1"/>
                <w:color w:val="auto"/>
              </w:rPr>
              <w:t>April 30, 2016</w:t>
            </w:r>
          </w:p>
        </w:tc>
      </w:tr>
      <w:tr>
        <w:trPr>
          <w:trHeight w:val="187"/>
        </w:trPr>
        <w:tc>
          <w:tcPr>
            <w:tcW w:w="39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3180" w:type="dxa"/>
            <w:vAlign w:val="bottom"/>
            <w:gridSpan w:val="3"/>
          </w:tcPr>
          <w:p>
            <w:pPr>
              <w:jc w:val="center"/>
              <w:ind w:right="63"/>
              <w:spacing w:after="0"/>
              <w:rPr>
                <w:sz w:val="20"/>
                <w:szCs w:val="20"/>
                <w:color w:val="auto"/>
              </w:rPr>
            </w:pPr>
            <w:r>
              <w:rPr>
                <w:rFonts w:ascii="Arial" w:cs="Arial" w:eastAsia="Arial" w:hAnsi="Arial"/>
                <w:sz w:val="15"/>
                <w:szCs w:val="15"/>
                <w:color w:val="auto"/>
              </w:rPr>
              <w:t>($ in millions)</w:t>
            </w:r>
          </w:p>
        </w:tc>
      </w:tr>
      <w:tr>
        <w:trPr>
          <w:trHeight w:val="207"/>
        </w:trPr>
        <w:tc>
          <w:tcPr>
            <w:tcW w:w="3960" w:type="dxa"/>
            <w:vAlign w:val="bottom"/>
            <w:shd w:val="clear" w:color="auto" w:fill="CCEEFF"/>
          </w:tcPr>
          <w:p>
            <w:pPr>
              <w:spacing w:after="0"/>
              <w:rPr>
                <w:sz w:val="20"/>
                <w:szCs w:val="20"/>
                <w:color w:val="auto"/>
              </w:rPr>
            </w:pPr>
            <w:r>
              <w:rPr>
                <w:rFonts w:ascii="Arial" w:cs="Arial" w:eastAsia="Arial" w:hAnsi="Arial"/>
                <w:sz w:val="15"/>
                <w:szCs w:val="15"/>
                <w:color w:val="auto"/>
              </w:rPr>
              <w:t>SG&amp;A</w:t>
            </w:r>
          </w:p>
        </w:tc>
        <w:tc>
          <w:tcPr>
            <w:tcW w:w="19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420" w:type="dxa"/>
            <w:vAlign w:val="bottom"/>
            <w:shd w:val="clear" w:color="auto" w:fill="CCEEFF"/>
          </w:tcPr>
          <w:p>
            <w:pPr>
              <w:jc w:val="right"/>
              <w:ind w:right="163"/>
              <w:spacing w:after="0"/>
              <w:rPr>
                <w:sz w:val="20"/>
                <w:szCs w:val="20"/>
                <w:color w:val="auto"/>
              </w:rPr>
            </w:pPr>
            <w:r>
              <w:rPr>
                <w:rFonts w:ascii="Arial" w:cs="Arial" w:eastAsia="Arial" w:hAnsi="Arial"/>
                <w:sz w:val="15"/>
                <w:szCs w:val="15"/>
                <w:b w:val="1"/>
                <w:bCs w:val="1"/>
                <w:color w:val="auto"/>
              </w:rPr>
              <w:t>371</w:t>
            </w:r>
          </w:p>
        </w:tc>
        <w:tc>
          <w:tcPr>
            <w:tcW w:w="2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54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rPr>
              <w:t>361</w:t>
            </w:r>
          </w:p>
        </w:tc>
      </w:tr>
      <w:tr>
        <w:trPr>
          <w:trHeight w:val="207"/>
        </w:trPr>
        <w:tc>
          <w:tcPr>
            <w:tcW w:w="3960" w:type="dxa"/>
            <w:vAlign w:val="bottom"/>
          </w:tcPr>
          <w:p>
            <w:pPr>
              <w:spacing w:after="0"/>
              <w:rPr>
                <w:sz w:val="20"/>
                <w:szCs w:val="20"/>
                <w:color w:val="auto"/>
              </w:rPr>
            </w:pPr>
            <w:r>
              <w:rPr>
                <w:rFonts w:ascii="Arial" w:cs="Arial" w:eastAsia="Arial" w:hAnsi="Arial"/>
                <w:sz w:val="15"/>
                <w:szCs w:val="15"/>
                <w:color w:val="auto"/>
              </w:rPr>
              <w:t>$ Change</w:t>
            </w:r>
          </w:p>
        </w:tc>
        <w:tc>
          <w:tcPr>
            <w:tcW w:w="19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420" w:type="dxa"/>
            <w:vAlign w:val="bottom"/>
          </w:tcPr>
          <w:p>
            <w:pPr>
              <w:jc w:val="right"/>
              <w:ind w:right="183"/>
              <w:spacing w:after="0"/>
              <w:rPr>
                <w:sz w:val="20"/>
                <w:szCs w:val="20"/>
                <w:color w:val="auto"/>
              </w:rPr>
            </w:pPr>
            <w:r>
              <w:rPr>
                <w:rFonts w:ascii="Arial" w:cs="Arial" w:eastAsia="Arial" w:hAnsi="Arial"/>
                <w:sz w:val="15"/>
                <w:szCs w:val="15"/>
                <w:b w:val="1"/>
                <w:bCs w:val="1"/>
                <w:color w:val="auto"/>
              </w:rPr>
              <w:t>10</w:t>
            </w: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7"/>
        </w:trPr>
        <w:tc>
          <w:tcPr>
            <w:tcW w:w="3960" w:type="dxa"/>
            <w:vAlign w:val="bottom"/>
            <w:shd w:val="clear" w:color="auto" w:fill="CCEEFF"/>
          </w:tcPr>
          <w:p>
            <w:pPr>
              <w:spacing w:after="0"/>
              <w:rPr>
                <w:sz w:val="20"/>
                <w:szCs w:val="20"/>
                <w:color w:val="auto"/>
              </w:rPr>
            </w:pPr>
            <w:r>
              <w:rPr>
                <w:rFonts w:ascii="Arial" w:cs="Arial" w:eastAsia="Arial" w:hAnsi="Arial"/>
                <w:sz w:val="15"/>
                <w:szCs w:val="15"/>
                <w:color w:val="auto"/>
              </w:rPr>
              <w:t>% Change</w:t>
            </w:r>
          </w:p>
        </w:tc>
        <w:tc>
          <w:tcPr>
            <w:tcW w:w="196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2.8 %</w:t>
            </w: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07"/>
        </w:trPr>
        <w:tc>
          <w:tcPr>
            <w:tcW w:w="39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SG&amp;A as a percentage of sales</w:t>
            </w:r>
          </w:p>
        </w:tc>
        <w:tc>
          <w:tcPr>
            <w:tcW w:w="19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18.5 %</w:t>
            </w:r>
          </w:p>
        </w:tc>
        <w:tc>
          <w:tcPr>
            <w:tcW w:w="2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18.2 %</w:t>
            </w:r>
          </w:p>
        </w:tc>
      </w:tr>
    </w:tbl>
    <w:p>
      <w:pPr>
        <w:spacing w:after="0" w:line="116" w:lineRule="exact"/>
        <w:rPr>
          <w:sz w:val="20"/>
          <w:szCs w:val="20"/>
          <w:color w:val="auto"/>
        </w:rPr>
      </w:pPr>
    </w:p>
    <w:p>
      <w:pPr>
        <w:jc w:val="both"/>
        <w:spacing w:after="0"/>
        <w:rPr>
          <w:sz w:val="20"/>
          <w:szCs w:val="20"/>
          <w:color w:val="auto"/>
        </w:rPr>
      </w:pPr>
      <w:r>
        <w:rPr>
          <w:rFonts w:ascii="Arial" w:cs="Arial" w:eastAsia="Arial" w:hAnsi="Arial"/>
          <w:sz w:val="15"/>
          <w:szCs w:val="15"/>
          <w:color w:val="auto"/>
        </w:rPr>
        <w:t>Excluding the effect of foreign currency fluctuations, SG&amp;A increased by $16 million for the thirteen weeks ended April 29, 2017, as compared with the corresponding prior-year period. The prior-year period included $4 million of relocation-related costs in connection with the corporate headquarters move. Excluding this, the increase in SG&amp;A was primarily related to higher store-related compensation costs as compared with the corresponding prior-year period. Wages were higher mainly due to minimum wage increases, as well as related payroll taxes and benefits. Additionally, we incurred higher SG&amp;A expenses, as planned, in connection with our ongoing investment in various technology and infrastructure projects.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5817870" cy="482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311" w:right="1399" w:bottom="1440" w:gutter="0" w:footer="0" w:header="0"/>
        </w:sectPr>
      </w:pPr>
    </w:p>
    <w:bookmarkStart w:id="19" w:name="page20"/>
    <w:bookmarkEnd w:id="19"/>
    <w:p>
      <w:pPr>
        <w:spacing w:after="0"/>
        <w:rPr>
          <w:sz w:val="20"/>
          <w:szCs w:val="20"/>
          <w:color w:val="auto"/>
        </w:rPr>
      </w:pPr>
      <w:r>
        <w:rPr>
          <w:rFonts w:ascii="Arial" w:cs="Arial" w:eastAsia="Arial" w:hAnsi="Arial"/>
          <w:sz w:val="15"/>
          <w:szCs w:val="15"/>
          <w:i w:val="1"/>
          <w:iCs w:val="1"/>
          <w:u w:val="single" w:color="auto"/>
          <w:color w:val="auto"/>
        </w:rPr>
        <w:t>Depreciation and Amortization</w:t>
      </w:r>
    </w:p>
    <w:p>
      <w:pPr>
        <w:spacing w:after="0" w:line="117" w:lineRule="exact"/>
        <w:rPr>
          <w:sz w:val="20"/>
          <w:szCs w:val="20"/>
          <w:color w:val="auto"/>
        </w:rPr>
      </w:pPr>
    </w:p>
    <w:p>
      <w:pPr>
        <w:ind w:left="6500"/>
        <w:spacing w:after="0"/>
        <w:rPr>
          <w:sz w:val="20"/>
          <w:szCs w:val="20"/>
          <w:color w:val="auto"/>
        </w:rPr>
      </w:pPr>
      <w:r>
        <w:rPr>
          <w:rFonts w:ascii="Arial" w:cs="Arial" w:eastAsia="Arial" w:hAnsi="Arial"/>
          <w:sz w:val="15"/>
          <w:szCs w:val="15"/>
          <w:b w:val="1"/>
          <w:bCs w:val="1"/>
          <w:color w:val="auto"/>
        </w:rPr>
        <w:t>Thirteen weeks ended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920" w:type="dxa"/>
            <w:vAlign w:val="bottom"/>
            <w:tcBorders>
              <w:top w:val="single" w:sz="8" w:color="auto"/>
              <w:bottom w:val="single" w:sz="8" w:color="auto"/>
            </w:tcBorders>
          </w:tcPr>
          <w:p>
            <w:pPr>
              <w:spacing w:after="0"/>
              <w:rPr>
                <w:sz w:val="16"/>
                <w:szCs w:val="16"/>
                <w:color w:val="auto"/>
              </w:rPr>
            </w:pPr>
          </w:p>
        </w:tc>
        <w:tc>
          <w:tcPr>
            <w:tcW w:w="2000" w:type="dxa"/>
            <w:vAlign w:val="bottom"/>
            <w:tcBorders>
              <w:top w:val="single" w:sz="8" w:color="auto"/>
              <w:bottom w:val="single" w:sz="8" w:color="auto"/>
            </w:tcBorders>
          </w:tcPr>
          <w:p>
            <w:pPr>
              <w:spacing w:after="0"/>
              <w:rPr>
                <w:sz w:val="16"/>
                <w:szCs w:val="16"/>
                <w:color w:val="auto"/>
              </w:rPr>
            </w:pPr>
          </w:p>
        </w:tc>
        <w:tc>
          <w:tcPr>
            <w:tcW w:w="1420" w:type="dxa"/>
            <w:vAlign w:val="bottom"/>
            <w:tcBorders>
              <w:top w:val="single" w:sz="8" w:color="auto"/>
              <w:bottom w:val="single" w:sz="8" w:color="auto"/>
            </w:tcBorders>
          </w:tcPr>
          <w:p>
            <w:pPr>
              <w:jc w:val="right"/>
              <w:ind w:right="303"/>
              <w:spacing w:after="0"/>
              <w:rPr>
                <w:sz w:val="20"/>
                <w:szCs w:val="20"/>
                <w:color w:val="auto"/>
              </w:rPr>
            </w:pPr>
            <w:r>
              <w:rPr>
                <w:rFonts w:ascii="Arial" w:cs="Arial" w:eastAsia="Arial" w:hAnsi="Arial"/>
                <w:sz w:val="15"/>
                <w:szCs w:val="15"/>
                <w:b w:val="1"/>
                <w:bCs w:val="1"/>
                <w:color w:val="auto"/>
              </w:rPr>
              <w:t>April 29, 2017</w:t>
            </w:r>
          </w:p>
        </w:tc>
        <w:tc>
          <w:tcPr>
            <w:tcW w:w="220" w:type="dxa"/>
            <w:vAlign w:val="bottom"/>
            <w:tcBorders>
              <w:top w:val="single" w:sz="8" w:color="auto"/>
              <w:bottom w:val="single" w:sz="8" w:color="auto"/>
            </w:tcBorders>
          </w:tcPr>
          <w:p>
            <w:pPr>
              <w:spacing w:after="0"/>
              <w:rPr>
                <w:sz w:val="16"/>
                <w:szCs w:val="16"/>
                <w:color w:val="auto"/>
              </w:rPr>
            </w:pPr>
          </w:p>
        </w:tc>
        <w:tc>
          <w:tcPr>
            <w:tcW w:w="1540" w:type="dxa"/>
            <w:vAlign w:val="bottom"/>
            <w:tcBorders>
              <w:top w:val="single" w:sz="8" w:color="auto"/>
              <w:bottom w:val="single" w:sz="8" w:color="auto"/>
            </w:tcBorders>
          </w:tcPr>
          <w:p>
            <w:pPr>
              <w:jc w:val="right"/>
              <w:ind w:right="403"/>
              <w:spacing w:after="0"/>
              <w:rPr>
                <w:sz w:val="20"/>
                <w:szCs w:val="20"/>
                <w:color w:val="auto"/>
              </w:rPr>
            </w:pPr>
            <w:r>
              <w:rPr>
                <w:rFonts w:ascii="Arial" w:cs="Arial" w:eastAsia="Arial" w:hAnsi="Arial"/>
                <w:sz w:val="15"/>
                <w:szCs w:val="15"/>
                <w:b w:val="1"/>
                <w:bCs w:val="1"/>
                <w:color w:val="auto"/>
              </w:rPr>
              <w:t>April 30, 2016</w:t>
            </w:r>
          </w:p>
        </w:tc>
      </w:tr>
      <w:tr>
        <w:trPr>
          <w:trHeight w:val="187"/>
        </w:trPr>
        <w:tc>
          <w:tcPr>
            <w:tcW w:w="39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3180" w:type="dxa"/>
            <w:vAlign w:val="bottom"/>
            <w:gridSpan w:val="3"/>
          </w:tcPr>
          <w:p>
            <w:pPr>
              <w:jc w:val="center"/>
              <w:ind w:right="63"/>
              <w:spacing w:after="0"/>
              <w:rPr>
                <w:sz w:val="20"/>
                <w:szCs w:val="20"/>
                <w:color w:val="auto"/>
              </w:rPr>
            </w:pPr>
            <w:r>
              <w:rPr>
                <w:rFonts w:ascii="Arial" w:cs="Arial" w:eastAsia="Arial" w:hAnsi="Arial"/>
                <w:sz w:val="15"/>
                <w:szCs w:val="15"/>
                <w:color w:val="auto"/>
              </w:rPr>
              <w:t>($ in millions)</w:t>
            </w:r>
          </w:p>
        </w:tc>
      </w:tr>
      <w:tr>
        <w:trPr>
          <w:trHeight w:val="207"/>
        </w:trPr>
        <w:tc>
          <w:tcPr>
            <w:tcW w:w="3920" w:type="dxa"/>
            <w:vAlign w:val="bottom"/>
            <w:shd w:val="clear" w:color="auto" w:fill="CCEEFF"/>
          </w:tcPr>
          <w:p>
            <w:pPr>
              <w:spacing w:after="0"/>
              <w:rPr>
                <w:sz w:val="20"/>
                <w:szCs w:val="20"/>
                <w:color w:val="auto"/>
              </w:rPr>
            </w:pPr>
            <w:r>
              <w:rPr>
                <w:rFonts w:ascii="Arial" w:cs="Arial" w:eastAsia="Arial" w:hAnsi="Arial"/>
                <w:sz w:val="15"/>
                <w:szCs w:val="15"/>
                <w:color w:val="auto"/>
              </w:rPr>
              <w:t>Depreciation and amortization</w:t>
            </w:r>
          </w:p>
        </w:tc>
        <w:tc>
          <w:tcPr>
            <w:tcW w:w="20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420" w:type="dxa"/>
            <w:vAlign w:val="bottom"/>
            <w:shd w:val="clear" w:color="auto" w:fill="CCEEFF"/>
          </w:tcPr>
          <w:p>
            <w:pPr>
              <w:jc w:val="right"/>
              <w:ind w:right="183"/>
              <w:spacing w:after="0"/>
              <w:rPr>
                <w:sz w:val="20"/>
                <w:szCs w:val="20"/>
                <w:color w:val="auto"/>
              </w:rPr>
            </w:pPr>
            <w:r>
              <w:rPr>
                <w:rFonts w:ascii="Arial" w:cs="Arial" w:eastAsia="Arial" w:hAnsi="Arial"/>
                <w:sz w:val="15"/>
                <w:szCs w:val="15"/>
                <w:b w:val="1"/>
                <w:bCs w:val="1"/>
                <w:color w:val="auto"/>
              </w:rPr>
              <w:t>41</w:t>
            </w:r>
          </w:p>
        </w:tc>
        <w:tc>
          <w:tcPr>
            <w:tcW w:w="2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54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rPr>
              <w:t>39</w:t>
            </w:r>
          </w:p>
        </w:tc>
      </w:tr>
      <w:tr>
        <w:trPr>
          <w:trHeight w:val="207"/>
        </w:trPr>
        <w:tc>
          <w:tcPr>
            <w:tcW w:w="3920" w:type="dxa"/>
            <w:vAlign w:val="bottom"/>
          </w:tcPr>
          <w:p>
            <w:pPr>
              <w:spacing w:after="0"/>
              <w:rPr>
                <w:sz w:val="20"/>
                <w:szCs w:val="20"/>
                <w:color w:val="auto"/>
              </w:rPr>
            </w:pPr>
            <w:r>
              <w:rPr>
                <w:rFonts w:ascii="Arial" w:cs="Arial" w:eastAsia="Arial" w:hAnsi="Arial"/>
                <w:sz w:val="15"/>
                <w:szCs w:val="15"/>
                <w:color w:val="auto"/>
              </w:rPr>
              <w:t>$ Change</w:t>
            </w:r>
          </w:p>
        </w:tc>
        <w:tc>
          <w:tcPr>
            <w:tcW w:w="20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420" w:type="dxa"/>
            <w:vAlign w:val="bottom"/>
          </w:tcPr>
          <w:p>
            <w:pPr>
              <w:jc w:val="right"/>
              <w:ind w:right="163"/>
              <w:spacing w:after="0"/>
              <w:rPr>
                <w:sz w:val="20"/>
                <w:szCs w:val="20"/>
                <w:color w:val="auto"/>
              </w:rPr>
            </w:pPr>
            <w:r>
              <w:rPr>
                <w:rFonts w:ascii="Arial" w:cs="Arial" w:eastAsia="Arial" w:hAnsi="Arial"/>
                <w:sz w:val="15"/>
                <w:szCs w:val="15"/>
                <w:b w:val="1"/>
                <w:bCs w:val="1"/>
                <w:color w:val="auto"/>
              </w:rPr>
              <w:t>2</w:t>
            </w: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7"/>
        </w:trPr>
        <w:tc>
          <w:tcPr>
            <w:tcW w:w="3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 Change</w:t>
            </w:r>
          </w:p>
        </w:tc>
        <w:tc>
          <w:tcPr>
            <w:tcW w:w="200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5.1 %</w:t>
            </w:r>
          </w:p>
        </w:tc>
        <w:tc>
          <w:tcPr>
            <w:tcW w:w="22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spacing w:after="0"/>
              <w:rPr>
                <w:sz w:val="17"/>
                <w:szCs w:val="17"/>
                <w:color w:val="auto"/>
              </w:rPr>
            </w:pPr>
          </w:p>
        </w:tc>
      </w:tr>
    </w:tbl>
    <w:p>
      <w:pPr>
        <w:spacing w:after="0" w:line="128"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Depreciation and amortization increased by $2 million for the thirteen weeks ended April 29, 2017 as compared with the corresponding prior-year period. The increase in depreciation and amortization reflected increased capital spending on store projects, enhancing our digital sites, and various other technologies and infrastructure.</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Interest Expense, Net</w:t>
      </w:r>
    </w:p>
    <w:p>
      <w:pPr>
        <w:spacing w:after="0" w:line="117" w:lineRule="exact"/>
        <w:rPr>
          <w:sz w:val="20"/>
          <w:szCs w:val="20"/>
          <w:color w:val="auto"/>
        </w:rPr>
      </w:pPr>
    </w:p>
    <w:p>
      <w:pPr>
        <w:ind w:left="6500"/>
        <w:spacing w:after="0"/>
        <w:rPr>
          <w:sz w:val="20"/>
          <w:szCs w:val="20"/>
          <w:color w:val="auto"/>
        </w:rPr>
      </w:pPr>
      <w:r>
        <w:rPr>
          <w:rFonts w:ascii="Arial" w:cs="Arial" w:eastAsia="Arial" w:hAnsi="Arial"/>
          <w:sz w:val="15"/>
          <w:szCs w:val="15"/>
          <w:b w:val="1"/>
          <w:bCs w:val="1"/>
          <w:color w:val="auto"/>
        </w:rPr>
        <w:t>Thirteen weeks ended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620" w:type="dxa"/>
            <w:vAlign w:val="bottom"/>
            <w:tcBorders>
              <w:top w:val="single" w:sz="8" w:color="auto"/>
              <w:bottom w:val="single" w:sz="8" w:color="auto"/>
            </w:tcBorders>
          </w:tcPr>
          <w:p>
            <w:pPr>
              <w:spacing w:after="0"/>
              <w:rPr>
                <w:sz w:val="16"/>
                <w:szCs w:val="16"/>
                <w:color w:val="auto"/>
              </w:rPr>
            </w:pPr>
          </w:p>
        </w:tc>
        <w:tc>
          <w:tcPr>
            <w:tcW w:w="230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tcPr>
          <w:p>
            <w:pPr>
              <w:jc w:val="right"/>
              <w:ind w:right="223"/>
              <w:spacing w:after="0"/>
              <w:rPr>
                <w:sz w:val="20"/>
                <w:szCs w:val="20"/>
                <w:color w:val="auto"/>
              </w:rPr>
            </w:pPr>
            <w:r>
              <w:rPr>
                <w:rFonts w:ascii="Arial" w:cs="Arial" w:eastAsia="Arial" w:hAnsi="Arial"/>
                <w:sz w:val="15"/>
                <w:szCs w:val="15"/>
                <w:b w:val="1"/>
                <w:bCs w:val="1"/>
                <w:color w:val="auto"/>
              </w:rPr>
              <w:t>April 29, 2017</w:t>
            </w:r>
          </w:p>
        </w:tc>
        <w:tc>
          <w:tcPr>
            <w:tcW w:w="300" w:type="dxa"/>
            <w:vAlign w:val="bottom"/>
            <w:tcBorders>
              <w:top w:val="single" w:sz="8" w:color="auto"/>
              <w:bottom w:val="single" w:sz="8" w:color="auto"/>
            </w:tcBorders>
          </w:tcPr>
          <w:p>
            <w:pPr>
              <w:spacing w:after="0"/>
              <w:rPr>
                <w:sz w:val="16"/>
                <w:szCs w:val="16"/>
                <w:color w:val="auto"/>
              </w:rPr>
            </w:pPr>
          </w:p>
        </w:tc>
        <w:tc>
          <w:tcPr>
            <w:tcW w:w="1540" w:type="dxa"/>
            <w:vAlign w:val="bottom"/>
            <w:tcBorders>
              <w:top w:val="single" w:sz="8" w:color="auto"/>
              <w:bottom w:val="single" w:sz="8" w:color="auto"/>
            </w:tcBorders>
          </w:tcPr>
          <w:p>
            <w:pPr>
              <w:jc w:val="right"/>
              <w:ind w:right="403"/>
              <w:spacing w:after="0"/>
              <w:rPr>
                <w:sz w:val="20"/>
                <w:szCs w:val="20"/>
                <w:color w:val="auto"/>
              </w:rPr>
            </w:pPr>
            <w:r>
              <w:rPr>
                <w:rFonts w:ascii="Arial" w:cs="Arial" w:eastAsia="Arial" w:hAnsi="Arial"/>
                <w:sz w:val="15"/>
                <w:szCs w:val="15"/>
                <w:b w:val="1"/>
                <w:bCs w:val="1"/>
                <w:color w:val="auto"/>
              </w:rPr>
              <w:t>April 30, 2016</w:t>
            </w:r>
          </w:p>
        </w:tc>
      </w:tr>
      <w:tr>
        <w:trPr>
          <w:trHeight w:val="187"/>
        </w:trPr>
        <w:tc>
          <w:tcPr>
            <w:tcW w:w="36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3180" w:type="dxa"/>
            <w:vAlign w:val="bottom"/>
            <w:gridSpan w:val="3"/>
          </w:tcPr>
          <w:p>
            <w:pPr>
              <w:jc w:val="center"/>
              <w:ind w:right="63"/>
              <w:spacing w:after="0"/>
              <w:rPr>
                <w:sz w:val="20"/>
                <w:szCs w:val="20"/>
                <w:color w:val="auto"/>
              </w:rPr>
            </w:pPr>
            <w:r>
              <w:rPr>
                <w:rFonts w:ascii="Arial" w:cs="Arial" w:eastAsia="Arial" w:hAnsi="Arial"/>
                <w:sz w:val="15"/>
                <w:szCs w:val="15"/>
                <w:color w:val="auto"/>
              </w:rPr>
              <w:t>($ in millions)</w:t>
            </w:r>
          </w:p>
        </w:tc>
      </w:tr>
      <w:tr>
        <w:trPr>
          <w:trHeight w:val="207"/>
        </w:trPr>
        <w:tc>
          <w:tcPr>
            <w:tcW w:w="3620" w:type="dxa"/>
            <w:vAlign w:val="bottom"/>
            <w:shd w:val="clear" w:color="auto" w:fill="CCEEFF"/>
          </w:tcPr>
          <w:p>
            <w:pPr>
              <w:spacing w:after="0"/>
              <w:rPr>
                <w:sz w:val="20"/>
                <w:szCs w:val="20"/>
                <w:color w:val="auto"/>
              </w:rPr>
            </w:pPr>
            <w:r>
              <w:rPr>
                <w:rFonts w:ascii="Arial" w:cs="Arial" w:eastAsia="Arial" w:hAnsi="Arial"/>
                <w:sz w:val="15"/>
                <w:szCs w:val="15"/>
                <w:color w:val="auto"/>
              </w:rPr>
              <w:t>Interest expense</w:t>
            </w:r>
          </w:p>
        </w:tc>
        <w:tc>
          <w:tcPr>
            <w:tcW w:w="23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340" w:type="dxa"/>
            <w:vAlign w:val="bottom"/>
            <w:shd w:val="clear" w:color="auto" w:fill="CCEEFF"/>
          </w:tcPr>
          <w:p>
            <w:pPr>
              <w:jc w:val="right"/>
              <w:ind w:right="83"/>
              <w:spacing w:after="0"/>
              <w:rPr>
                <w:sz w:val="20"/>
                <w:szCs w:val="20"/>
                <w:color w:val="auto"/>
              </w:rPr>
            </w:pPr>
            <w:r>
              <w:rPr>
                <w:rFonts w:ascii="Arial" w:cs="Arial" w:eastAsia="Arial" w:hAnsi="Arial"/>
                <w:sz w:val="15"/>
                <w:szCs w:val="15"/>
                <w:b w:val="1"/>
                <w:bCs w:val="1"/>
                <w:color w:val="auto"/>
              </w:rPr>
              <w:t>3</w:t>
            </w:r>
          </w:p>
        </w:tc>
        <w:tc>
          <w:tcPr>
            <w:tcW w:w="3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rPr>
              <w:t>3</w:t>
            </w:r>
          </w:p>
        </w:tc>
      </w:tr>
      <w:tr>
        <w:trPr>
          <w:trHeight w:val="207"/>
        </w:trPr>
        <w:tc>
          <w:tcPr>
            <w:tcW w:w="36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Interest income</w:t>
            </w:r>
          </w:p>
        </w:tc>
        <w:tc>
          <w:tcPr>
            <w:tcW w:w="2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rPr>
              <w:t>(3)</w:t>
            </w:r>
          </w:p>
        </w:tc>
        <w:tc>
          <w:tcPr>
            <w:tcW w:w="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rPr>
              <w:t>(3)</w:t>
            </w:r>
          </w:p>
        </w:tc>
      </w:tr>
      <w:tr>
        <w:trPr>
          <w:trHeight w:val="179"/>
        </w:trPr>
        <w:tc>
          <w:tcPr>
            <w:tcW w:w="3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Interest expense, net</w:t>
            </w: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3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w:t>
            </w:r>
          </w:p>
        </w:tc>
        <w:tc>
          <w:tcPr>
            <w:tcW w:w="3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rPr>
              <w:t>—</w:t>
            </w:r>
          </w:p>
        </w:tc>
      </w:tr>
    </w:tbl>
    <w:p>
      <w:pPr>
        <w:spacing w:after="0" w:line="189"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Net interest expense was unchanged for the thirteen weeks ended April 29, 2017 as compared with the corresponding prior-year period.</w:t>
      </w:r>
    </w:p>
    <w:p>
      <w:pPr>
        <w:spacing w:after="0" w:line="317"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Income Taxes</w:t>
      </w:r>
    </w:p>
    <w:p>
      <w:pPr>
        <w:spacing w:after="0" w:line="184"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For the thirteen weeks ended April 29, 2017, the Company recorded an income tax provision of $89 million, which represented an effective tax rate of 33.0 percent, compared to the prior-year income tax provision of $107 million, which represented an effective tax rate of 36.0 percent. The Company’s interim provision for income taxes is measured using an annual effective tax rate, adjusted for discrete items that occur within the periods presented.</w:t>
      </w:r>
    </w:p>
    <w:p>
      <w:pPr>
        <w:spacing w:after="0" w:line="156"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The Company regularly assesses the adequacy of the Company’s provisions for income tax contingencies in accordance with the applicable authoritative guidance on accounting for income taxes. As a result, the Company may adjust the reserves for unrecognized tax benefits considering new facts and developments, such as changes to interpretations of relevant tax law, assessments from taxing authorities, settlements with taxing authorities, and lapses of statutes of limitation. The changes in the tax reserves for the thirteen weeks ended April 29, 2017 and April 30, 2016 were not significant.</w:t>
      </w:r>
    </w:p>
    <w:p>
      <w:pPr>
        <w:spacing w:after="0" w:line="156"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During the thirteen weeks ended April 29, 2017 the Company recognized excess tax benefits of $7 million from share-based compensation reflecting the change required by ASC 718. With the adoption of ASU 2016-09 during the first quarter of 2017, excess tax benefits or deficiencies from share-based compensation are required to be recorded as a component of the income tax provision, rather than to equity.</w:t>
      </w:r>
    </w:p>
    <w:p>
      <w:pPr>
        <w:spacing w:after="0" w:line="156"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Excluding the above-mentioned excess tax benefits, the effective tax rate for the thirteen weeks ended April 29, 2017 decreased as compared with the corresponding prior-year period, due primarily to a higher proportion of income earned in lower tax jurisdictions.</w:t>
      </w:r>
    </w:p>
    <w:p>
      <w:pPr>
        <w:spacing w:after="0" w:line="133"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The Company currently expects its full-year tax rate to approximate 34 percent excluding the effect of any nonrecurring items that may occur. The actual tax rate will vary depending on the level of restricted stock vesting, stock option exercise activity, and the stock price at the vesting or exercise date. Additionally, the actual tax rate will also vary depending on the level and mix of income earned in the United States, as compared with our international operations.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5817870" cy="482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313" w:right="1399" w:bottom="1440" w:gutter="0" w:footer="0" w:header="0"/>
        </w:sectPr>
      </w:pPr>
    </w:p>
    <w:bookmarkStart w:id="20" w:name="page21"/>
    <w:bookmarkEnd w:id="20"/>
    <w:p>
      <w:pPr>
        <w:spacing w:after="0"/>
        <w:rPr>
          <w:sz w:val="20"/>
          <w:szCs w:val="20"/>
          <w:color w:val="auto"/>
        </w:rPr>
      </w:pPr>
      <w:r>
        <w:rPr>
          <w:rFonts w:ascii="Arial" w:cs="Arial" w:eastAsia="Arial" w:hAnsi="Arial"/>
          <w:sz w:val="15"/>
          <w:szCs w:val="15"/>
          <w:i w:val="1"/>
          <w:iCs w:val="1"/>
          <w:u w:val="single" w:color="auto"/>
          <w:color w:val="auto"/>
        </w:rPr>
        <w:t>Net Income</w:t>
      </w:r>
    </w:p>
    <w:p>
      <w:pPr>
        <w:spacing w:after="0" w:line="160"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For the thirteen weeks ended April 29, 2017, net income decreased by $11 million, or 5.8 percent, and diluted earnings per share decreased by 2.2 percent to $1.36 per share, as compared with the corresponding prior-year period.</w:t>
      </w:r>
    </w:p>
    <w:p>
      <w:pPr>
        <w:spacing w:after="0" w:line="12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Segment Information</w:t>
      </w:r>
    </w:p>
    <w:p>
      <w:pPr>
        <w:spacing w:after="0" w:line="162"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We have two reportable segments, Athletic Stores and Direct-to-Customers, which are based on our method of internal reporting. We evaluate performance based on several factors, the primary financial measure of which is division results. Division profit reflects income before income taxes, corporate expense, non-operating income, and net interest expense. The following table summarizes results by segment:</w:t>
      </w:r>
    </w:p>
    <w:p>
      <w:pPr>
        <w:spacing w:after="0" w:line="113" w:lineRule="exact"/>
        <w:rPr>
          <w:sz w:val="20"/>
          <w:szCs w:val="20"/>
          <w:color w:val="auto"/>
        </w:rPr>
      </w:pPr>
    </w:p>
    <w:p>
      <w:pPr>
        <w:ind w:left="6420"/>
        <w:spacing w:after="0"/>
        <w:rPr>
          <w:sz w:val="20"/>
          <w:szCs w:val="20"/>
          <w:color w:val="auto"/>
        </w:rPr>
      </w:pPr>
      <w:r>
        <w:rPr>
          <w:rFonts w:ascii="Arial" w:cs="Arial" w:eastAsia="Arial" w:hAnsi="Arial"/>
          <w:sz w:val="15"/>
          <w:szCs w:val="15"/>
          <w:b w:val="1"/>
          <w:bCs w:val="1"/>
          <w:color w:val="auto"/>
        </w:rPr>
        <w:t>Thirteen weeks ended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56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spacing w:after="0"/>
              <w:rPr>
                <w:sz w:val="16"/>
                <w:szCs w:val="16"/>
                <w:color w:val="auto"/>
              </w:rPr>
            </w:pPr>
          </w:p>
        </w:tc>
        <w:tc>
          <w:tcPr>
            <w:tcW w:w="1560" w:type="dxa"/>
            <w:vAlign w:val="bottom"/>
            <w:tcBorders>
              <w:top w:val="single" w:sz="8" w:color="auto"/>
              <w:bottom w:val="single" w:sz="8" w:color="auto"/>
            </w:tcBorders>
          </w:tcPr>
          <w:p>
            <w:pPr>
              <w:jc w:val="right"/>
              <w:ind w:right="403"/>
              <w:spacing w:after="0"/>
              <w:rPr>
                <w:sz w:val="20"/>
                <w:szCs w:val="20"/>
                <w:color w:val="auto"/>
              </w:rPr>
            </w:pPr>
            <w:r>
              <w:rPr>
                <w:rFonts w:ascii="Arial" w:cs="Arial" w:eastAsia="Arial" w:hAnsi="Arial"/>
                <w:sz w:val="15"/>
                <w:szCs w:val="15"/>
                <w:b w:val="1"/>
                <w:bCs w:val="1"/>
                <w:color w:val="auto"/>
              </w:rPr>
              <w:t>April 29, 2017</w:t>
            </w:r>
          </w:p>
        </w:tc>
        <w:tc>
          <w:tcPr>
            <w:tcW w:w="1760" w:type="dxa"/>
            <w:vAlign w:val="bottom"/>
            <w:tcBorders>
              <w:top w:val="single" w:sz="8" w:color="auto"/>
              <w:bottom w:val="single" w:sz="8" w:color="auto"/>
            </w:tcBorders>
            <w:gridSpan w:val="2"/>
          </w:tcPr>
          <w:p>
            <w:pPr>
              <w:jc w:val="right"/>
              <w:ind w:right="423"/>
              <w:spacing w:after="0"/>
              <w:rPr>
                <w:sz w:val="20"/>
                <w:szCs w:val="20"/>
                <w:color w:val="auto"/>
              </w:rPr>
            </w:pPr>
            <w:r>
              <w:rPr>
                <w:rFonts w:ascii="Arial" w:cs="Arial" w:eastAsia="Arial" w:hAnsi="Arial"/>
                <w:sz w:val="15"/>
                <w:szCs w:val="15"/>
                <w:b w:val="1"/>
                <w:bCs w:val="1"/>
                <w:color w:val="auto"/>
              </w:rPr>
              <w:t>April 30, 2016</w:t>
            </w:r>
          </w:p>
        </w:tc>
      </w:tr>
      <w:tr>
        <w:trPr>
          <w:trHeight w:val="175"/>
        </w:trPr>
        <w:tc>
          <w:tcPr>
            <w:tcW w:w="45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340" w:type="dxa"/>
            <w:vAlign w:val="bottom"/>
            <w:gridSpan w:val="2"/>
          </w:tcPr>
          <w:p>
            <w:pPr>
              <w:jc w:val="right"/>
              <w:ind w:right="223"/>
              <w:spacing w:after="0"/>
              <w:rPr>
                <w:sz w:val="20"/>
                <w:szCs w:val="20"/>
                <w:color w:val="auto"/>
              </w:rPr>
            </w:pPr>
            <w:r>
              <w:rPr>
                <w:rFonts w:ascii="Arial" w:cs="Arial" w:eastAsia="Arial" w:hAnsi="Arial"/>
                <w:sz w:val="15"/>
                <w:szCs w:val="15"/>
                <w:color w:val="auto"/>
              </w:rPr>
              <w:t>($ in millions)</w:t>
            </w:r>
          </w:p>
        </w:tc>
        <w:tc>
          <w:tcPr>
            <w:tcW w:w="980" w:type="dxa"/>
            <w:vAlign w:val="bottom"/>
          </w:tcPr>
          <w:p>
            <w:pPr>
              <w:spacing w:after="0"/>
              <w:rPr>
                <w:sz w:val="15"/>
                <w:szCs w:val="15"/>
                <w:color w:val="auto"/>
              </w:rPr>
            </w:pPr>
          </w:p>
        </w:tc>
      </w:tr>
      <w:tr>
        <w:trPr>
          <w:trHeight w:val="195"/>
        </w:trPr>
        <w:tc>
          <w:tcPr>
            <w:tcW w:w="45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Sales</w:t>
            </w:r>
          </w:p>
        </w:tc>
        <w:tc>
          <w:tcPr>
            <w:tcW w:w="122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195"/>
        </w:trPr>
        <w:tc>
          <w:tcPr>
            <w:tcW w:w="4560" w:type="dxa"/>
            <w:vAlign w:val="bottom"/>
          </w:tcPr>
          <w:p>
            <w:pPr>
              <w:spacing w:after="0"/>
              <w:rPr>
                <w:sz w:val="20"/>
                <w:szCs w:val="20"/>
                <w:color w:val="auto"/>
              </w:rPr>
            </w:pPr>
            <w:r>
              <w:rPr>
                <w:rFonts w:ascii="Arial" w:cs="Arial" w:eastAsia="Arial" w:hAnsi="Arial"/>
                <w:sz w:val="15"/>
                <w:szCs w:val="15"/>
                <w:color w:val="auto"/>
              </w:rPr>
              <w:t>Athletic Stores</w:t>
            </w:r>
          </w:p>
        </w:tc>
        <w:tc>
          <w:tcPr>
            <w:tcW w:w="12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560" w:type="dxa"/>
            <w:vAlign w:val="bottom"/>
          </w:tcPr>
          <w:p>
            <w:pPr>
              <w:jc w:val="right"/>
              <w:ind w:right="203"/>
              <w:spacing w:after="0"/>
              <w:rPr>
                <w:sz w:val="20"/>
                <w:szCs w:val="20"/>
                <w:color w:val="auto"/>
              </w:rPr>
            </w:pPr>
            <w:r>
              <w:rPr>
                <w:rFonts w:ascii="Arial" w:cs="Arial" w:eastAsia="Arial" w:hAnsi="Arial"/>
                <w:sz w:val="15"/>
                <w:szCs w:val="15"/>
                <w:b w:val="1"/>
                <w:bCs w:val="1"/>
                <w:color w:val="auto"/>
              </w:rPr>
              <w:t>1,722</w:t>
            </w:r>
          </w:p>
        </w:tc>
        <w:tc>
          <w:tcPr>
            <w:tcW w:w="780" w:type="dxa"/>
            <w:vAlign w:val="bottom"/>
          </w:tcPr>
          <w:p>
            <w:pPr>
              <w:jc w:val="right"/>
              <w:ind w:right="383"/>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223"/>
              <w:spacing w:after="0"/>
              <w:rPr>
                <w:sz w:val="20"/>
                <w:szCs w:val="20"/>
                <w:color w:val="auto"/>
              </w:rPr>
            </w:pPr>
            <w:r>
              <w:rPr>
                <w:rFonts w:ascii="Arial" w:cs="Arial" w:eastAsia="Arial" w:hAnsi="Arial"/>
                <w:sz w:val="15"/>
                <w:szCs w:val="15"/>
                <w:color w:val="auto"/>
              </w:rPr>
              <w:t>1,735</w:t>
            </w:r>
          </w:p>
        </w:tc>
      </w:tr>
      <w:tr>
        <w:trPr>
          <w:trHeight w:val="195"/>
        </w:trPr>
        <w:tc>
          <w:tcPr>
            <w:tcW w:w="4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Direct-to-Customers</w:t>
            </w:r>
          </w:p>
        </w:tc>
        <w:tc>
          <w:tcPr>
            <w:tcW w:w="122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b w:val="1"/>
                <w:bCs w:val="1"/>
                <w:color w:val="auto"/>
              </w:rPr>
              <w:t>279</w:t>
            </w:r>
          </w:p>
        </w:tc>
        <w:tc>
          <w:tcPr>
            <w:tcW w:w="7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223"/>
              <w:spacing w:after="0"/>
              <w:rPr>
                <w:sz w:val="20"/>
                <w:szCs w:val="20"/>
                <w:color w:val="auto"/>
              </w:rPr>
            </w:pPr>
            <w:r>
              <w:rPr>
                <w:rFonts w:ascii="Arial" w:cs="Arial" w:eastAsia="Arial" w:hAnsi="Arial"/>
                <w:sz w:val="15"/>
                <w:szCs w:val="15"/>
                <w:color w:val="auto"/>
              </w:rPr>
              <w:t>252</w:t>
            </w:r>
          </w:p>
        </w:tc>
      </w:tr>
      <w:tr>
        <w:trPr>
          <w:trHeight w:val="175"/>
        </w:trPr>
        <w:tc>
          <w:tcPr>
            <w:tcW w:w="45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56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b w:val="1"/>
                <w:bCs w:val="1"/>
                <w:color w:val="auto"/>
              </w:rPr>
              <w:t>2,001</w:t>
            </w:r>
          </w:p>
        </w:tc>
        <w:tc>
          <w:tcPr>
            <w:tcW w:w="780" w:type="dxa"/>
            <w:vAlign w:val="bottom"/>
            <w:tcBorders>
              <w:bottom w:val="single" w:sz="8" w:color="auto"/>
            </w:tcBorders>
          </w:tcPr>
          <w:p>
            <w:pPr>
              <w:jc w:val="right"/>
              <w:ind w:right="383"/>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color w:val="auto"/>
              </w:rPr>
              <w:t>1,987</w:t>
            </w:r>
          </w:p>
        </w:tc>
      </w:tr>
      <w:tr>
        <w:trPr>
          <w:trHeight w:val="175"/>
        </w:trPr>
        <w:tc>
          <w:tcPr>
            <w:tcW w:w="45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Operating Results</w:t>
            </w:r>
          </w:p>
        </w:tc>
        <w:tc>
          <w:tcPr>
            <w:tcW w:w="122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95"/>
        </w:trPr>
        <w:tc>
          <w:tcPr>
            <w:tcW w:w="4560" w:type="dxa"/>
            <w:vAlign w:val="bottom"/>
          </w:tcPr>
          <w:p>
            <w:pPr>
              <w:spacing w:after="0"/>
              <w:rPr>
                <w:sz w:val="20"/>
                <w:szCs w:val="20"/>
                <w:color w:val="auto"/>
              </w:rPr>
            </w:pPr>
            <w:r>
              <w:rPr>
                <w:rFonts w:ascii="Arial" w:cs="Arial" w:eastAsia="Arial" w:hAnsi="Arial"/>
                <w:sz w:val="15"/>
                <w:szCs w:val="15"/>
                <w:color w:val="auto"/>
              </w:rPr>
              <w:t>Athletic Stores</w:t>
            </w:r>
          </w:p>
        </w:tc>
        <w:tc>
          <w:tcPr>
            <w:tcW w:w="12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560" w:type="dxa"/>
            <w:vAlign w:val="bottom"/>
          </w:tcPr>
          <w:p>
            <w:pPr>
              <w:jc w:val="right"/>
              <w:ind w:right="203"/>
              <w:spacing w:after="0"/>
              <w:rPr>
                <w:sz w:val="20"/>
                <w:szCs w:val="20"/>
                <w:color w:val="auto"/>
              </w:rPr>
            </w:pPr>
            <w:r>
              <w:rPr>
                <w:rFonts w:ascii="Arial" w:cs="Arial" w:eastAsia="Arial" w:hAnsi="Arial"/>
                <w:sz w:val="15"/>
                <w:szCs w:val="15"/>
                <w:b w:val="1"/>
                <w:bCs w:val="1"/>
                <w:color w:val="auto"/>
              </w:rPr>
              <w:t>241</w:t>
            </w:r>
          </w:p>
        </w:tc>
        <w:tc>
          <w:tcPr>
            <w:tcW w:w="780" w:type="dxa"/>
            <w:vAlign w:val="bottom"/>
          </w:tcPr>
          <w:p>
            <w:pPr>
              <w:jc w:val="right"/>
              <w:ind w:right="383"/>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223"/>
              <w:spacing w:after="0"/>
              <w:rPr>
                <w:sz w:val="20"/>
                <w:szCs w:val="20"/>
                <w:color w:val="auto"/>
              </w:rPr>
            </w:pPr>
            <w:r>
              <w:rPr>
                <w:rFonts w:ascii="Arial" w:cs="Arial" w:eastAsia="Arial" w:hAnsi="Arial"/>
                <w:sz w:val="15"/>
                <w:szCs w:val="15"/>
                <w:color w:val="auto"/>
              </w:rPr>
              <w:t>277</w:t>
            </w:r>
          </w:p>
        </w:tc>
      </w:tr>
      <w:tr>
        <w:trPr>
          <w:trHeight w:val="195"/>
        </w:trPr>
        <w:tc>
          <w:tcPr>
            <w:tcW w:w="4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Direct-to-Customers</w:t>
            </w:r>
          </w:p>
        </w:tc>
        <w:tc>
          <w:tcPr>
            <w:tcW w:w="122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b w:val="1"/>
                <w:bCs w:val="1"/>
                <w:color w:val="auto"/>
              </w:rPr>
              <w:t>42</w:t>
            </w:r>
          </w:p>
        </w:tc>
        <w:tc>
          <w:tcPr>
            <w:tcW w:w="7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223"/>
              <w:spacing w:after="0"/>
              <w:rPr>
                <w:sz w:val="20"/>
                <w:szCs w:val="20"/>
                <w:color w:val="auto"/>
              </w:rPr>
            </w:pPr>
            <w:r>
              <w:rPr>
                <w:rFonts w:ascii="Arial" w:cs="Arial" w:eastAsia="Arial" w:hAnsi="Arial"/>
                <w:sz w:val="15"/>
                <w:szCs w:val="15"/>
                <w:color w:val="auto"/>
              </w:rPr>
              <w:t>38</w:t>
            </w:r>
          </w:p>
        </w:tc>
      </w:tr>
      <w:tr>
        <w:trPr>
          <w:trHeight w:val="175"/>
        </w:trPr>
        <w:tc>
          <w:tcPr>
            <w:tcW w:w="4560" w:type="dxa"/>
            <w:vAlign w:val="bottom"/>
          </w:tcPr>
          <w:p>
            <w:pPr>
              <w:spacing w:after="0"/>
              <w:rPr>
                <w:sz w:val="20"/>
                <w:szCs w:val="20"/>
                <w:color w:val="auto"/>
              </w:rPr>
            </w:pPr>
            <w:r>
              <w:rPr>
                <w:rFonts w:ascii="Arial" w:cs="Arial" w:eastAsia="Arial" w:hAnsi="Arial"/>
                <w:sz w:val="15"/>
                <w:szCs w:val="15"/>
                <w:color w:val="auto"/>
              </w:rPr>
              <w:t>Division profit</w:t>
            </w:r>
          </w:p>
        </w:tc>
        <w:tc>
          <w:tcPr>
            <w:tcW w:w="1220" w:type="dxa"/>
            <w:vAlign w:val="bottom"/>
          </w:tcPr>
          <w:p>
            <w:pPr>
              <w:spacing w:after="0"/>
              <w:rPr>
                <w:sz w:val="15"/>
                <w:szCs w:val="15"/>
                <w:color w:val="auto"/>
              </w:rPr>
            </w:pPr>
          </w:p>
        </w:tc>
        <w:tc>
          <w:tcPr>
            <w:tcW w:w="1560" w:type="dxa"/>
            <w:vAlign w:val="bottom"/>
          </w:tcPr>
          <w:p>
            <w:pPr>
              <w:jc w:val="right"/>
              <w:ind w:right="203"/>
              <w:spacing w:after="0"/>
              <w:rPr>
                <w:sz w:val="20"/>
                <w:szCs w:val="20"/>
                <w:color w:val="auto"/>
              </w:rPr>
            </w:pPr>
            <w:r>
              <w:rPr>
                <w:rFonts w:ascii="Arial" w:cs="Arial" w:eastAsia="Arial" w:hAnsi="Arial"/>
                <w:sz w:val="15"/>
                <w:szCs w:val="15"/>
                <w:b w:val="1"/>
                <w:bCs w:val="1"/>
                <w:color w:val="auto"/>
              </w:rPr>
              <w:t>283</w:t>
            </w:r>
          </w:p>
        </w:tc>
        <w:tc>
          <w:tcPr>
            <w:tcW w:w="780" w:type="dxa"/>
            <w:vAlign w:val="bottom"/>
          </w:tcPr>
          <w:p>
            <w:pPr>
              <w:spacing w:after="0"/>
              <w:rPr>
                <w:sz w:val="15"/>
                <w:szCs w:val="15"/>
                <w:color w:val="auto"/>
              </w:rPr>
            </w:pPr>
          </w:p>
        </w:tc>
        <w:tc>
          <w:tcPr>
            <w:tcW w:w="980" w:type="dxa"/>
            <w:vAlign w:val="bottom"/>
          </w:tcPr>
          <w:p>
            <w:pPr>
              <w:jc w:val="right"/>
              <w:ind w:right="223"/>
              <w:spacing w:after="0"/>
              <w:rPr>
                <w:sz w:val="20"/>
                <w:szCs w:val="20"/>
                <w:color w:val="auto"/>
              </w:rPr>
            </w:pPr>
            <w:r>
              <w:rPr>
                <w:rFonts w:ascii="Arial" w:cs="Arial" w:eastAsia="Arial" w:hAnsi="Arial"/>
                <w:sz w:val="15"/>
                <w:szCs w:val="15"/>
                <w:color w:val="auto"/>
              </w:rPr>
              <w:t>315</w:t>
            </w:r>
          </w:p>
        </w:tc>
      </w:tr>
      <w:tr>
        <w:trPr>
          <w:trHeight w:val="195"/>
        </w:trPr>
        <w:tc>
          <w:tcPr>
            <w:tcW w:w="4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Less: Corporate expense</w:t>
            </w:r>
          </w:p>
        </w:tc>
        <w:tc>
          <w:tcPr>
            <w:tcW w:w="122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b w:val="1"/>
                <w:bCs w:val="1"/>
                <w:color w:val="auto"/>
              </w:rPr>
              <w:t>15</w:t>
            </w:r>
          </w:p>
        </w:tc>
        <w:tc>
          <w:tcPr>
            <w:tcW w:w="7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223"/>
              <w:spacing w:after="0"/>
              <w:rPr>
                <w:sz w:val="20"/>
                <w:szCs w:val="20"/>
                <w:color w:val="auto"/>
              </w:rPr>
            </w:pPr>
            <w:r>
              <w:rPr>
                <w:rFonts w:ascii="Arial" w:cs="Arial" w:eastAsia="Arial" w:hAnsi="Arial"/>
                <w:sz w:val="15"/>
                <w:szCs w:val="15"/>
                <w:color w:val="auto"/>
              </w:rPr>
              <w:t>19</w:t>
            </w:r>
          </w:p>
        </w:tc>
      </w:tr>
      <w:tr>
        <w:trPr>
          <w:trHeight w:val="175"/>
        </w:trPr>
        <w:tc>
          <w:tcPr>
            <w:tcW w:w="4560" w:type="dxa"/>
            <w:vAlign w:val="bottom"/>
          </w:tcPr>
          <w:p>
            <w:pPr>
              <w:spacing w:after="0"/>
              <w:rPr>
                <w:sz w:val="20"/>
                <w:szCs w:val="20"/>
                <w:color w:val="auto"/>
              </w:rPr>
            </w:pPr>
            <w:r>
              <w:rPr>
                <w:rFonts w:ascii="Arial" w:cs="Arial" w:eastAsia="Arial" w:hAnsi="Arial"/>
                <w:sz w:val="15"/>
                <w:szCs w:val="15"/>
                <w:color w:val="auto"/>
              </w:rPr>
              <w:t>Operating profit</w:t>
            </w:r>
          </w:p>
        </w:tc>
        <w:tc>
          <w:tcPr>
            <w:tcW w:w="1220" w:type="dxa"/>
            <w:vAlign w:val="bottom"/>
          </w:tcPr>
          <w:p>
            <w:pPr>
              <w:spacing w:after="0"/>
              <w:rPr>
                <w:sz w:val="15"/>
                <w:szCs w:val="15"/>
                <w:color w:val="auto"/>
              </w:rPr>
            </w:pPr>
          </w:p>
        </w:tc>
        <w:tc>
          <w:tcPr>
            <w:tcW w:w="1560" w:type="dxa"/>
            <w:vAlign w:val="bottom"/>
          </w:tcPr>
          <w:p>
            <w:pPr>
              <w:jc w:val="right"/>
              <w:ind w:right="203"/>
              <w:spacing w:after="0"/>
              <w:rPr>
                <w:sz w:val="20"/>
                <w:szCs w:val="20"/>
                <w:color w:val="auto"/>
              </w:rPr>
            </w:pPr>
            <w:r>
              <w:rPr>
                <w:rFonts w:ascii="Arial" w:cs="Arial" w:eastAsia="Arial" w:hAnsi="Arial"/>
                <w:sz w:val="15"/>
                <w:szCs w:val="15"/>
                <w:b w:val="1"/>
                <w:bCs w:val="1"/>
                <w:color w:val="auto"/>
              </w:rPr>
              <w:t>268</w:t>
            </w:r>
          </w:p>
        </w:tc>
        <w:tc>
          <w:tcPr>
            <w:tcW w:w="780" w:type="dxa"/>
            <w:vAlign w:val="bottom"/>
          </w:tcPr>
          <w:p>
            <w:pPr>
              <w:spacing w:after="0"/>
              <w:rPr>
                <w:sz w:val="15"/>
                <w:szCs w:val="15"/>
                <w:color w:val="auto"/>
              </w:rPr>
            </w:pPr>
          </w:p>
        </w:tc>
        <w:tc>
          <w:tcPr>
            <w:tcW w:w="980" w:type="dxa"/>
            <w:vAlign w:val="bottom"/>
          </w:tcPr>
          <w:p>
            <w:pPr>
              <w:jc w:val="right"/>
              <w:ind w:right="223"/>
              <w:spacing w:after="0"/>
              <w:rPr>
                <w:sz w:val="20"/>
                <w:szCs w:val="20"/>
                <w:color w:val="auto"/>
              </w:rPr>
            </w:pPr>
            <w:r>
              <w:rPr>
                <w:rFonts w:ascii="Arial" w:cs="Arial" w:eastAsia="Arial" w:hAnsi="Arial"/>
                <w:sz w:val="15"/>
                <w:szCs w:val="15"/>
                <w:color w:val="auto"/>
              </w:rPr>
              <w:t>296</w:t>
            </w:r>
          </w:p>
        </w:tc>
      </w:tr>
      <w:tr>
        <w:trPr>
          <w:trHeight w:val="195"/>
        </w:trPr>
        <w:tc>
          <w:tcPr>
            <w:tcW w:w="4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 xml:space="preserve">Other income </w:t>
            </w:r>
            <w:r>
              <w:rPr>
                <w:rFonts w:ascii="Arial" w:cs="Arial" w:eastAsia="Arial" w:hAnsi="Arial"/>
                <w:sz w:val="8"/>
                <w:szCs w:val="8"/>
                <w:color w:val="auto"/>
              </w:rPr>
              <w:t>(1)</w:t>
            </w:r>
          </w:p>
        </w:tc>
        <w:tc>
          <w:tcPr>
            <w:tcW w:w="122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b w:val="1"/>
                <w:bCs w:val="1"/>
                <w:color w:val="auto"/>
              </w:rPr>
              <w:t>1</w:t>
            </w:r>
          </w:p>
        </w:tc>
        <w:tc>
          <w:tcPr>
            <w:tcW w:w="7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223"/>
              <w:spacing w:after="0"/>
              <w:rPr>
                <w:sz w:val="20"/>
                <w:szCs w:val="20"/>
                <w:color w:val="auto"/>
              </w:rPr>
            </w:pPr>
            <w:r>
              <w:rPr>
                <w:rFonts w:ascii="Arial" w:cs="Arial" w:eastAsia="Arial" w:hAnsi="Arial"/>
                <w:sz w:val="15"/>
                <w:szCs w:val="15"/>
                <w:color w:val="auto"/>
              </w:rPr>
              <w:t>2</w:t>
            </w:r>
          </w:p>
        </w:tc>
      </w:tr>
      <w:tr>
        <w:trPr>
          <w:trHeight w:val="175"/>
        </w:trPr>
        <w:tc>
          <w:tcPr>
            <w:tcW w:w="4560" w:type="dxa"/>
            <w:vAlign w:val="bottom"/>
          </w:tcPr>
          <w:p>
            <w:pPr>
              <w:spacing w:after="0"/>
              <w:rPr>
                <w:sz w:val="20"/>
                <w:szCs w:val="20"/>
                <w:color w:val="auto"/>
              </w:rPr>
            </w:pPr>
            <w:r>
              <w:rPr>
                <w:rFonts w:ascii="Arial" w:cs="Arial" w:eastAsia="Arial" w:hAnsi="Arial"/>
                <w:sz w:val="15"/>
                <w:szCs w:val="15"/>
                <w:color w:val="auto"/>
              </w:rPr>
              <w:t>Earnings before interest expense and income taxes</w:t>
            </w:r>
          </w:p>
        </w:tc>
        <w:tc>
          <w:tcPr>
            <w:tcW w:w="1220" w:type="dxa"/>
            <w:vAlign w:val="bottom"/>
          </w:tcPr>
          <w:p>
            <w:pPr>
              <w:spacing w:after="0"/>
              <w:rPr>
                <w:sz w:val="15"/>
                <w:szCs w:val="15"/>
                <w:color w:val="auto"/>
              </w:rPr>
            </w:pPr>
          </w:p>
        </w:tc>
        <w:tc>
          <w:tcPr>
            <w:tcW w:w="1560" w:type="dxa"/>
            <w:vAlign w:val="bottom"/>
          </w:tcPr>
          <w:p>
            <w:pPr>
              <w:jc w:val="right"/>
              <w:ind w:right="203"/>
              <w:spacing w:after="0"/>
              <w:rPr>
                <w:sz w:val="20"/>
                <w:szCs w:val="20"/>
                <w:color w:val="auto"/>
              </w:rPr>
            </w:pPr>
            <w:r>
              <w:rPr>
                <w:rFonts w:ascii="Arial" w:cs="Arial" w:eastAsia="Arial" w:hAnsi="Arial"/>
                <w:sz w:val="15"/>
                <w:szCs w:val="15"/>
                <w:b w:val="1"/>
                <w:bCs w:val="1"/>
                <w:color w:val="auto"/>
              </w:rPr>
              <w:t>269</w:t>
            </w:r>
          </w:p>
        </w:tc>
        <w:tc>
          <w:tcPr>
            <w:tcW w:w="780" w:type="dxa"/>
            <w:vAlign w:val="bottom"/>
          </w:tcPr>
          <w:p>
            <w:pPr>
              <w:spacing w:after="0"/>
              <w:rPr>
                <w:sz w:val="15"/>
                <w:szCs w:val="15"/>
                <w:color w:val="auto"/>
              </w:rPr>
            </w:pPr>
          </w:p>
        </w:tc>
        <w:tc>
          <w:tcPr>
            <w:tcW w:w="980" w:type="dxa"/>
            <w:vAlign w:val="bottom"/>
          </w:tcPr>
          <w:p>
            <w:pPr>
              <w:jc w:val="right"/>
              <w:ind w:right="223"/>
              <w:spacing w:after="0"/>
              <w:rPr>
                <w:sz w:val="20"/>
                <w:szCs w:val="20"/>
                <w:color w:val="auto"/>
              </w:rPr>
            </w:pPr>
            <w:r>
              <w:rPr>
                <w:rFonts w:ascii="Arial" w:cs="Arial" w:eastAsia="Arial" w:hAnsi="Arial"/>
                <w:sz w:val="15"/>
                <w:szCs w:val="15"/>
                <w:color w:val="auto"/>
              </w:rPr>
              <w:t>298</w:t>
            </w:r>
          </w:p>
        </w:tc>
      </w:tr>
      <w:tr>
        <w:trPr>
          <w:trHeight w:val="195"/>
        </w:trPr>
        <w:tc>
          <w:tcPr>
            <w:tcW w:w="4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Interest expense, net</w:t>
            </w:r>
          </w:p>
        </w:tc>
        <w:tc>
          <w:tcPr>
            <w:tcW w:w="122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b w:val="1"/>
                <w:bCs w:val="1"/>
                <w:color w:val="auto"/>
              </w:rPr>
              <w:t>—</w:t>
            </w:r>
          </w:p>
        </w:tc>
        <w:tc>
          <w:tcPr>
            <w:tcW w:w="7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rPr>
              <w:t>—</w:t>
            </w:r>
          </w:p>
        </w:tc>
      </w:tr>
      <w:tr>
        <w:trPr>
          <w:trHeight w:val="167"/>
        </w:trPr>
        <w:tc>
          <w:tcPr>
            <w:tcW w:w="4560" w:type="dxa"/>
            <w:vAlign w:val="bottom"/>
            <w:tcBorders>
              <w:bottom w:val="single" w:sz="8" w:color="auto"/>
            </w:tcBorders>
          </w:tcPr>
          <w:p>
            <w:pPr>
              <w:spacing w:after="0" w:line="163" w:lineRule="exact"/>
              <w:rPr>
                <w:sz w:val="20"/>
                <w:szCs w:val="20"/>
                <w:color w:val="auto"/>
              </w:rPr>
            </w:pPr>
            <w:r>
              <w:rPr>
                <w:rFonts w:ascii="Arial" w:cs="Arial" w:eastAsia="Arial" w:hAnsi="Arial"/>
                <w:sz w:val="15"/>
                <w:szCs w:val="15"/>
                <w:color w:val="auto"/>
              </w:rPr>
              <w:t>Income before income taxes</w:t>
            </w:r>
          </w:p>
        </w:tc>
        <w:tc>
          <w:tcPr>
            <w:tcW w:w="122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b w:val="1"/>
                <w:bCs w:val="1"/>
                <w:color w:val="auto"/>
              </w:rPr>
              <w:t>$</w:t>
            </w:r>
          </w:p>
        </w:tc>
        <w:tc>
          <w:tcPr>
            <w:tcW w:w="1560" w:type="dxa"/>
            <w:vAlign w:val="bottom"/>
            <w:tcBorders>
              <w:bottom w:val="single" w:sz="8" w:color="auto"/>
            </w:tcBorders>
          </w:tcPr>
          <w:p>
            <w:pPr>
              <w:jc w:val="right"/>
              <w:ind w:right="203"/>
              <w:spacing w:after="0" w:line="163" w:lineRule="exact"/>
              <w:rPr>
                <w:sz w:val="20"/>
                <w:szCs w:val="20"/>
                <w:color w:val="auto"/>
              </w:rPr>
            </w:pPr>
            <w:r>
              <w:rPr>
                <w:rFonts w:ascii="Arial" w:cs="Arial" w:eastAsia="Arial" w:hAnsi="Arial"/>
                <w:sz w:val="15"/>
                <w:szCs w:val="15"/>
                <w:b w:val="1"/>
                <w:bCs w:val="1"/>
                <w:color w:val="auto"/>
              </w:rPr>
              <w:t>269</w:t>
            </w:r>
          </w:p>
        </w:tc>
        <w:tc>
          <w:tcPr>
            <w:tcW w:w="780" w:type="dxa"/>
            <w:vAlign w:val="bottom"/>
            <w:tcBorders>
              <w:bottom w:val="single" w:sz="8" w:color="auto"/>
            </w:tcBorders>
          </w:tcPr>
          <w:p>
            <w:pPr>
              <w:jc w:val="right"/>
              <w:ind w:right="383"/>
              <w:spacing w:after="0" w:line="163" w:lineRule="exact"/>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ind w:right="223"/>
              <w:spacing w:after="0" w:line="163" w:lineRule="exact"/>
              <w:rPr>
                <w:sz w:val="20"/>
                <w:szCs w:val="20"/>
                <w:color w:val="auto"/>
              </w:rPr>
            </w:pPr>
            <w:r>
              <w:rPr>
                <w:rFonts w:ascii="Arial" w:cs="Arial" w:eastAsia="Arial" w:hAnsi="Arial"/>
                <w:sz w:val="15"/>
                <w:szCs w:val="15"/>
                <w:color w:val="auto"/>
              </w:rPr>
              <w:t>298</w:t>
            </w:r>
          </w:p>
        </w:tc>
      </w:tr>
    </w:tbl>
    <w:p>
      <w:pPr>
        <w:spacing w:after="0" w:line="121" w:lineRule="exact"/>
        <w:rPr>
          <w:sz w:val="20"/>
          <w:szCs w:val="20"/>
          <w:color w:val="auto"/>
        </w:rPr>
      </w:pPr>
    </w:p>
    <w:p>
      <w:pPr>
        <w:ind w:left="280" w:hanging="275"/>
        <w:spacing w:after="0" w:line="246" w:lineRule="auto"/>
        <w:tabs>
          <w:tab w:leader="none" w:pos="280" w:val="left"/>
        </w:tabs>
        <w:numPr>
          <w:ilvl w:val="0"/>
          <w:numId w:val="7"/>
        </w:numPr>
        <w:rPr>
          <w:rFonts w:ascii="Arial" w:cs="Arial" w:eastAsia="Arial" w:hAnsi="Arial"/>
          <w:sz w:val="11"/>
          <w:szCs w:val="11"/>
          <w:color w:val="auto"/>
        </w:rPr>
      </w:pPr>
      <w:r>
        <w:rPr>
          <w:rFonts w:ascii="Arial" w:cs="Arial" w:eastAsia="Arial" w:hAnsi="Arial"/>
          <w:sz w:val="12"/>
          <w:szCs w:val="12"/>
          <w:color w:val="auto"/>
        </w:rPr>
        <w:t>Other income includes non-operating items, such as lease termination gains, royalty income, insurance recoveries and the changes in fair value, premiums paid, and realized gains associated with foreign currency option contracts.</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Athletic Stores</w:t>
      </w:r>
    </w:p>
    <w:p>
      <w:pPr>
        <w:spacing w:after="0" w:line="166" w:lineRule="exact"/>
        <w:rPr>
          <w:sz w:val="20"/>
          <w:szCs w:val="20"/>
          <w:color w:val="auto"/>
        </w:rPr>
      </w:pPr>
    </w:p>
    <w:p>
      <w:pPr>
        <w:ind w:left="6420"/>
        <w:spacing w:after="0"/>
        <w:rPr>
          <w:sz w:val="20"/>
          <w:szCs w:val="20"/>
          <w:color w:val="auto"/>
        </w:rPr>
      </w:pPr>
      <w:r>
        <w:rPr>
          <w:rFonts w:ascii="Arial" w:cs="Arial" w:eastAsia="Arial" w:hAnsi="Arial"/>
          <w:sz w:val="15"/>
          <w:szCs w:val="15"/>
          <w:b w:val="1"/>
          <w:bCs w:val="1"/>
          <w:color w:val="auto"/>
        </w:rPr>
        <w:t>Thirteen weeks ended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640" w:type="dxa"/>
            <w:vAlign w:val="bottom"/>
            <w:tcBorders>
              <w:top w:val="single" w:sz="8" w:color="auto"/>
              <w:bottom w:val="single" w:sz="8" w:color="auto"/>
            </w:tcBorders>
          </w:tcPr>
          <w:p>
            <w:pPr>
              <w:spacing w:after="0"/>
              <w:rPr>
                <w:sz w:val="16"/>
                <w:szCs w:val="16"/>
                <w:color w:val="auto"/>
              </w:rPr>
            </w:pPr>
          </w:p>
        </w:tc>
        <w:tc>
          <w:tcPr>
            <w:tcW w:w="3760" w:type="dxa"/>
            <w:vAlign w:val="bottom"/>
            <w:tcBorders>
              <w:top w:val="single" w:sz="8" w:color="auto"/>
              <w:bottom w:val="single" w:sz="8" w:color="auto"/>
            </w:tcBorders>
            <w:gridSpan w:val="2"/>
          </w:tcPr>
          <w:p>
            <w:pPr>
              <w:jc w:val="right"/>
              <w:ind w:right="463"/>
              <w:spacing w:after="0"/>
              <w:rPr>
                <w:sz w:val="20"/>
                <w:szCs w:val="20"/>
                <w:color w:val="auto"/>
              </w:rPr>
            </w:pPr>
            <w:r>
              <w:rPr>
                <w:rFonts w:ascii="Arial" w:cs="Arial" w:eastAsia="Arial" w:hAnsi="Arial"/>
                <w:sz w:val="15"/>
                <w:szCs w:val="15"/>
                <w:b w:val="1"/>
                <w:bCs w:val="1"/>
                <w:color w:val="auto"/>
              </w:rPr>
              <w:t>April 29, 2017</w:t>
            </w:r>
          </w:p>
        </w:tc>
        <w:tc>
          <w:tcPr>
            <w:tcW w:w="1700" w:type="dxa"/>
            <w:vAlign w:val="bottom"/>
            <w:tcBorders>
              <w:top w:val="single" w:sz="8" w:color="auto"/>
              <w:bottom w:val="single" w:sz="8" w:color="auto"/>
            </w:tcBorders>
            <w:gridSpan w:val="2"/>
          </w:tcPr>
          <w:p>
            <w:pPr>
              <w:jc w:val="right"/>
              <w:ind w:right="423"/>
              <w:spacing w:after="0"/>
              <w:rPr>
                <w:sz w:val="20"/>
                <w:szCs w:val="20"/>
                <w:color w:val="auto"/>
              </w:rPr>
            </w:pPr>
            <w:r>
              <w:rPr>
                <w:rFonts w:ascii="Arial" w:cs="Arial" w:eastAsia="Arial" w:hAnsi="Arial"/>
                <w:sz w:val="15"/>
                <w:szCs w:val="15"/>
                <w:b w:val="1"/>
                <w:bCs w:val="1"/>
                <w:color w:val="auto"/>
              </w:rPr>
              <w:t>April 30, 2016</w:t>
            </w:r>
          </w:p>
        </w:tc>
      </w:tr>
      <w:tr>
        <w:trPr>
          <w:trHeight w:val="187"/>
        </w:trPr>
        <w:tc>
          <w:tcPr>
            <w:tcW w:w="36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840" w:type="dxa"/>
            <w:vAlign w:val="bottom"/>
            <w:gridSpan w:val="2"/>
          </w:tcPr>
          <w:p>
            <w:pPr>
              <w:jc w:val="right"/>
              <w:ind w:right="223"/>
              <w:spacing w:after="0"/>
              <w:rPr>
                <w:sz w:val="20"/>
                <w:szCs w:val="20"/>
                <w:color w:val="auto"/>
              </w:rPr>
            </w:pPr>
            <w:r>
              <w:rPr>
                <w:rFonts w:ascii="Arial" w:cs="Arial" w:eastAsia="Arial" w:hAnsi="Arial"/>
                <w:sz w:val="15"/>
                <w:szCs w:val="15"/>
                <w:color w:val="auto"/>
              </w:rPr>
              <w:t>($ in millions)</w:t>
            </w:r>
          </w:p>
        </w:tc>
        <w:tc>
          <w:tcPr>
            <w:tcW w:w="980" w:type="dxa"/>
            <w:vAlign w:val="bottom"/>
          </w:tcPr>
          <w:p>
            <w:pPr>
              <w:spacing w:after="0"/>
              <w:rPr>
                <w:sz w:val="16"/>
                <w:szCs w:val="16"/>
                <w:color w:val="auto"/>
              </w:rPr>
            </w:pPr>
          </w:p>
        </w:tc>
      </w:tr>
      <w:tr>
        <w:trPr>
          <w:trHeight w:val="207"/>
        </w:trPr>
        <w:tc>
          <w:tcPr>
            <w:tcW w:w="3640" w:type="dxa"/>
            <w:vAlign w:val="bottom"/>
            <w:shd w:val="clear" w:color="auto" w:fill="CCEEFF"/>
          </w:tcPr>
          <w:p>
            <w:pPr>
              <w:spacing w:after="0"/>
              <w:rPr>
                <w:sz w:val="20"/>
                <w:szCs w:val="20"/>
                <w:color w:val="auto"/>
              </w:rPr>
            </w:pPr>
            <w:r>
              <w:rPr>
                <w:rFonts w:ascii="Arial" w:cs="Arial" w:eastAsia="Arial" w:hAnsi="Arial"/>
                <w:sz w:val="15"/>
                <w:szCs w:val="15"/>
                <w:color w:val="auto"/>
              </w:rPr>
              <w:t>Sales</w:t>
            </w:r>
          </w:p>
        </w:tc>
        <w:tc>
          <w:tcPr>
            <w:tcW w:w="2640" w:type="dxa"/>
            <w:vAlign w:val="bottom"/>
            <w:shd w:val="clear" w:color="auto" w:fill="CCEEFF"/>
          </w:tcPr>
          <w:p>
            <w:pPr>
              <w:jc w:val="right"/>
              <w:ind w:right="303"/>
              <w:spacing w:after="0"/>
              <w:rPr>
                <w:sz w:val="20"/>
                <w:szCs w:val="20"/>
                <w:color w:val="auto"/>
              </w:rPr>
            </w:pPr>
            <w:r>
              <w:rPr>
                <w:rFonts w:ascii="Arial" w:cs="Arial" w:eastAsia="Arial" w:hAnsi="Arial"/>
                <w:sz w:val="15"/>
                <w:szCs w:val="15"/>
                <w:b w:val="1"/>
                <w:bCs w:val="1"/>
                <w:color w:val="auto"/>
              </w:rPr>
              <w:t>$</w:t>
            </w:r>
          </w:p>
        </w:tc>
        <w:tc>
          <w:tcPr>
            <w:tcW w:w="1120" w:type="dxa"/>
            <w:vAlign w:val="bottom"/>
            <w:shd w:val="clear" w:color="auto" w:fill="CCEEFF"/>
          </w:tcPr>
          <w:p>
            <w:pPr>
              <w:jc w:val="right"/>
              <w:ind w:right="263"/>
              <w:spacing w:after="0"/>
              <w:rPr>
                <w:sz w:val="20"/>
                <w:szCs w:val="20"/>
                <w:color w:val="auto"/>
              </w:rPr>
            </w:pPr>
            <w:r>
              <w:rPr>
                <w:rFonts w:ascii="Arial" w:cs="Arial" w:eastAsia="Arial" w:hAnsi="Arial"/>
                <w:sz w:val="15"/>
                <w:szCs w:val="15"/>
                <w:b w:val="1"/>
                <w:bCs w:val="1"/>
                <w:color w:val="auto"/>
              </w:rPr>
              <w:t>1,722</w:t>
            </w:r>
          </w:p>
        </w:tc>
        <w:tc>
          <w:tcPr>
            <w:tcW w:w="720" w:type="dxa"/>
            <w:vAlign w:val="bottom"/>
            <w:shd w:val="clear" w:color="auto" w:fill="CCEEFF"/>
          </w:tcPr>
          <w:p>
            <w:pPr>
              <w:jc w:val="right"/>
              <w:ind w:right="383"/>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rPr>
              <w:t>1,735</w:t>
            </w:r>
          </w:p>
        </w:tc>
      </w:tr>
      <w:tr>
        <w:trPr>
          <w:trHeight w:val="207"/>
        </w:trPr>
        <w:tc>
          <w:tcPr>
            <w:tcW w:w="3640" w:type="dxa"/>
            <w:vAlign w:val="bottom"/>
          </w:tcPr>
          <w:p>
            <w:pPr>
              <w:spacing w:after="0"/>
              <w:rPr>
                <w:sz w:val="20"/>
                <w:szCs w:val="20"/>
                <w:color w:val="auto"/>
              </w:rPr>
            </w:pPr>
            <w:r>
              <w:rPr>
                <w:rFonts w:ascii="Arial" w:cs="Arial" w:eastAsia="Arial" w:hAnsi="Arial"/>
                <w:sz w:val="15"/>
                <w:szCs w:val="15"/>
                <w:color w:val="auto"/>
              </w:rPr>
              <w:t>$ Change</w:t>
            </w:r>
          </w:p>
        </w:tc>
        <w:tc>
          <w:tcPr>
            <w:tcW w:w="2640" w:type="dxa"/>
            <w:vAlign w:val="bottom"/>
          </w:tcPr>
          <w:p>
            <w:pPr>
              <w:jc w:val="right"/>
              <w:ind w:right="303"/>
              <w:spacing w:after="0"/>
              <w:rPr>
                <w:sz w:val="20"/>
                <w:szCs w:val="20"/>
                <w:color w:val="auto"/>
              </w:rPr>
            </w:pPr>
            <w:r>
              <w:rPr>
                <w:rFonts w:ascii="Arial" w:cs="Arial" w:eastAsia="Arial" w:hAnsi="Arial"/>
                <w:sz w:val="15"/>
                <w:szCs w:val="15"/>
                <w:b w:val="1"/>
                <w:bCs w:val="1"/>
                <w:color w:val="auto"/>
              </w:rPr>
              <w:t>$</w:t>
            </w:r>
          </w:p>
        </w:tc>
        <w:tc>
          <w:tcPr>
            <w:tcW w:w="1120" w:type="dxa"/>
            <w:vAlign w:val="bottom"/>
          </w:tcPr>
          <w:p>
            <w:pPr>
              <w:jc w:val="right"/>
              <w:ind w:right="223"/>
              <w:spacing w:after="0"/>
              <w:rPr>
                <w:sz w:val="20"/>
                <w:szCs w:val="20"/>
                <w:color w:val="auto"/>
              </w:rPr>
            </w:pPr>
            <w:r>
              <w:rPr>
                <w:rFonts w:ascii="Arial" w:cs="Arial" w:eastAsia="Arial" w:hAnsi="Arial"/>
                <w:sz w:val="15"/>
                <w:szCs w:val="15"/>
                <w:b w:val="1"/>
                <w:bCs w:val="1"/>
                <w:color w:val="auto"/>
              </w:rPr>
              <w:t>(13)</w:t>
            </w:r>
          </w:p>
        </w:tc>
        <w:tc>
          <w:tcPr>
            <w:tcW w:w="7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7"/>
        </w:trPr>
        <w:tc>
          <w:tcPr>
            <w:tcW w:w="3640" w:type="dxa"/>
            <w:vAlign w:val="bottom"/>
            <w:shd w:val="clear" w:color="auto" w:fill="CCEEFF"/>
          </w:tcPr>
          <w:p>
            <w:pPr>
              <w:spacing w:after="0"/>
              <w:rPr>
                <w:sz w:val="20"/>
                <w:szCs w:val="20"/>
                <w:color w:val="auto"/>
              </w:rPr>
            </w:pPr>
            <w:r>
              <w:rPr>
                <w:rFonts w:ascii="Arial" w:cs="Arial" w:eastAsia="Arial" w:hAnsi="Arial"/>
                <w:sz w:val="15"/>
                <w:szCs w:val="15"/>
                <w:color w:val="auto"/>
              </w:rPr>
              <w:t>% Change</w:t>
            </w:r>
          </w:p>
        </w:tc>
        <w:tc>
          <w:tcPr>
            <w:tcW w:w="26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83"/>
              <w:spacing w:after="0"/>
              <w:rPr>
                <w:sz w:val="20"/>
                <w:szCs w:val="20"/>
                <w:color w:val="auto"/>
              </w:rPr>
            </w:pPr>
            <w:r>
              <w:rPr>
                <w:rFonts w:ascii="Arial" w:cs="Arial" w:eastAsia="Arial" w:hAnsi="Arial"/>
                <w:sz w:val="15"/>
                <w:szCs w:val="15"/>
                <w:b w:val="1"/>
                <w:bCs w:val="1"/>
                <w:color w:val="auto"/>
              </w:rPr>
              <w:t>(0.7)%</w:t>
            </w:r>
          </w:p>
        </w:tc>
        <w:tc>
          <w:tcPr>
            <w:tcW w:w="7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07"/>
        </w:trPr>
        <w:tc>
          <w:tcPr>
            <w:tcW w:w="3640" w:type="dxa"/>
            <w:vAlign w:val="bottom"/>
          </w:tcPr>
          <w:p>
            <w:pPr>
              <w:spacing w:after="0"/>
              <w:rPr>
                <w:sz w:val="20"/>
                <w:szCs w:val="20"/>
                <w:color w:val="auto"/>
              </w:rPr>
            </w:pPr>
            <w:r>
              <w:rPr>
                <w:rFonts w:ascii="Arial" w:cs="Arial" w:eastAsia="Arial" w:hAnsi="Arial"/>
                <w:sz w:val="15"/>
                <w:szCs w:val="15"/>
                <w:color w:val="auto"/>
              </w:rPr>
              <w:t>Division profit</w:t>
            </w:r>
          </w:p>
        </w:tc>
        <w:tc>
          <w:tcPr>
            <w:tcW w:w="2640" w:type="dxa"/>
            <w:vAlign w:val="bottom"/>
          </w:tcPr>
          <w:p>
            <w:pPr>
              <w:jc w:val="right"/>
              <w:ind w:right="303"/>
              <w:spacing w:after="0"/>
              <w:rPr>
                <w:sz w:val="20"/>
                <w:szCs w:val="20"/>
                <w:color w:val="auto"/>
              </w:rPr>
            </w:pPr>
            <w:r>
              <w:rPr>
                <w:rFonts w:ascii="Arial" w:cs="Arial" w:eastAsia="Arial" w:hAnsi="Arial"/>
                <w:sz w:val="15"/>
                <w:szCs w:val="15"/>
                <w:b w:val="1"/>
                <w:bCs w:val="1"/>
                <w:color w:val="auto"/>
              </w:rPr>
              <w:t>$</w:t>
            </w:r>
          </w:p>
        </w:tc>
        <w:tc>
          <w:tcPr>
            <w:tcW w:w="1120" w:type="dxa"/>
            <w:vAlign w:val="bottom"/>
          </w:tcPr>
          <w:p>
            <w:pPr>
              <w:jc w:val="right"/>
              <w:ind w:right="263"/>
              <w:spacing w:after="0"/>
              <w:rPr>
                <w:sz w:val="20"/>
                <w:szCs w:val="20"/>
                <w:color w:val="auto"/>
              </w:rPr>
            </w:pPr>
            <w:r>
              <w:rPr>
                <w:rFonts w:ascii="Arial" w:cs="Arial" w:eastAsia="Arial" w:hAnsi="Arial"/>
                <w:sz w:val="15"/>
                <w:szCs w:val="15"/>
                <w:b w:val="1"/>
                <w:bCs w:val="1"/>
                <w:color w:val="auto"/>
              </w:rPr>
              <w:t>241</w:t>
            </w:r>
          </w:p>
        </w:tc>
        <w:tc>
          <w:tcPr>
            <w:tcW w:w="720" w:type="dxa"/>
            <w:vAlign w:val="bottom"/>
          </w:tcPr>
          <w:p>
            <w:pPr>
              <w:jc w:val="right"/>
              <w:ind w:right="383"/>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223"/>
              <w:spacing w:after="0"/>
              <w:rPr>
                <w:sz w:val="20"/>
                <w:szCs w:val="20"/>
                <w:color w:val="auto"/>
              </w:rPr>
            </w:pPr>
            <w:r>
              <w:rPr>
                <w:rFonts w:ascii="Arial" w:cs="Arial" w:eastAsia="Arial" w:hAnsi="Arial"/>
                <w:sz w:val="15"/>
                <w:szCs w:val="15"/>
                <w:color w:val="auto"/>
              </w:rPr>
              <w:t>277</w:t>
            </w:r>
          </w:p>
        </w:tc>
      </w:tr>
      <w:tr>
        <w:trPr>
          <w:trHeight w:val="207"/>
        </w:trPr>
        <w:tc>
          <w:tcPr>
            <w:tcW w:w="36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Division profit margin</w:t>
            </w:r>
          </w:p>
        </w:tc>
        <w:tc>
          <w:tcPr>
            <w:tcW w:w="26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b w:val="1"/>
                <w:bCs w:val="1"/>
                <w:color w:val="auto"/>
              </w:rPr>
              <w:t>14.0 %</w:t>
            </w:r>
          </w:p>
        </w:tc>
        <w:tc>
          <w:tcPr>
            <w:tcW w:w="7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16.0 %</w:t>
            </w:r>
          </w:p>
        </w:tc>
      </w:tr>
    </w:tbl>
    <w:p>
      <w:pPr>
        <w:spacing w:after="0" w:line="128" w:lineRule="exact"/>
        <w:rPr>
          <w:sz w:val="20"/>
          <w:szCs w:val="20"/>
          <w:color w:val="auto"/>
        </w:rPr>
      </w:pPr>
    </w:p>
    <w:p>
      <w:pPr>
        <w:jc w:val="both"/>
        <w:spacing w:after="0"/>
        <w:rPr>
          <w:sz w:val="20"/>
          <w:szCs w:val="20"/>
          <w:color w:val="auto"/>
        </w:rPr>
      </w:pPr>
      <w:r>
        <w:rPr>
          <w:rFonts w:ascii="Arial" w:cs="Arial" w:eastAsia="Arial" w:hAnsi="Arial"/>
          <w:sz w:val="15"/>
          <w:szCs w:val="15"/>
          <w:color w:val="auto"/>
        </w:rPr>
        <w:t>Excluding the effect of foreign currency fluctuations, Athletic Stores segment sales increased by 0.3 percent for the thirteen weeks ended April 29, 2017 as compared with the corresponding prior-year period. We believe that domestic sales were negatively affected by the delay of income tax refunds. The sales increase for the current quarter, excluding the effect of foreign currency fluctuations, was led by Champs Sports, as it continued its momentum from the prior year. This was partially offset by declines in Kids Foot Locker’s sales primarily due to the lack of availability in children’s sizes of certain lifestyle footwear styles that are currently on trend at our other banners.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5817870" cy="482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313" w:right="1399" w:bottom="1440" w:gutter="0" w:footer="0" w:header="0"/>
        </w:sectPr>
      </w:pPr>
    </w:p>
    <w:bookmarkStart w:id="21" w:name="page22"/>
    <w:bookmarkEnd w:id="21"/>
    <w:p>
      <w:pPr>
        <w:jc w:val="both"/>
        <w:ind w:right="20"/>
        <w:spacing w:after="0" w:line="239" w:lineRule="auto"/>
        <w:rPr>
          <w:sz w:val="20"/>
          <w:szCs w:val="20"/>
          <w:color w:val="auto"/>
        </w:rPr>
      </w:pPr>
      <w:r>
        <w:rPr>
          <w:rFonts w:ascii="Arial" w:cs="Arial" w:eastAsia="Arial" w:hAnsi="Arial"/>
          <w:sz w:val="15"/>
          <w:szCs w:val="15"/>
          <w:color w:val="auto"/>
        </w:rPr>
        <w:t>Comparable-store sales decreased by 1.2 percent for the thirteen weeks ended April 29, 2017. Lower footwear sales were the primary factor in the decline in comparable-store sales. Although men’s and women’s footwear sales increased compared with the prior year, these increases were not enough to compensate for the decline in sales of children’s footwear. The increases in men’s and women’s footwear sales were primarily driven by comparable-store sales gains at our Champs Sports, Footaction, and Foot Locker Canada banners. SIX:02 contributed to the growth in women’s footwear by generating a significant increase in comparable-store sales, although from a small base. The comparable-store sales gain in men’s footwear was primarily driven by lifestyle running footwear, which was partially offset by a decline in sales of basketball footwear styles. The decline in children’s footwear resulting from the level of product availability and changing style preferences affected many of our store banners.</w:t>
      </w:r>
    </w:p>
    <w:p>
      <w:pPr>
        <w:spacing w:after="0" w:line="158" w:lineRule="exact"/>
        <w:rPr>
          <w:sz w:val="20"/>
          <w:szCs w:val="20"/>
          <w:color w:val="auto"/>
        </w:rPr>
      </w:pPr>
    </w:p>
    <w:p>
      <w:pPr>
        <w:jc w:val="both"/>
        <w:ind w:right="20"/>
        <w:spacing w:after="0" w:line="245" w:lineRule="auto"/>
        <w:rPr>
          <w:sz w:val="20"/>
          <w:szCs w:val="20"/>
          <w:color w:val="auto"/>
        </w:rPr>
      </w:pPr>
      <w:r>
        <w:rPr>
          <w:rFonts w:ascii="Arial" w:cs="Arial" w:eastAsia="Arial" w:hAnsi="Arial"/>
          <w:sz w:val="15"/>
          <w:szCs w:val="15"/>
          <w:color w:val="auto"/>
        </w:rPr>
        <w:t>Apparel sales experienced comparable-store sales gains for the majority of our store banners for the thirteen weeks ended April 29, 2017. The strongest contributors to this increase were Champs Sports and Foot Locker Europe, which benefited from gains in men’s branded apparel. Additionally, Champs Sports’ private-label sales continued to grow with increasing gross margins.</w:t>
      </w:r>
    </w:p>
    <w:p>
      <w:pPr>
        <w:spacing w:after="0" w:line="153" w:lineRule="exact"/>
        <w:rPr>
          <w:sz w:val="20"/>
          <w:szCs w:val="20"/>
          <w:color w:val="auto"/>
        </w:rPr>
      </w:pPr>
    </w:p>
    <w:p>
      <w:pPr>
        <w:jc w:val="both"/>
        <w:ind w:right="20"/>
        <w:spacing w:after="0" w:line="242" w:lineRule="auto"/>
        <w:rPr>
          <w:sz w:val="20"/>
          <w:szCs w:val="20"/>
          <w:color w:val="auto"/>
        </w:rPr>
      </w:pPr>
      <w:r>
        <w:rPr>
          <w:rFonts w:ascii="Arial" w:cs="Arial" w:eastAsia="Arial" w:hAnsi="Arial"/>
          <w:sz w:val="15"/>
          <w:szCs w:val="15"/>
          <w:color w:val="auto"/>
        </w:rPr>
        <w:t>Athletic Stores division profit decreased by 13.0 percent for the thirteen weeks ended April 29, 2017 as compared with the corresponding prior-year period. Division profit, as a percentage of sales decreased 200 basis points to 14.0 percent for the thirteen weeks ended April 29, 2017, as compared to the corresponding prior-year period. The decline in division profit reflected a lower gross margin rate coupled with SG&amp;A expense deleverage.</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Direct-to-Customers</w:t>
      </w:r>
    </w:p>
    <w:p>
      <w:pPr>
        <w:spacing w:after="0" w:line="166" w:lineRule="exact"/>
        <w:rPr>
          <w:sz w:val="20"/>
          <w:szCs w:val="20"/>
          <w:color w:val="auto"/>
        </w:rPr>
      </w:pPr>
    </w:p>
    <w:p>
      <w:pPr>
        <w:ind w:left="6420"/>
        <w:spacing w:after="0"/>
        <w:rPr>
          <w:sz w:val="20"/>
          <w:szCs w:val="20"/>
          <w:color w:val="auto"/>
        </w:rPr>
      </w:pPr>
      <w:r>
        <w:rPr>
          <w:rFonts w:ascii="Arial" w:cs="Arial" w:eastAsia="Arial" w:hAnsi="Arial"/>
          <w:sz w:val="15"/>
          <w:szCs w:val="15"/>
          <w:b w:val="1"/>
          <w:bCs w:val="1"/>
          <w:color w:val="auto"/>
        </w:rPr>
        <w:t>Thirteen weeks ended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640" w:type="dxa"/>
            <w:vAlign w:val="bottom"/>
            <w:tcBorders>
              <w:top w:val="single" w:sz="8" w:color="auto"/>
              <w:bottom w:val="single" w:sz="8" w:color="auto"/>
            </w:tcBorders>
          </w:tcPr>
          <w:p>
            <w:pPr>
              <w:spacing w:after="0"/>
              <w:rPr>
                <w:sz w:val="16"/>
                <w:szCs w:val="16"/>
                <w:color w:val="auto"/>
              </w:rPr>
            </w:pPr>
          </w:p>
        </w:tc>
        <w:tc>
          <w:tcPr>
            <w:tcW w:w="3760" w:type="dxa"/>
            <w:vAlign w:val="bottom"/>
            <w:tcBorders>
              <w:top w:val="single" w:sz="8" w:color="auto"/>
              <w:bottom w:val="single" w:sz="8" w:color="auto"/>
            </w:tcBorders>
            <w:gridSpan w:val="2"/>
          </w:tcPr>
          <w:p>
            <w:pPr>
              <w:jc w:val="right"/>
              <w:ind w:right="463"/>
              <w:spacing w:after="0"/>
              <w:rPr>
                <w:sz w:val="20"/>
                <w:szCs w:val="20"/>
                <w:color w:val="auto"/>
              </w:rPr>
            </w:pPr>
            <w:r>
              <w:rPr>
                <w:rFonts w:ascii="Arial" w:cs="Arial" w:eastAsia="Arial" w:hAnsi="Arial"/>
                <w:sz w:val="15"/>
                <w:szCs w:val="15"/>
                <w:b w:val="1"/>
                <w:bCs w:val="1"/>
                <w:color w:val="auto"/>
              </w:rPr>
              <w:t>April 29, 2017</w:t>
            </w:r>
          </w:p>
        </w:tc>
        <w:tc>
          <w:tcPr>
            <w:tcW w:w="1700" w:type="dxa"/>
            <w:vAlign w:val="bottom"/>
            <w:tcBorders>
              <w:top w:val="single" w:sz="8" w:color="auto"/>
              <w:bottom w:val="single" w:sz="8" w:color="auto"/>
            </w:tcBorders>
            <w:gridSpan w:val="2"/>
          </w:tcPr>
          <w:p>
            <w:pPr>
              <w:jc w:val="right"/>
              <w:ind w:right="423"/>
              <w:spacing w:after="0"/>
              <w:rPr>
                <w:sz w:val="20"/>
                <w:szCs w:val="20"/>
                <w:color w:val="auto"/>
              </w:rPr>
            </w:pPr>
            <w:r>
              <w:rPr>
                <w:rFonts w:ascii="Arial" w:cs="Arial" w:eastAsia="Arial" w:hAnsi="Arial"/>
                <w:sz w:val="15"/>
                <w:szCs w:val="15"/>
                <w:b w:val="1"/>
                <w:bCs w:val="1"/>
                <w:color w:val="auto"/>
              </w:rPr>
              <w:t>April 30, 2016</w:t>
            </w:r>
          </w:p>
        </w:tc>
      </w:tr>
      <w:tr>
        <w:trPr>
          <w:trHeight w:val="187"/>
        </w:trPr>
        <w:tc>
          <w:tcPr>
            <w:tcW w:w="36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840" w:type="dxa"/>
            <w:vAlign w:val="bottom"/>
            <w:gridSpan w:val="2"/>
          </w:tcPr>
          <w:p>
            <w:pPr>
              <w:jc w:val="right"/>
              <w:ind w:right="263"/>
              <w:spacing w:after="0"/>
              <w:rPr>
                <w:sz w:val="20"/>
                <w:szCs w:val="20"/>
                <w:color w:val="auto"/>
              </w:rPr>
            </w:pPr>
            <w:r>
              <w:rPr>
                <w:rFonts w:ascii="Arial" w:cs="Arial" w:eastAsia="Arial" w:hAnsi="Arial"/>
                <w:sz w:val="15"/>
                <w:szCs w:val="15"/>
                <w:color w:val="auto"/>
              </w:rPr>
              <w:t>($ in millions)</w:t>
            </w:r>
          </w:p>
        </w:tc>
        <w:tc>
          <w:tcPr>
            <w:tcW w:w="940" w:type="dxa"/>
            <w:vAlign w:val="bottom"/>
          </w:tcPr>
          <w:p>
            <w:pPr>
              <w:spacing w:after="0"/>
              <w:rPr>
                <w:sz w:val="16"/>
                <w:szCs w:val="16"/>
                <w:color w:val="auto"/>
              </w:rPr>
            </w:pPr>
          </w:p>
        </w:tc>
      </w:tr>
      <w:tr>
        <w:trPr>
          <w:trHeight w:val="207"/>
        </w:trPr>
        <w:tc>
          <w:tcPr>
            <w:tcW w:w="3640" w:type="dxa"/>
            <w:vAlign w:val="bottom"/>
            <w:shd w:val="clear" w:color="auto" w:fill="CCEEFF"/>
          </w:tcPr>
          <w:p>
            <w:pPr>
              <w:spacing w:after="0"/>
              <w:rPr>
                <w:sz w:val="20"/>
                <w:szCs w:val="20"/>
                <w:color w:val="auto"/>
              </w:rPr>
            </w:pPr>
            <w:r>
              <w:rPr>
                <w:rFonts w:ascii="Arial" w:cs="Arial" w:eastAsia="Arial" w:hAnsi="Arial"/>
                <w:sz w:val="15"/>
                <w:szCs w:val="15"/>
                <w:color w:val="auto"/>
              </w:rPr>
              <w:t>Sales</w:t>
            </w:r>
          </w:p>
        </w:tc>
        <w:tc>
          <w:tcPr>
            <w:tcW w:w="2680" w:type="dxa"/>
            <w:vAlign w:val="bottom"/>
            <w:shd w:val="clear" w:color="auto" w:fill="CCEEFF"/>
          </w:tcPr>
          <w:p>
            <w:pPr>
              <w:jc w:val="right"/>
              <w:ind w:right="343"/>
              <w:spacing w:after="0"/>
              <w:rPr>
                <w:sz w:val="20"/>
                <w:szCs w:val="20"/>
                <w:color w:val="auto"/>
              </w:rPr>
            </w:pPr>
            <w:r>
              <w:rPr>
                <w:rFonts w:ascii="Arial" w:cs="Arial" w:eastAsia="Arial" w:hAnsi="Arial"/>
                <w:sz w:val="15"/>
                <w:szCs w:val="15"/>
                <w:b w:val="1"/>
                <w:bCs w:val="1"/>
                <w:color w:val="auto"/>
              </w:rPr>
              <w:t>$</w:t>
            </w:r>
          </w:p>
        </w:tc>
        <w:tc>
          <w:tcPr>
            <w:tcW w:w="1080" w:type="dxa"/>
            <w:vAlign w:val="bottom"/>
            <w:shd w:val="clear" w:color="auto" w:fill="CCEEFF"/>
          </w:tcPr>
          <w:p>
            <w:pPr>
              <w:jc w:val="right"/>
              <w:ind w:right="263"/>
              <w:spacing w:after="0"/>
              <w:rPr>
                <w:sz w:val="20"/>
                <w:szCs w:val="20"/>
                <w:color w:val="auto"/>
              </w:rPr>
            </w:pPr>
            <w:r>
              <w:rPr>
                <w:rFonts w:ascii="Arial" w:cs="Arial" w:eastAsia="Arial" w:hAnsi="Arial"/>
                <w:sz w:val="15"/>
                <w:szCs w:val="15"/>
                <w:b w:val="1"/>
                <w:bCs w:val="1"/>
                <w:color w:val="auto"/>
              </w:rPr>
              <w:t>279</w:t>
            </w:r>
          </w:p>
        </w:tc>
        <w:tc>
          <w:tcPr>
            <w:tcW w:w="760" w:type="dxa"/>
            <w:vAlign w:val="bottom"/>
            <w:shd w:val="clear" w:color="auto" w:fill="CCEEFF"/>
          </w:tcPr>
          <w:p>
            <w:pPr>
              <w:jc w:val="right"/>
              <w:ind w:right="423"/>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rPr>
              <w:t>252</w:t>
            </w:r>
          </w:p>
        </w:tc>
      </w:tr>
      <w:tr>
        <w:trPr>
          <w:trHeight w:val="207"/>
        </w:trPr>
        <w:tc>
          <w:tcPr>
            <w:tcW w:w="3640" w:type="dxa"/>
            <w:vAlign w:val="bottom"/>
          </w:tcPr>
          <w:p>
            <w:pPr>
              <w:spacing w:after="0"/>
              <w:rPr>
                <w:sz w:val="20"/>
                <w:szCs w:val="20"/>
                <w:color w:val="auto"/>
              </w:rPr>
            </w:pPr>
            <w:r>
              <w:rPr>
                <w:rFonts w:ascii="Arial" w:cs="Arial" w:eastAsia="Arial" w:hAnsi="Arial"/>
                <w:sz w:val="15"/>
                <w:szCs w:val="15"/>
                <w:color w:val="auto"/>
              </w:rPr>
              <w:t>$ Change</w:t>
            </w:r>
          </w:p>
        </w:tc>
        <w:tc>
          <w:tcPr>
            <w:tcW w:w="2680" w:type="dxa"/>
            <w:vAlign w:val="bottom"/>
          </w:tcPr>
          <w:p>
            <w:pPr>
              <w:jc w:val="right"/>
              <w:ind w:right="343"/>
              <w:spacing w:after="0"/>
              <w:rPr>
                <w:sz w:val="20"/>
                <w:szCs w:val="20"/>
                <w:color w:val="auto"/>
              </w:rPr>
            </w:pPr>
            <w:r>
              <w:rPr>
                <w:rFonts w:ascii="Arial" w:cs="Arial" w:eastAsia="Arial" w:hAnsi="Arial"/>
                <w:sz w:val="15"/>
                <w:szCs w:val="15"/>
                <w:b w:val="1"/>
                <w:bCs w:val="1"/>
                <w:color w:val="auto"/>
              </w:rPr>
              <w:t>$</w:t>
            </w:r>
          </w:p>
        </w:tc>
        <w:tc>
          <w:tcPr>
            <w:tcW w:w="1080" w:type="dxa"/>
            <w:vAlign w:val="bottom"/>
          </w:tcPr>
          <w:p>
            <w:pPr>
              <w:jc w:val="right"/>
              <w:ind w:right="263"/>
              <w:spacing w:after="0"/>
              <w:rPr>
                <w:sz w:val="20"/>
                <w:szCs w:val="20"/>
                <w:color w:val="auto"/>
              </w:rPr>
            </w:pPr>
            <w:r>
              <w:rPr>
                <w:rFonts w:ascii="Arial" w:cs="Arial" w:eastAsia="Arial" w:hAnsi="Arial"/>
                <w:sz w:val="15"/>
                <w:szCs w:val="15"/>
                <w:b w:val="1"/>
                <w:bCs w:val="1"/>
                <w:color w:val="auto"/>
              </w:rPr>
              <w:t>27</w:t>
            </w:r>
          </w:p>
        </w:tc>
        <w:tc>
          <w:tcPr>
            <w:tcW w:w="7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7"/>
        </w:trPr>
        <w:tc>
          <w:tcPr>
            <w:tcW w:w="3640" w:type="dxa"/>
            <w:vAlign w:val="bottom"/>
            <w:shd w:val="clear" w:color="auto" w:fill="CCEEFF"/>
          </w:tcPr>
          <w:p>
            <w:pPr>
              <w:spacing w:after="0"/>
              <w:rPr>
                <w:sz w:val="20"/>
                <w:szCs w:val="20"/>
                <w:color w:val="auto"/>
              </w:rPr>
            </w:pPr>
            <w:r>
              <w:rPr>
                <w:rFonts w:ascii="Arial" w:cs="Arial" w:eastAsia="Arial" w:hAnsi="Arial"/>
                <w:sz w:val="15"/>
                <w:szCs w:val="15"/>
                <w:color w:val="auto"/>
              </w:rPr>
              <w:t>% Change</w:t>
            </w:r>
          </w:p>
        </w:tc>
        <w:tc>
          <w:tcPr>
            <w:tcW w:w="26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3"/>
              <w:spacing w:after="0"/>
              <w:rPr>
                <w:sz w:val="20"/>
                <w:szCs w:val="20"/>
                <w:color w:val="auto"/>
              </w:rPr>
            </w:pPr>
            <w:r>
              <w:rPr>
                <w:rFonts w:ascii="Arial" w:cs="Arial" w:eastAsia="Arial" w:hAnsi="Arial"/>
                <w:sz w:val="15"/>
                <w:szCs w:val="15"/>
                <w:b w:val="1"/>
                <w:bCs w:val="1"/>
                <w:color w:val="auto"/>
              </w:rPr>
              <w:t>10.7 %</w:t>
            </w:r>
          </w:p>
        </w:tc>
        <w:tc>
          <w:tcPr>
            <w:tcW w:w="7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07"/>
        </w:trPr>
        <w:tc>
          <w:tcPr>
            <w:tcW w:w="3640" w:type="dxa"/>
            <w:vAlign w:val="bottom"/>
          </w:tcPr>
          <w:p>
            <w:pPr>
              <w:spacing w:after="0"/>
              <w:rPr>
                <w:sz w:val="20"/>
                <w:szCs w:val="20"/>
                <w:color w:val="auto"/>
              </w:rPr>
            </w:pPr>
            <w:r>
              <w:rPr>
                <w:rFonts w:ascii="Arial" w:cs="Arial" w:eastAsia="Arial" w:hAnsi="Arial"/>
                <w:sz w:val="15"/>
                <w:szCs w:val="15"/>
                <w:color w:val="auto"/>
              </w:rPr>
              <w:t>Division profit</w:t>
            </w:r>
          </w:p>
        </w:tc>
        <w:tc>
          <w:tcPr>
            <w:tcW w:w="2680" w:type="dxa"/>
            <w:vAlign w:val="bottom"/>
          </w:tcPr>
          <w:p>
            <w:pPr>
              <w:jc w:val="right"/>
              <w:ind w:right="343"/>
              <w:spacing w:after="0"/>
              <w:rPr>
                <w:sz w:val="20"/>
                <w:szCs w:val="20"/>
                <w:color w:val="auto"/>
              </w:rPr>
            </w:pPr>
            <w:r>
              <w:rPr>
                <w:rFonts w:ascii="Arial" w:cs="Arial" w:eastAsia="Arial" w:hAnsi="Arial"/>
                <w:sz w:val="15"/>
                <w:szCs w:val="15"/>
                <w:b w:val="1"/>
                <w:bCs w:val="1"/>
                <w:color w:val="auto"/>
              </w:rPr>
              <w:t>$</w:t>
            </w:r>
          </w:p>
        </w:tc>
        <w:tc>
          <w:tcPr>
            <w:tcW w:w="1080" w:type="dxa"/>
            <w:vAlign w:val="bottom"/>
          </w:tcPr>
          <w:p>
            <w:pPr>
              <w:jc w:val="right"/>
              <w:ind w:right="263"/>
              <w:spacing w:after="0"/>
              <w:rPr>
                <w:sz w:val="20"/>
                <w:szCs w:val="20"/>
                <w:color w:val="auto"/>
              </w:rPr>
            </w:pPr>
            <w:r>
              <w:rPr>
                <w:rFonts w:ascii="Arial" w:cs="Arial" w:eastAsia="Arial" w:hAnsi="Arial"/>
                <w:sz w:val="15"/>
                <w:szCs w:val="15"/>
                <w:b w:val="1"/>
                <w:bCs w:val="1"/>
                <w:color w:val="auto"/>
              </w:rPr>
              <w:t>42</w:t>
            </w:r>
          </w:p>
        </w:tc>
        <w:tc>
          <w:tcPr>
            <w:tcW w:w="760" w:type="dxa"/>
            <w:vAlign w:val="bottom"/>
          </w:tcPr>
          <w:p>
            <w:pPr>
              <w:jc w:val="right"/>
              <w:ind w:right="423"/>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223"/>
              <w:spacing w:after="0"/>
              <w:rPr>
                <w:sz w:val="20"/>
                <w:szCs w:val="20"/>
                <w:color w:val="auto"/>
              </w:rPr>
            </w:pPr>
            <w:r>
              <w:rPr>
                <w:rFonts w:ascii="Arial" w:cs="Arial" w:eastAsia="Arial" w:hAnsi="Arial"/>
                <w:sz w:val="15"/>
                <w:szCs w:val="15"/>
                <w:color w:val="auto"/>
              </w:rPr>
              <w:t>38</w:t>
            </w:r>
          </w:p>
        </w:tc>
      </w:tr>
      <w:tr>
        <w:trPr>
          <w:trHeight w:val="207"/>
        </w:trPr>
        <w:tc>
          <w:tcPr>
            <w:tcW w:w="36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Division profit margin</w:t>
            </w:r>
          </w:p>
        </w:tc>
        <w:tc>
          <w:tcPr>
            <w:tcW w:w="26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b w:val="1"/>
                <w:bCs w:val="1"/>
                <w:color w:val="auto"/>
              </w:rPr>
              <w:t>15.1 %</w:t>
            </w:r>
          </w:p>
        </w:tc>
        <w:tc>
          <w:tcPr>
            <w:tcW w:w="7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15.1 %</w:t>
            </w:r>
          </w:p>
        </w:tc>
      </w:tr>
    </w:tbl>
    <w:p>
      <w:pPr>
        <w:spacing w:after="0" w:line="128" w:lineRule="exact"/>
        <w:rPr>
          <w:sz w:val="20"/>
          <w:szCs w:val="20"/>
          <w:color w:val="auto"/>
        </w:rPr>
      </w:pPr>
    </w:p>
    <w:p>
      <w:pPr>
        <w:jc w:val="both"/>
        <w:ind w:right="20"/>
        <w:spacing w:after="0" w:line="245" w:lineRule="auto"/>
        <w:rPr>
          <w:sz w:val="20"/>
          <w:szCs w:val="20"/>
          <w:color w:val="auto"/>
        </w:rPr>
      </w:pPr>
      <w:r>
        <w:rPr>
          <w:rFonts w:ascii="Arial" w:cs="Arial" w:eastAsia="Arial" w:hAnsi="Arial"/>
          <w:sz w:val="15"/>
          <w:szCs w:val="15"/>
          <w:color w:val="auto"/>
        </w:rPr>
        <w:t>Comparable-sales for the Direct-to-Customers segment increased by 12.1 percent for the thirteen weeks ended April 29, 2017. This increase was primarily a result of the continued growth of ecommerce sales associated with our store-banner websites, both domestically and internationally. Additionally, Eastbay experienced a gain during the current quarter.</w:t>
      </w:r>
    </w:p>
    <w:p>
      <w:pPr>
        <w:spacing w:after="0" w:line="153" w:lineRule="exact"/>
        <w:rPr>
          <w:sz w:val="20"/>
          <w:szCs w:val="20"/>
          <w:color w:val="auto"/>
        </w:rPr>
      </w:pPr>
    </w:p>
    <w:p>
      <w:pPr>
        <w:jc w:val="both"/>
        <w:ind w:right="20"/>
        <w:spacing w:after="0" w:line="242" w:lineRule="auto"/>
        <w:rPr>
          <w:sz w:val="20"/>
          <w:szCs w:val="20"/>
          <w:color w:val="auto"/>
        </w:rPr>
      </w:pPr>
      <w:r>
        <w:rPr>
          <w:rFonts w:ascii="Arial" w:cs="Arial" w:eastAsia="Arial" w:hAnsi="Arial"/>
          <w:sz w:val="15"/>
          <w:szCs w:val="15"/>
          <w:color w:val="auto"/>
        </w:rPr>
        <w:t>The footwear category delivered the strongest gains during the quarter. The footwear gains related to our domestic store-banner websites were driven by strong results from the Jordan brand, lifestyle running, and women’s casual styles. These gains were partially offset by declines in men’s basketball, specifically signature basketball styles. The footwear gains related to our international store-banner websites were primarily driven by lifestyle running styles.</w:t>
      </w:r>
    </w:p>
    <w:p>
      <w:pPr>
        <w:spacing w:after="0" w:line="156" w:lineRule="exact"/>
        <w:rPr>
          <w:sz w:val="20"/>
          <w:szCs w:val="20"/>
          <w:color w:val="auto"/>
        </w:rPr>
      </w:pPr>
    </w:p>
    <w:p>
      <w:pPr>
        <w:jc w:val="both"/>
        <w:ind w:right="20"/>
        <w:spacing w:after="0" w:line="241" w:lineRule="auto"/>
        <w:rPr>
          <w:sz w:val="20"/>
          <w:szCs w:val="20"/>
          <w:color w:val="auto"/>
        </w:rPr>
      </w:pPr>
      <w:r>
        <w:rPr>
          <w:rFonts w:ascii="Arial" w:cs="Arial" w:eastAsia="Arial" w:hAnsi="Arial"/>
          <w:sz w:val="15"/>
          <w:szCs w:val="15"/>
          <w:color w:val="auto"/>
        </w:rPr>
        <w:t>Direct-to-Customers division profit for the thirteen weeks ended April 29, 2017 increased by $4 million as compared with the corresponding prior-year period. Division profit, as a percentage of sales, remained unchanged compared to the prior year. While sales in this banner increased, the gross margin rate declined due to increased markdowns and higher shipping and handling expense as this segment was more promotional during the current quarter. This was offset by diligent expense management, such as controlling publicity costs.</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Corporate Expense</w:t>
      </w:r>
    </w:p>
    <w:p>
      <w:pPr>
        <w:spacing w:after="0" w:line="156" w:lineRule="exact"/>
        <w:rPr>
          <w:sz w:val="20"/>
          <w:szCs w:val="20"/>
          <w:color w:val="auto"/>
        </w:rPr>
      </w:pPr>
    </w:p>
    <w:p>
      <w:pPr>
        <w:jc w:val="center"/>
        <w:ind w:left="5360"/>
        <w:spacing w:after="0"/>
        <w:rPr>
          <w:sz w:val="20"/>
          <w:szCs w:val="20"/>
          <w:color w:val="auto"/>
        </w:rPr>
      </w:pPr>
      <w:r>
        <w:rPr>
          <w:rFonts w:ascii="Arial" w:cs="Arial" w:eastAsia="Arial" w:hAnsi="Arial"/>
          <w:sz w:val="15"/>
          <w:szCs w:val="15"/>
          <w:b w:val="1"/>
          <w:bCs w:val="1"/>
          <w:color w:val="auto"/>
        </w:rPr>
        <w:t>Thirteen weeks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577723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77230" cy="7620"/>
                    </a:xfrm>
                    <a:prstGeom prst="rect">
                      <a:avLst/>
                    </a:prstGeom>
                    <a:noFill/>
                  </pic:spPr>
                </pic:pic>
              </a:graphicData>
            </a:graphic>
          </wp:anchor>
        </w:drawing>
      </w:r>
    </w:p>
    <w:p>
      <w:pPr>
        <w:spacing w:after="0" w:line="14" w:lineRule="exact"/>
        <w:rPr>
          <w:sz w:val="20"/>
          <w:szCs w:val="20"/>
          <w:color w:val="auto"/>
        </w:rPr>
      </w:pPr>
    </w:p>
    <w:p>
      <w:pPr>
        <w:ind w:left="5860"/>
        <w:spacing w:after="0"/>
        <w:tabs>
          <w:tab w:leader="none" w:pos="7580" w:val="left"/>
        </w:tabs>
        <w:rPr>
          <w:sz w:val="20"/>
          <w:szCs w:val="20"/>
          <w:color w:val="auto"/>
        </w:rPr>
      </w:pPr>
      <w:r>
        <w:rPr>
          <w:rFonts w:ascii="Arial" w:cs="Arial" w:eastAsia="Arial" w:hAnsi="Arial"/>
          <w:sz w:val="15"/>
          <w:szCs w:val="15"/>
          <w:b w:val="1"/>
          <w:bCs w:val="1"/>
          <w:color w:val="auto"/>
        </w:rPr>
        <w:t>April 29, 2017</w:t>
      </w:r>
      <w:r>
        <w:rPr>
          <w:sz w:val="20"/>
          <w:szCs w:val="20"/>
          <w:color w:val="auto"/>
        </w:rPr>
        <w:tab/>
      </w:r>
      <w:r>
        <w:rPr>
          <w:rFonts w:ascii="Arial" w:cs="Arial" w:eastAsia="Arial" w:hAnsi="Arial"/>
          <w:sz w:val="15"/>
          <w:szCs w:val="15"/>
          <w:b w:val="1"/>
          <w:bCs w:val="1"/>
          <w:color w:val="auto"/>
        </w:rPr>
        <w:t>April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577723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77230" cy="7620"/>
                    </a:xfrm>
                    <a:prstGeom prst="rect">
                      <a:avLst/>
                    </a:prstGeom>
                    <a:noFill/>
                  </pic:spPr>
                </pic:pic>
              </a:graphicData>
            </a:graphic>
          </wp:anchor>
        </w:drawing>
      </w:r>
    </w:p>
    <w:p>
      <w:pPr>
        <w:spacing w:after="0" w:line="32" w:lineRule="exact"/>
        <w:rPr>
          <w:sz w:val="20"/>
          <w:szCs w:val="20"/>
          <w:color w:val="auto"/>
        </w:rPr>
      </w:pPr>
    </w:p>
    <w:p>
      <w:pPr>
        <w:ind w:left="6920"/>
        <w:spacing w:after="0"/>
        <w:rPr>
          <w:sz w:val="20"/>
          <w:szCs w:val="20"/>
          <w:color w:val="auto"/>
        </w:rPr>
      </w:pPr>
      <w:r>
        <w:rPr>
          <w:rFonts w:ascii="Arial" w:cs="Arial" w:eastAsia="Arial" w:hAnsi="Arial"/>
          <w:sz w:val="15"/>
          <w:szCs w:val="15"/>
          <w:color w:val="auto"/>
        </w:rPr>
        <w:t>($ in millions)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900" w:type="dxa"/>
            <w:vAlign w:val="bottom"/>
            <w:shd w:val="clear" w:color="auto" w:fill="CCEEFF"/>
          </w:tcPr>
          <w:p>
            <w:pPr>
              <w:spacing w:after="0"/>
              <w:rPr>
                <w:sz w:val="20"/>
                <w:szCs w:val="20"/>
                <w:color w:val="auto"/>
              </w:rPr>
            </w:pPr>
            <w:r>
              <w:rPr>
                <w:rFonts w:ascii="Arial" w:cs="Arial" w:eastAsia="Arial" w:hAnsi="Arial"/>
                <w:sz w:val="15"/>
                <w:szCs w:val="15"/>
                <w:color w:val="auto"/>
              </w:rPr>
              <w:t>Corporate expense</w:t>
            </w:r>
          </w:p>
        </w:tc>
        <w:tc>
          <w:tcPr>
            <w:tcW w:w="3500" w:type="dxa"/>
            <w:vAlign w:val="bottom"/>
            <w:shd w:val="clear" w:color="auto" w:fill="CCEEFF"/>
          </w:tcPr>
          <w:p>
            <w:pPr>
              <w:jc w:val="right"/>
              <w:ind w:right="423"/>
              <w:spacing w:after="0"/>
              <w:rPr>
                <w:sz w:val="20"/>
                <w:szCs w:val="20"/>
                <w:color w:val="auto"/>
              </w:rPr>
            </w:pPr>
            <w:r>
              <w:rPr>
                <w:rFonts w:ascii="Arial" w:cs="Arial" w:eastAsia="Arial" w:hAnsi="Arial"/>
                <w:sz w:val="15"/>
                <w:szCs w:val="15"/>
                <w:b w:val="1"/>
                <w:bCs w:val="1"/>
                <w:color w:val="auto"/>
              </w:rPr>
              <w:t>$</w:t>
            </w:r>
          </w:p>
        </w:tc>
        <w:tc>
          <w:tcPr>
            <w:tcW w:w="940" w:type="dxa"/>
            <w:vAlign w:val="bottom"/>
            <w:shd w:val="clear" w:color="auto" w:fill="CCEEFF"/>
          </w:tcPr>
          <w:p>
            <w:pPr>
              <w:jc w:val="right"/>
              <w:ind w:right="203"/>
              <w:spacing w:after="0"/>
              <w:rPr>
                <w:sz w:val="20"/>
                <w:szCs w:val="20"/>
                <w:color w:val="auto"/>
              </w:rPr>
            </w:pPr>
            <w:r>
              <w:rPr>
                <w:rFonts w:ascii="Arial" w:cs="Arial" w:eastAsia="Arial" w:hAnsi="Arial"/>
                <w:sz w:val="15"/>
                <w:szCs w:val="15"/>
                <w:b w:val="1"/>
                <w:bCs w:val="1"/>
                <w:color w:val="auto"/>
              </w:rPr>
              <w:t>15</w:t>
            </w:r>
          </w:p>
        </w:tc>
        <w:tc>
          <w:tcPr>
            <w:tcW w:w="800" w:type="dxa"/>
            <w:vAlign w:val="bottom"/>
            <w:shd w:val="clear" w:color="auto" w:fill="CCEEFF"/>
          </w:tcPr>
          <w:p>
            <w:pPr>
              <w:jc w:val="right"/>
              <w:ind w:right="403"/>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rPr>
              <w:t>19</w:t>
            </w:r>
          </w:p>
        </w:tc>
        <w:tc>
          <w:tcPr>
            <w:tcW w:w="20" w:type="dxa"/>
            <w:vAlign w:val="bottom"/>
          </w:tcPr>
          <w:p>
            <w:pPr>
              <w:spacing w:after="0"/>
              <w:rPr>
                <w:sz w:val="16"/>
                <w:szCs w:val="16"/>
                <w:color w:val="auto"/>
              </w:rPr>
            </w:pPr>
          </w:p>
        </w:tc>
      </w:tr>
      <w:tr>
        <w:trPr>
          <w:trHeight w:val="207"/>
        </w:trPr>
        <w:tc>
          <w:tcPr>
            <w:tcW w:w="29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 Change</w:t>
            </w:r>
          </w:p>
        </w:tc>
        <w:tc>
          <w:tcPr>
            <w:tcW w:w="3500" w:type="dxa"/>
            <w:vAlign w:val="bottom"/>
            <w:tcBorders>
              <w:bottom w:val="single" w:sz="8" w:color="auto"/>
            </w:tcBorders>
          </w:tcPr>
          <w:p>
            <w:pPr>
              <w:jc w:val="right"/>
              <w:ind w:right="423"/>
              <w:spacing w:after="0"/>
              <w:rPr>
                <w:sz w:val="20"/>
                <w:szCs w:val="20"/>
                <w:color w:val="auto"/>
              </w:rPr>
            </w:pPr>
            <w:r>
              <w:rPr>
                <w:rFonts w:ascii="Arial" w:cs="Arial" w:eastAsia="Arial" w:hAnsi="Arial"/>
                <w:sz w:val="15"/>
                <w:szCs w:val="15"/>
                <w:b w:val="1"/>
                <w:bCs w:val="1"/>
                <w:color w:val="auto"/>
              </w:rPr>
              <w:t>$</w:t>
            </w:r>
          </w:p>
        </w:tc>
        <w:tc>
          <w:tcPr>
            <w:tcW w:w="94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b w:val="1"/>
                <w:bCs w:val="1"/>
                <w:color w:val="auto"/>
              </w:rPr>
              <w:t>(4)</w:t>
            </w:r>
          </w:p>
        </w:tc>
        <w:tc>
          <w:tcPr>
            <w:tcW w:w="8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367"/>
        </w:trPr>
        <w:tc>
          <w:tcPr>
            <w:tcW w:w="2900" w:type="dxa"/>
            <w:vAlign w:val="bottom"/>
          </w:tcPr>
          <w:p>
            <w:pPr>
              <w:spacing w:after="0"/>
              <w:rPr>
                <w:sz w:val="24"/>
                <w:szCs w:val="24"/>
                <w:color w:val="auto"/>
              </w:rPr>
            </w:pPr>
          </w:p>
        </w:tc>
        <w:tc>
          <w:tcPr>
            <w:tcW w:w="3500" w:type="dxa"/>
            <w:vAlign w:val="bottom"/>
          </w:tcPr>
          <w:p>
            <w:pPr>
              <w:jc w:val="right"/>
              <w:ind w:right="1683"/>
              <w:spacing w:after="0"/>
              <w:rPr>
                <w:sz w:val="20"/>
                <w:szCs w:val="20"/>
                <w:color w:val="auto"/>
              </w:rPr>
            </w:pPr>
            <w:r>
              <w:rPr>
                <w:rFonts w:ascii="Arial" w:cs="Arial" w:eastAsia="Arial" w:hAnsi="Arial"/>
                <w:sz w:val="15"/>
                <w:szCs w:val="15"/>
                <w:color w:val="auto"/>
              </w:rPr>
              <w:t>20</w:t>
            </w:r>
          </w:p>
        </w:tc>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8"/>
        </w:trPr>
        <w:tc>
          <w:tcPr>
            <w:tcW w:w="2900" w:type="dxa"/>
            <w:vAlign w:val="bottom"/>
            <w:tcBorders>
              <w:bottom w:val="single" w:sz="8" w:color="9A9A9A"/>
            </w:tcBorders>
          </w:tcPr>
          <w:p>
            <w:pPr>
              <w:spacing w:after="0"/>
              <w:rPr>
                <w:sz w:val="7"/>
                <w:szCs w:val="7"/>
                <w:color w:val="auto"/>
              </w:rPr>
            </w:pPr>
          </w:p>
        </w:tc>
        <w:tc>
          <w:tcPr>
            <w:tcW w:w="350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r>
        <w:trPr>
          <w:trHeight w:val="20"/>
        </w:trPr>
        <w:tc>
          <w:tcPr>
            <w:tcW w:w="2900" w:type="dxa"/>
            <w:vAlign w:val="bottom"/>
            <w:tcBorders>
              <w:bottom w:val="single" w:sz="8" w:color="EEEEEE"/>
            </w:tcBorders>
          </w:tcPr>
          <w:p>
            <w:pPr>
              <w:spacing w:after="0" w:line="20" w:lineRule="exact"/>
              <w:rPr>
                <w:sz w:val="1"/>
                <w:szCs w:val="1"/>
                <w:color w:val="auto"/>
              </w:rPr>
            </w:pPr>
          </w:p>
        </w:tc>
        <w:tc>
          <w:tcPr>
            <w:tcW w:w="3500" w:type="dxa"/>
            <w:vAlign w:val="bottom"/>
            <w:tcBorders>
              <w:bottom w:val="single" w:sz="8" w:color="EEEEEE"/>
            </w:tcBorders>
          </w:tcPr>
          <w:p>
            <w:pPr>
              <w:spacing w:after="0" w:line="20" w:lineRule="exact"/>
              <w:rPr>
                <w:sz w:val="1"/>
                <w:szCs w:val="1"/>
                <w:color w:val="auto"/>
              </w:rPr>
            </w:pPr>
          </w:p>
        </w:tc>
        <w:tc>
          <w:tcPr>
            <w:tcW w:w="940" w:type="dxa"/>
            <w:vAlign w:val="bottom"/>
            <w:tcBorders>
              <w:bottom w:val="single" w:sz="8" w:color="EEEEEE"/>
            </w:tcBorders>
          </w:tcPr>
          <w:p>
            <w:pPr>
              <w:spacing w:after="0" w:line="20" w:lineRule="exact"/>
              <w:rPr>
                <w:sz w:val="1"/>
                <w:szCs w:val="1"/>
                <w:color w:val="auto"/>
              </w:rPr>
            </w:pPr>
          </w:p>
        </w:tc>
        <w:tc>
          <w:tcPr>
            <w:tcW w:w="80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5775325</wp:posOffset>
            </wp:positionH>
            <wp:positionV relativeFrom="paragraph">
              <wp:posOffset>-34925</wp:posOffset>
            </wp:positionV>
            <wp:extent cx="33020" cy="482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020" cy="4826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-34925</wp:posOffset>
            </wp:positionV>
            <wp:extent cx="33020" cy="482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020" cy="48260"/>
                    </a:xfrm>
                    <a:prstGeom prst="rect">
                      <a:avLst/>
                    </a:prstGeom>
                    <a:noFill/>
                  </pic:spPr>
                </pic:pic>
              </a:graphicData>
            </a:graphic>
          </wp:anchor>
        </w:drawing>
      </w:r>
    </w:p>
    <w:p>
      <w:pPr>
        <w:sectPr>
          <w:pgSz w:w="11900" w:h="16838" w:orient="portrait"/>
          <w:cols w:equalWidth="0" w:num="1">
            <w:col w:w="9120"/>
          </w:cols>
          <w:pgMar w:left="1400" w:top="329" w:right="1379" w:bottom="1440" w:gutter="0" w:footer="0" w:header="0"/>
        </w:sectPr>
      </w:pPr>
    </w:p>
    <w:bookmarkStart w:id="22" w:name="page23"/>
    <w:bookmarkEnd w:id="22"/>
    <w:p>
      <w:pPr>
        <w:jc w:val="both"/>
        <w:spacing w:after="0" w:line="242" w:lineRule="auto"/>
        <w:rPr>
          <w:sz w:val="20"/>
          <w:szCs w:val="20"/>
          <w:color w:val="auto"/>
        </w:rPr>
      </w:pPr>
      <w:r>
        <w:rPr>
          <w:rFonts w:ascii="Arial" w:cs="Arial" w:eastAsia="Arial" w:hAnsi="Arial"/>
          <w:sz w:val="15"/>
          <w:szCs w:val="15"/>
          <w:color w:val="auto"/>
        </w:rPr>
        <w:t>Corporate expense consists of unallocated SG&amp;A, as well as depreciation and amortization related to the Company’s corporate headquarters, centrally managed departments, unallocated insurance and benefit programs, certain foreign exchange transaction gains and losses, and other items. Depreciation and amortization included in corporate expense was $3 million for both the thirteen weeks ended April 29, 2017 and April 30, 2016.</w:t>
      </w:r>
    </w:p>
    <w:p>
      <w:pPr>
        <w:spacing w:after="0" w:line="156"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The allocation of corporate expense to the operating divisions is adjusted annually based upon an internal study; accordingly, the allocation increased by $2 million for the thirteen weeks ended April 29, 2017 thus reducing corporate expense. Excluding the corporate allocation change, corporate expense decreased by $2 million for the thirteen weeks ended April 29, 2017.</w:t>
      </w:r>
    </w:p>
    <w:p>
      <w:pPr>
        <w:spacing w:after="0" w:line="165"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The decrease for the thirteen weeks ended April 29, 2017 was primarily due to the prior-year corporate headquarters relocation costs of $4 million. Additionally, incentive compensation expense decreased during the quarter by $1 million as compared with the prior-year period, reflecting the Company’s underperformance as compared with its plan. This was partially offset by increased corporate support costs such as legal services and real estate management, coupled with unfavorable foreign exchange results as compared with the prior year.</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Liquidity and Capital Resources</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Liquidity</w:t>
      </w:r>
    </w:p>
    <w:p>
      <w:pPr>
        <w:spacing w:after="0" w:line="184" w:lineRule="exact"/>
        <w:rPr>
          <w:sz w:val="20"/>
          <w:szCs w:val="20"/>
          <w:color w:val="auto"/>
        </w:rPr>
      </w:pPr>
    </w:p>
    <w:p>
      <w:pPr>
        <w:jc w:val="both"/>
        <w:spacing w:after="0"/>
        <w:rPr>
          <w:sz w:val="20"/>
          <w:szCs w:val="20"/>
          <w:color w:val="auto"/>
        </w:rPr>
      </w:pPr>
      <w:r>
        <w:rPr>
          <w:rFonts w:ascii="Arial" w:cs="Arial" w:eastAsia="Arial" w:hAnsi="Arial"/>
          <w:sz w:val="15"/>
          <w:szCs w:val="15"/>
          <w:color w:val="auto"/>
        </w:rPr>
        <w:t>Our primary source of liquidity has been cash flow from earnings, while the principal uses of cash have been: to fund inventory and other working capital requirements; to finance capital expenditures related to store openings, store remodelings, Internet and mobile sites, information systems, and other support facilities; to make retirement plan contributions, quarterly dividend payments, and interest payments; and to fund other cash requirements to support the development of our short-term and long-term operating strategies. We generally finance real estate with operating leases. We believe our cash, cash equivalents, and future cash flow from operations will be adequate to fund these requirements.</w:t>
      </w:r>
    </w:p>
    <w:p>
      <w:pPr>
        <w:spacing w:after="0" w:line="157"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The Company may also from time to time repurchase its common stock or seek to retire or purchase outstanding debt through open market purchases, privately negotiated transactions, or otherwise. Share repurchases and retirement of debt, if any, will depend on prevailing market conditions, liquidity requirements, contractual restrictions, and other factors. The amounts involved may be material. As of April 29, 2017, just under $1.2 billion remained available under the Company’s current share repurchase program.</w:t>
      </w:r>
    </w:p>
    <w:p>
      <w:pPr>
        <w:spacing w:after="0" w:line="140"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 xml:space="preserve">As discussed further in the </w:t>
      </w:r>
      <w:r>
        <w:rPr>
          <w:rFonts w:ascii="Arial" w:cs="Arial" w:eastAsia="Arial" w:hAnsi="Arial"/>
          <w:sz w:val="15"/>
          <w:szCs w:val="15"/>
          <w:i w:val="1"/>
          <w:iCs w:val="1"/>
          <w:color w:val="auto"/>
        </w:rPr>
        <w:t>Legal Proceedings</w:t>
      </w:r>
      <w:r>
        <w:rPr>
          <w:rFonts w:ascii="Arial" w:cs="Arial" w:eastAsia="Arial" w:hAnsi="Arial"/>
          <w:sz w:val="15"/>
          <w:szCs w:val="15"/>
          <w:color w:val="auto"/>
        </w:rPr>
        <w:t xml:space="preserve"> note under “Item 1. Financial Statements,” during the third quarter of 2015, in connection with our pension litigation, we recorded a pre-tax charge of $100 million ($61 million after-tax). In light of the uncertainties involved in this matter, there is no assurance that the ultimate resolution will not differ from the amount currently accrued by us. The $100 million charge has been classified as a long-term liability due to the uncertainty involved with the resolution of this litigation, as the appeals process can be lengthy. The pension plan is currently sufficiently funded to absorb a $100 million liability and, accordingly, we currently do not anticipate the need to make any pension contributions in the near term in connection with this matter. The timing and the amount of contributions to the pension plan are dependent on the funded status of the plan and various other factors, such as interest rates and the performance of the plan’s assets.</w:t>
      </w:r>
    </w:p>
    <w:p>
      <w:pPr>
        <w:spacing w:after="0" w:line="157"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Any material adverse change in customer demand, fashion trends, competitive market forces, or customer acceptance of our merchandise mix and retail locations, uncertainties related to the effect of competitive products and pricing, our reliance on a few key vendors for a significant portion of our merchandise purchases and risks associated with global product sourcing, economic conditions worldwide, the effects of currency fluctuations, as well as other factors listed under the heading “Disclosure Regarding Forward-Looking Statements,” could affect our ability to continue to fund our needs from business operations.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5817870" cy="482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450" w:right="1399" w:bottom="1440" w:gutter="0" w:footer="0" w:header="0"/>
        </w:sectPr>
      </w:pPr>
    </w:p>
    <w:bookmarkStart w:id="23" w:name="page24"/>
    <w:bookmarkEnd w:id="23"/>
    <w:p>
      <w:pPr>
        <w:spacing w:after="0"/>
        <w:rPr>
          <w:sz w:val="20"/>
          <w:szCs w:val="20"/>
          <w:color w:val="auto"/>
        </w:rPr>
      </w:pPr>
      <w:r>
        <w:rPr>
          <w:rFonts w:ascii="Arial" w:cs="Arial" w:eastAsia="Arial" w:hAnsi="Arial"/>
          <w:sz w:val="15"/>
          <w:szCs w:val="15"/>
          <w:i w:val="1"/>
          <w:iCs w:val="1"/>
          <w:u w:val="single" w:color="auto"/>
          <w:color w:val="auto"/>
        </w:rPr>
        <w:t>Operating Activities</w:t>
      </w:r>
    </w:p>
    <w:p>
      <w:pPr>
        <w:spacing w:after="0" w:line="263" w:lineRule="exact"/>
        <w:rPr>
          <w:sz w:val="20"/>
          <w:szCs w:val="20"/>
          <w:color w:val="auto"/>
        </w:rPr>
      </w:pPr>
    </w:p>
    <w:p>
      <w:pPr>
        <w:ind w:left="6800"/>
        <w:spacing w:after="0"/>
        <w:rPr>
          <w:sz w:val="20"/>
          <w:szCs w:val="20"/>
          <w:color w:val="auto"/>
        </w:rPr>
      </w:pPr>
      <w:r>
        <w:rPr>
          <w:rFonts w:ascii="Arial" w:cs="Arial" w:eastAsia="Arial" w:hAnsi="Arial"/>
          <w:sz w:val="15"/>
          <w:szCs w:val="15"/>
          <w:b w:val="1"/>
          <w:bCs w:val="1"/>
          <w:color w:val="auto"/>
        </w:rPr>
        <w:t>Thirteen weeks ended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4520" w:type="dxa"/>
            <w:vAlign w:val="bottom"/>
            <w:tcBorders>
              <w:top w:val="single" w:sz="8" w:color="auto"/>
            </w:tcBorders>
          </w:tcPr>
          <w:p>
            <w:pPr>
              <w:spacing w:after="0"/>
              <w:rPr>
                <w:sz w:val="12"/>
                <w:szCs w:val="12"/>
                <w:color w:val="auto"/>
              </w:rPr>
            </w:pPr>
          </w:p>
        </w:tc>
        <w:tc>
          <w:tcPr>
            <w:tcW w:w="260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5"/>
                <w:szCs w:val="15"/>
                <w:b w:val="1"/>
                <w:bCs w:val="1"/>
                <w:color w:val="auto"/>
              </w:rPr>
              <w:t>April 29,</w:t>
            </w:r>
          </w:p>
        </w:tc>
        <w:tc>
          <w:tcPr>
            <w:tcW w:w="5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center"/>
              <w:ind w:right="263"/>
              <w:spacing w:after="0" w:line="139" w:lineRule="exact"/>
              <w:rPr>
                <w:sz w:val="20"/>
                <w:szCs w:val="20"/>
                <w:color w:val="auto"/>
              </w:rPr>
            </w:pPr>
            <w:r>
              <w:rPr>
                <w:rFonts w:ascii="Arial" w:cs="Arial" w:eastAsia="Arial" w:hAnsi="Arial"/>
                <w:sz w:val="15"/>
                <w:szCs w:val="15"/>
                <w:b w:val="1"/>
                <w:bCs w:val="1"/>
                <w:color w:val="auto"/>
              </w:rPr>
              <w:t>April 30,</w:t>
            </w:r>
          </w:p>
        </w:tc>
      </w:tr>
      <w:tr>
        <w:trPr>
          <w:trHeight w:val="194"/>
        </w:trPr>
        <w:tc>
          <w:tcPr>
            <w:tcW w:w="45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rPr>
              <w:t>2017</w:t>
            </w:r>
          </w:p>
        </w:tc>
        <w:tc>
          <w:tcPr>
            <w:tcW w:w="5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23"/>
              <w:spacing w:after="0"/>
              <w:rPr>
                <w:sz w:val="20"/>
                <w:szCs w:val="20"/>
                <w:color w:val="auto"/>
              </w:rPr>
            </w:pPr>
            <w:r>
              <w:rPr>
                <w:rFonts w:ascii="Arial" w:cs="Arial" w:eastAsia="Arial" w:hAnsi="Arial"/>
                <w:sz w:val="15"/>
                <w:szCs w:val="15"/>
                <w:b w:val="1"/>
                <w:bCs w:val="1"/>
                <w:color w:val="auto"/>
              </w:rPr>
              <w:t>2016</w:t>
            </w:r>
          </w:p>
        </w:tc>
      </w:tr>
      <w:tr>
        <w:trPr>
          <w:trHeight w:val="187"/>
        </w:trPr>
        <w:tc>
          <w:tcPr>
            <w:tcW w:w="45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 in millions)</w:t>
            </w:r>
          </w:p>
        </w:tc>
        <w:tc>
          <w:tcPr>
            <w:tcW w:w="1020" w:type="dxa"/>
            <w:vAlign w:val="bottom"/>
          </w:tcPr>
          <w:p>
            <w:pPr>
              <w:spacing w:after="0"/>
              <w:rPr>
                <w:sz w:val="16"/>
                <w:szCs w:val="16"/>
                <w:color w:val="auto"/>
              </w:rPr>
            </w:pPr>
          </w:p>
        </w:tc>
      </w:tr>
      <w:tr>
        <w:trPr>
          <w:trHeight w:val="182"/>
        </w:trPr>
        <w:tc>
          <w:tcPr>
            <w:tcW w:w="4520" w:type="dxa"/>
            <w:vAlign w:val="bottom"/>
            <w:shd w:val="clear" w:color="auto" w:fill="CCEEFF"/>
          </w:tcPr>
          <w:p>
            <w:pPr>
              <w:spacing w:after="0"/>
              <w:rPr>
                <w:sz w:val="20"/>
                <w:szCs w:val="20"/>
                <w:color w:val="auto"/>
              </w:rPr>
            </w:pPr>
            <w:r>
              <w:rPr>
                <w:rFonts w:ascii="Arial" w:cs="Arial" w:eastAsia="Arial" w:hAnsi="Arial"/>
                <w:sz w:val="15"/>
                <w:szCs w:val="15"/>
                <w:color w:val="auto"/>
              </w:rPr>
              <w:t>Net cash provided by operating activities</w:t>
            </w:r>
          </w:p>
        </w:tc>
        <w:tc>
          <w:tcPr>
            <w:tcW w:w="2600" w:type="dxa"/>
            <w:vAlign w:val="bottom"/>
            <w:shd w:val="clear" w:color="auto" w:fill="CCEEFF"/>
          </w:tcPr>
          <w:p>
            <w:pPr>
              <w:jc w:val="right"/>
              <w:ind w:right="683"/>
              <w:spacing w:after="0"/>
              <w:rPr>
                <w:sz w:val="20"/>
                <w:szCs w:val="20"/>
                <w:color w:val="auto"/>
              </w:rPr>
            </w:pPr>
            <w:r>
              <w:rPr>
                <w:rFonts w:ascii="Arial" w:cs="Arial" w:eastAsia="Arial" w:hAnsi="Arial"/>
                <w:sz w:val="15"/>
                <w:szCs w:val="15"/>
                <w:b w:val="1"/>
                <w:bCs w:val="1"/>
                <w:color w:val="auto"/>
              </w:rPr>
              <w:t>$</w:t>
            </w:r>
          </w:p>
        </w:tc>
        <w:tc>
          <w:tcPr>
            <w:tcW w:w="500" w:type="dxa"/>
            <w:vAlign w:val="bottom"/>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159</w:t>
            </w:r>
          </w:p>
        </w:tc>
        <w:tc>
          <w:tcPr>
            <w:tcW w:w="46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224</w:t>
            </w:r>
          </w:p>
        </w:tc>
      </w:tr>
      <w:tr>
        <w:trPr>
          <w:trHeight w:val="182"/>
        </w:trPr>
        <w:tc>
          <w:tcPr>
            <w:tcW w:w="45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 Change</w:t>
            </w:r>
          </w:p>
        </w:tc>
        <w:tc>
          <w:tcPr>
            <w:tcW w:w="2600" w:type="dxa"/>
            <w:vAlign w:val="bottom"/>
            <w:tcBorders>
              <w:bottom w:val="single" w:sz="8" w:color="auto"/>
            </w:tcBorders>
          </w:tcPr>
          <w:p>
            <w:pPr>
              <w:jc w:val="right"/>
              <w:ind w:right="683"/>
              <w:spacing w:after="0"/>
              <w:rPr>
                <w:sz w:val="20"/>
                <w:szCs w:val="20"/>
                <w:color w:val="auto"/>
              </w:rPr>
            </w:pPr>
            <w:r>
              <w:rPr>
                <w:rFonts w:ascii="Arial" w:cs="Arial" w:eastAsia="Arial" w:hAnsi="Arial"/>
                <w:sz w:val="15"/>
                <w:szCs w:val="15"/>
                <w:b w:val="1"/>
                <w:bCs w:val="1"/>
                <w:color w:val="auto"/>
              </w:rPr>
              <w:t>$</w:t>
            </w:r>
          </w:p>
        </w:tc>
        <w:tc>
          <w:tcPr>
            <w:tcW w:w="50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rPr>
              <w:t>(65)</w:t>
            </w:r>
          </w:p>
        </w:tc>
        <w:tc>
          <w:tcPr>
            <w:tcW w:w="4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r>
    </w:tbl>
    <w:p>
      <w:pPr>
        <w:spacing w:after="0" w:line="116"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The amount provided by operating activities reflects net income adjusted for non-cash items and working capital changes. Adjustments to net income for non-cash items include depreciation and amortization, and share-based compensation expense. The decrease from the prior year primarily reflects working capital changes and the decline in net income as compared with the prior year.</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Investing Activities</w:t>
      </w:r>
    </w:p>
    <w:p>
      <w:pPr>
        <w:spacing w:after="0" w:line="251" w:lineRule="exact"/>
        <w:rPr>
          <w:sz w:val="20"/>
          <w:szCs w:val="20"/>
          <w:color w:val="auto"/>
        </w:rPr>
      </w:pPr>
    </w:p>
    <w:p>
      <w:pPr>
        <w:ind w:left="6800"/>
        <w:spacing w:after="0"/>
        <w:rPr>
          <w:sz w:val="20"/>
          <w:szCs w:val="20"/>
          <w:color w:val="auto"/>
        </w:rPr>
      </w:pPr>
      <w:r>
        <w:rPr>
          <w:rFonts w:ascii="Arial" w:cs="Arial" w:eastAsia="Arial" w:hAnsi="Arial"/>
          <w:sz w:val="15"/>
          <w:szCs w:val="15"/>
          <w:b w:val="1"/>
          <w:bCs w:val="1"/>
          <w:color w:val="auto"/>
        </w:rPr>
        <w:t>Thirteen weeks ended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4360" w:type="dxa"/>
            <w:vAlign w:val="bottom"/>
            <w:tcBorders>
              <w:top w:val="single" w:sz="8" w:color="auto"/>
            </w:tcBorders>
          </w:tcPr>
          <w:p>
            <w:pPr>
              <w:spacing w:after="0"/>
              <w:rPr>
                <w:sz w:val="12"/>
                <w:szCs w:val="12"/>
                <w:color w:val="auto"/>
              </w:rPr>
            </w:pPr>
          </w:p>
        </w:tc>
        <w:tc>
          <w:tcPr>
            <w:tcW w:w="276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5"/>
                <w:szCs w:val="15"/>
                <w:b w:val="1"/>
                <w:bCs w:val="1"/>
                <w:color w:val="auto"/>
              </w:rPr>
              <w:t>April 29,</w:t>
            </w:r>
          </w:p>
        </w:tc>
        <w:tc>
          <w:tcPr>
            <w:tcW w:w="4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center"/>
              <w:ind w:right="263"/>
              <w:spacing w:after="0" w:line="139" w:lineRule="exact"/>
              <w:rPr>
                <w:sz w:val="20"/>
                <w:szCs w:val="20"/>
                <w:color w:val="auto"/>
              </w:rPr>
            </w:pPr>
            <w:r>
              <w:rPr>
                <w:rFonts w:ascii="Arial" w:cs="Arial" w:eastAsia="Arial" w:hAnsi="Arial"/>
                <w:sz w:val="15"/>
                <w:szCs w:val="15"/>
                <w:b w:val="1"/>
                <w:bCs w:val="1"/>
                <w:color w:val="auto"/>
              </w:rPr>
              <w:t>April 30,</w:t>
            </w:r>
          </w:p>
        </w:tc>
      </w:tr>
      <w:tr>
        <w:trPr>
          <w:trHeight w:val="194"/>
        </w:trPr>
        <w:tc>
          <w:tcPr>
            <w:tcW w:w="436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rPr>
              <w:t>2017</w:t>
            </w:r>
          </w:p>
        </w:tc>
        <w:tc>
          <w:tcPr>
            <w:tcW w:w="4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23"/>
              <w:spacing w:after="0"/>
              <w:rPr>
                <w:sz w:val="20"/>
                <w:szCs w:val="20"/>
                <w:color w:val="auto"/>
              </w:rPr>
            </w:pPr>
            <w:r>
              <w:rPr>
                <w:rFonts w:ascii="Arial" w:cs="Arial" w:eastAsia="Arial" w:hAnsi="Arial"/>
                <w:sz w:val="15"/>
                <w:szCs w:val="15"/>
                <w:b w:val="1"/>
                <w:bCs w:val="1"/>
                <w:color w:val="auto"/>
              </w:rPr>
              <w:t>2016</w:t>
            </w:r>
          </w:p>
        </w:tc>
      </w:tr>
      <w:tr>
        <w:trPr>
          <w:trHeight w:val="187"/>
        </w:trPr>
        <w:tc>
          <w:tcPr>
            <w:tcW w:w="436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 in millions)</w:t>
            </w:r>
          </w:p>
        </w:tc>
        <w:tc>
          <w:tcPr>
            <w:tcW w:w="1020" w:type="dxa"/>
            <w:vAlign w:val="bottom"/>
          </w:tcPr>
          <w:p>
            <w:pPr>
              <w:spacing w:after="0"/>
              <w:rPr>
                <w:sz w:val="16"/>
                <w:szCs w:val="16"/>
                <w:color w:val="auto"/>
              </w:rPr>
            </w:pPr>
          </w:p>
        </w:tc>
      </w:tr>
      <w:tr>
        <w:trPr>
          <w:trHeight w:val="182"/>
        </w:trPr>
        <w:tc>
          <w:tcPr>
            <w:tcW w:w="4360" w:type="dxa"/>
            <w:vAlign w:val="bottom"/>
            <w:shd w:val="clear" w:color="auto" w:fill="CCEEFF"/>
          </w:tcPr>
          <w:p>
            <w:pPr>
              <w:spacing w:after="0"/>
              <w:rPr>
                <w:sz w:val="20"/>
                <w:szCs w:val="20"/>
                <w:color w:val="auto"/>
              </w:rPr>
            </w:pPr>
            <w:r>
              <w:rPr>
                <w:rFonts w:ascii="Arial" w:cs="Arial" w:eastAsia="Arial" w:hAnsi="Arial"/>
                <w:sz w:val="15"/>
                <w:szCs w:val="15"/>
                <w:color w:val="auto"/>
              </w:rPr>
              <w:t>Net cash used in investing activities</w:t>
            </w:r>
          </w:p>
        </w:tc>
        <w:tc>
          <w:tcPr>
            <w:tcW w:w="2760" w:type="dxa"/>
            <w:vAlign w:val="bottom"/>
            <w:shd w:val="clear" w:color="auto" w:fill="CCEEFF"/>
          </w:tcPr>
          <w:p>
            <w:pPr>
              <w:jc w:val="right"/>
              <w:ind w:right="683"/>
              <w:spacing w:after="0"/>
              <w:rPr>
                <w:sz w:val="20"/>
                <w:szCs w:val="20"/>
                <w:color w:val="auto"/>
              </w:rPr>
            </w:pPr>
            <w:r>
              <w:rPr>
                <w:rFonts w:ascii="Arial" w:cs="Arial" w:eastAsia="Arial" w:hAnsi="Arial"/>
                <w:sz w:val="15"/>
                <w:szCs w:val="15"/>
                <w:b w:val="1"/>
                <w:bCs w:val="1"/>
                <w:color w:val="auto"/>
              </w:rPr>
              <w:t>$</w:t>
            </w:r>
          </w:p>
        </w:tc>
        <w:tc>
          <w:tcPr>
            <w:tcW w:w="480" w:type="dxa"/>
            <w:vAlign w:val="bottom"/>
            <w:shd w:val="clear" w:color="auto" w:fill="CCEEFF"/>
          </w:tcPr>
          <w:p>
            <w:pPr>
              <w:jc w:val="right"/>
              <w:ind w:right="83"/>
              <w:spacing w:after="0"/>
              <w:rPr>
                <w:sz w:val="20"/>
                <w:szCs w:val="20"/>
                <w:color w:val="auto"/>
              </w:rPr>
            </w:pPr>
            <w:r>
              <w:rPr>
                <w:rFonts w:ascii="Arial" w:cs="Arial" w:eastAsia="Arial" w:hAnsi="Arial"/>
                <w:sz w:val="15"/>
                <w:szCs w:val="15"/>
                <w:b w:val="1"/>
                <w:bCs w:val="1"/>
                <w:color w:val="auto"/>
              </w:rPr>
              <w:t>75</w:t>
            </w:r>
          </w:p>
        </w:tc>
        <w:tc>
          <w:tcPr>
            <w:tcW w:w="48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w:t>
            </w:r>
          </w:p>
        </w:tc>
      </w:tr>
      <w:tr>
        <w:trPr>
          <w:trHeight w:val="182"/>
        </w:trPr>
        <w:tc>
          <w:tcPr>
            <w:tcW w:w="43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 Change</w:t>
            </w:r>
          </w:p>
        </w:tc>
        <w:tc>
          <w:tcPr>
            <w:tcW w:w="2760" w:type="dxa"/>
            <w:vAlign w:val="bottom"/>
            <w:tcBorders>
              <w:bottom w:val="single" w:sz="8" w:color="auto"/>
            </w:tcBorders>
          </w:tcPr>
          <w:p>
            <w:pPr>
              <w:jc w:val="right"/>
              <w:ind w:right="683"/>
              <w:spacing w:after="0"/>
              <w:rPr>
                <w:sz w:val="20"/>
                <w:szCs w:val="20"/>
                <w:color w:val="auto"/>
              </w:rPr>
            </w:pPr>
            <w:r>
              <w:rPr>
                <w:rFonts w:ascii="Arial" w:cs="Arial" w:eastAsia="Arial" w:hAnsi="Arial"/>
                <w:sz w:val="15"/>
                <w:szCs w:val="15"/>
                <w:b w:val="1"/>
                <w:bCs w:val="1"/>
                <w:color w:val="auto"/>
              </w:rPr>
              <w:t>$</w:t>
            </w:r>
          </w:p>
        </w:tc>
        <w:tc>
          <w:tcPr>
            <w:tcW w:w="48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rPr>
              <w:t>10</w:t>
            </w:r>
          </w:p>
        </w:tc>
        <w:tc>
          <w:tcPr>
            <w:tcW w:w="4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r>
    </w:tbl>
    <w:p>
      <w:pPr>
        <w:spacing w:after="0" w:line="116"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Capital expenditures were $10 million higher than the prior year. The increase was due to increased spending on corporate technology projects and cash payments related to the 2016 capital program. The Company’s full-year capital spending is expected to be approximately $274 million, which includes $195 million related to the remodeling or relocation of approximately 190 existing stores and the opening of approximately 90 new stores, as well as $79 million for the development of information systems, websites, and infrastructure.</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Financing Activities</w:t>
      </w:r>
    </w:p>
    <w:p>
      <w:pPr>
        <w:spacing w:after="0" w:line="263" w:lineRule="exact"/>
        <w:rPr>
          <w:sz w:val="20"/>
          <w:szCs w:val="20"/>
          <w:color w:val="auto"/>
        </w:rPr>
      </w:pPr>
    </w:p>
    <w:p>
      <w:pPr>
        <w:ind w:left="6800"/>
        <w:spacing w:after="0"/>
        <w:rPr>
          <w:sz w:val="20"/>
          <w:szCs w:val="20"/>
          <w:color w:val="auto"/>
        </w:rPr>
      </w:pPr>
      <w:r>
        <w:rPr>
          <w:rFonts w:ascii="Arial" w:cs="Arial" w:eastAsia="Arial" w:hAnsi="Arial"/>
          <w:sz w:val="15"/>
          <w:szCs w:val="15"/>
          <w:b w:val="1"/>
          <w:bCs w:val="1"/>
          <w:color w:val="auto"/>
        </w:rPr>
        <w:t>Thirteen weeks ended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4360" w:type="dxa"/>
            <w:vAlign w:val="bottom"/>
            <w:tcBorders>
              <w:top w:val="single" w:sz="8" w:color="auto"/>
            </w:tcBorders>
          </w:tcPr>
          <w:p>
            <w:pPr>
              <w:spacing w:after="0"/>
              <w:rPr>
                <w:sz w:val="12"/>
                <w:szCs w:val="12"/>
                <w:color w:val="auto"/>
              </w:rPr>
            </w:pPr>
          </w:p>
        </w:tc>
        <w:tc>
          <w:tcPr>
            <w:tcW w:w="276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5"/>
                <w:szCs w:val="15"/>
                <w:b w:val="1"/>
                <w:bCs w:val="1"/>
                <w:color w:val="auto"/>
              </w:rPr>
              <w:t>April 29,</w:t>
            </w:r>
          </w:p>
        </w:tc>
        <w:tc>
          <w:tcPr>
            <w:tcW w:w="5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center"/>
              <w:ind w:right="263"/>
              <w:spacing w:after="0" w:line="139" w:lineRule="exact"/>
              <w:rPr>
                <w:sz w:val="20"/>
                <w:szCs w:val="20"/>
                <w:color w:val="auto"/>
              </w:rPr>
            </w:pPr>
            <w:r>
              <w:rPr>
                <w:rFonts w:ascii="Arial" w:cs="Arial" w:eastAsia="Arial" w:hAnsi="Arial"/>
                <w:sz w:val="15"/>
                <w:szCs w:val="15"/>
                <w:b w:val="1"/>
                <w:bCs w:val="1"/>
                <w:color w:val="auto"/>
              </w:rPr>
              <w:t>April 30,</w:t>
            </w:r>
          </w:p>
        </w:tc>
      </w:tr>
      <w:tr>
        <w:trPr>
          <w:trHeight w:val="194"/>
        </w:trPr>
        <w:tc>
          <w:tcPr>
            <w:tcW w:w="436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rPr>
              <w:t>2017</w:t>
            </w:r>
          </w:p>
        </w:tc>
        <w:tc>
          <w:tcPr>
            <w:tcW w:w="5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23"/>
              <w:spacing w:after="0"/>
              <w:rPr>
                <w:sz w:val="20"/>
                <w:szCs w:val="20"/>
                <w:color w:val="auto"/>
              </w:rPr>
            </w:pPr>
            <w:r>
              <w:rPr>
                <w:rFonts w:ascii="Arial" w:cs="Arial" w:eastAsia="Arial" w:hAnsi="Arial"/>
                <w:sz w:val="15"/>
                <w:szCs w:val="15"/>
                <w:b w:val="1"/>
                <w:bCs w:val="1"/>
                <w:color w:val="auto"/>
              </w:rPr>
              <w:t>2016</w:t>
            </w:r>
          </w:p>
        </w:tc>
      </w:tr>
      <w:tr>
        <w:trPr>
          <w:trHeight w:val="187"/>
        </w:trPr>
        <w:tc>
          <w:tcPr>
            <w:tcW w:w="436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 in millions)</w:t>
            </w:r>
          </w:p>
        </w:tc>
        <w:tc>
          <w:tcPr>
            <w:tcW w:w="1020" w:type="dxa"/>
            <w:vAlign w:val="bottom"/>
          </w:tcPr>
          <w:p>
            <w:pPr>
              <w:spacing w:after="0"/>
              <w:rPr>
                <w:sz w:val="16"/>
                <w:szCs w:val="16"/>
                <w:color w:val="auto"/>
              </w:rPr>
            </w:pPr>
          </w:p>
        </w:tc>
      </w:tr>
      <w:tr>
        <w:trPr>
          <w:trHeight w:val="182"/>
        </w:trPr>
        <w:tc>
          <w:tcPr>
            <w:tcW w:w="4360" w:type="dxa"/>
            <w:vAlign w:val="bottom"/>
            <w:shd w:val="clear" w:color="auto" w:fill="CCEEFF"/>
          </w:tcPr>
          <w:p>
            <w:pPr>
              <w:spacing w:after="0"/>
              <w:rPr>
                <w:sz w:val="20"/>
                <w:szCs w:val="20"/>
                <w:color w:val="auto"/>
              </w:rPr>
            </w:pPr>
            <w:r>
              <w:rPr>
                <w:rFonts w:ascii="Arial" w:cs="Arial" w:eastAsia="Arial" w:hAnsi="Arial"/>
                <w:sz w:val="15"/>
                <w:szCs w:val="15"/>
                <w:color w:val="auto"/>
              </w:rPr>
              <w:t>Net cash used in financing activities</w:t>
            </w:r>
          </w:p>
        </w:tc>
        <w:tc>
          <w:tcPr>
            <w:tcW w:w="2760" w:type="dxa"/>
            <w:vAlign w:val="bottom"/>
            <w:shd w:val="clear" w:color="auto" w:fill="CCEEFF"/>
          </w:tcPr>
          <w:p>
            <w:pPr>
              <w:jc w:val="right"/>
              <w:ind w:right="683"/>
              <w:spacing w:after="0"/>
              <w:rPr>
                <w:sz w:val="20"/>
                <w:szCs w:val="20"/>
                <w:color w:val="auto"/>
              </w:rPr>
            </w:pPr>
            <w:r>
              <w:rPr>
                <w:rFonts w:ascii="Arial" w:cs="Arial" w:eastAsia="Arial" w:hAnsi="Arial"/>
                <w:sz w:val="15"/>
                <w:szCs w:val="15"/>
                <w:b w:val="1"/>
                <w:bCs w:val="1"/>
                <w:color w:val="auto"/>
              </w:rPr>
              <w:t>$</w:t>
            </w:r>
          </w:p>
        </w:tc>
        <w:tc>
          <w:tcPr>
            <w:tcW w:w="500" w:type="dxa"/>
            <w:vAlign w:val="bottom"/>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79</w:t>
            </w:r>
          </w:p>
        </w:tc>
        <w:tc>
          <w:tcPr>
            <w:tcW w:w="46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124</w:t>
            </w:r>
          </w:p>
        </w:tc>
      </w:tr>
      <w:tr>
        <w:trPr>
          <w:trHeight w:val="182"/>
        </w:trPr>
        <w:tc>
          <w:tcPr>
            <w:tcW w:w="43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 Change</w:t>
            </w:r>
          </w:p>
        </w:tc>
        <w:tc>
          <w:tcPr>
            <w:tcW w:w="2760" w:type="dxa"/>
            <w:vAlign w:val="bottom"/>
            <w:tcBorders>
              <w:bottom w:val="single" w:sz="8" w:color="auto"/>
            </w:tcBorders>
          </w:tcPr>
          <w:p>
            <w:pPr>
              <w:jc w:val="right"/>
              <w:ind w:right="683"/>
              <w:spacing w:after="0"/>
              <w:rPr>
                <w:sz w:val="20"/>
                <w:szCs w:val="20"/>
                <w:color w:val="auto"/>
              </w:rPr>
            </w:pPr>
            <w:r>
              <w:rPr>
                <w:rFonts w:ascii="Arial" w:cs="Arial" w:eastAsia="Arial" w:hAnsi="Arial"/>
                <w:sz w:val="15"/>
                <w:szCs w:val="15"/>
                <w:b w:val="1"/>
                <w:bCs w:val="1"/>
                <w:color w:val="auto"/>
              </w:rPr>
              <w:t>$</w:t>
            </w:r>
          </w:p>
        </w:tc>
        <w:tc>
          <w:tcPr>
            <w:tcW w:w="50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rPr>
              <w:t>(45)</w:t>
            </w:r>
          </w:p>
        </w:tc>
        <w:tc>
          <w:tcPr>
            <w:tcW w:w="4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r>
    </w:tbl>
    <w:p>
      <w:pPr>
        <w:spacing w:after="0" w:line="128" w:lineRule="exact"/>
        <w:rPr>
          <w:sz w:val="20"/>
          <w:szCs w:val="20"/>
          <w:color w:val="auto"/>
        </w:rPr>
      </w:pPr>
    </w:p>
    <w:p>
      <w:pPr>
        <w:jc w:val="both"/>
        <w:spacing w:after="0" w:line="239" w:lineRule="auto"/>
        <w:rPr>
          <w:sz w:val="20"/>
          <w:szCs w:val="20"/>
          <w:color w:val="auto"/>
        </w:rPr>
      </w:pPr>
      <w:r>
        <w:rPr>
          <w:rFonts w:ascii="Arial" w:cs="Arial" w:eastAsia="Arial" w:hAnsi="Arial"/>
          <w:sz w:val="15"/>
          <w:szCs w:val="15"/>
          <w:color w:val="auto"/>
        </w:rPr>
        <w:t>During the thirteen weeks ended April 29, 2017, we repurchased 546,100 shares of our common stock for $38 million, as compared with 1,371,174 shares repurchased for $88 million in the corresponding prior-year period. The Company declared and paid dividends during the first quarter of 2017 and 2016 of $41 million and $37 million, respectively. This represented quarterly rates of $0.31 and $0.275 per share for 2017 and 2016, respectively. Additionally, we received proceeds from the issuance of common stock in connection with employee stock programs of $9 million and $7 million for the thirteen weeks ended April 29, 2017 and April 30, 2016, respectively. Also, during the thirteen weeks ended April 29, 2017 and April 30, 2016, the Company paid $9 million and $6 million, respectively, in order to satisfy tax withholding obligations relating to the vesting of share-based equity awards.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Critical Accounting Policies and Estimates</w:t>
      </w:r>
    </w:p>
    <w:p>
      <w:pPr>
        <w:spacing w:after="0" w:line="186"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 xml:space="preserve">There have been no significant changes to our critical accounting policies and estimates, other than the adoption of Accounting Standards Update (“ASU”) 2016-09 as described in Item 1. “Financial Statements” in Note 1, </w:t>
      </w:r>
      <w:r>
        <w:rPr>
          <w:rFonts w:ascii="Arial" w:cs="Arial" w:eastAsia="Arial" w:hAnsi="Arial"/>
          <w:sz w:val="15"/>
          <w:szCs w:val="15"/>
          <w:i w:val="1"/>
          <w:iCs w:val="1"/>
          <w:color w:val="auto"/>
        </w:rPr>
        <w:t>Summary of Significant Accounting</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Policies, </w:t>
      </w:r>
      <w:r>
        <w:rPr>
          <w:rFonts w:ascii="Arial" w:cs="Arial" w:eastAsia="Arial" w:hAnsi="Arial"/>
          <w:sz w:val="15"/>
          <w:szCs w:val="15"/>
          <w:color w:val="auto"/>
        </w:rPr>
        <w:t>as compared with the information provided in Item 7, “Management’s Discussion and Analysis of Financial Condition and</w:t>
      </w:r>
      <w:r>
        <w:rPr>
          <w:rFonts w:ascii="Arial" w:cs="Arial" w:eastAsia="Arial" w:hAnsi="Arial"/>
          <w:sz w:val="15"/>
          <w:szCs w:val="15"/>
          <w:i w:val="1"/>
          <w:iCs w:val="1"/>
          <w:color w:val="auto"/>
        </w:rPr>
        <w:t xml:space="preserve"> </w:t>
      </w:r>
      <w:r>
        <w:rPr>
          <w:rFonts w:ascii="Arial" w:cs="Arial" w:eastAsia="Arial" w:hAnsi="Arial"/>
          <w:sz w:val="15"/>
          <w:szCs w:val="15"/>
          <w:color w:val="auto"/>
        </w:rPr>
        <w:t>Results of Operations,” included in the Annual Report on Form 10-K for the fiscal year ended January 28, 2017.</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5817870" cy="482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313" w:right="1399" w:bottom="1440" w:gutter="0" w:footer="0" w:header="0"/>
        </w:sectPr>
      </w:pPr>
    </w:p>
    <w:bookmarkStart w:id="24" w:name="page25"/>
    <w:bookmarkEnd w:id="24"/>
    <w:p>
      <w:pPr>
        <w:spacing w:after="0"/>
        <w:rPr>
          <w:sz w:val="20"/>
          <w:szCs w:val="20"/>
          <w:color w:val="auto"/>
        </w:rPr>
      </w:pPr>
      <w:r>
        <w:rPr>
          <w:rFonts w:ascii="Arial" w:cs="Arial" w:eastAsia="Arial" w:hAnsi="Arial"/>
          <w:sz w:val="15"/>
          <w:szCs w:val="15"/>
          <w:b w:val="1"/>
          <w:bCs w:val="1"/>
          <w:color w:val="auto"/>
        </w:rPr>
        <w:t>Recent Accounting Pronouncements</w:t>
      </w:r>
    </w:p>
    <w:p>
      <w:pPr>
        <w:spacing w:after="0" w:line="162"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 xml:space="preserve">Descriptions of the recently issued and adopted accounting principles are included Item 1. “Financial Statements” in Note 1, </w:t>
      </w:r>
      <w:r>
        <w:rPr>
          <w:rFonts w:ascii="Arial" w:cs="Arial" w:eastAsia="Arial" w:hAnsi="Arial"/>
          <w:sz w:val="15"/>
          <w:szCs w:val="15"/>
          <w:i w:val="1"/>
          <w:iCs w:val="1"/>
          <w:color w:val="auto"/>
        </w:rPr>
        <w:t>Summary of Significant Accounting Policies</w:t>
      </w:r>
      <w:r>
        <w:rPr>
          <w:rFonts w:ascii="Arial" w:cs="Arial" w:eastAsia="Arial" w:hAnsi="Arial"/>
          <w:sz w:val="15"/>
          <w:szCs w:val="15"/>
          <w:color w:val="auto"/>
        </w:rPr>
        <w:t>, to the Condensed Consolidated Financial Statements.</w:t>
      </w:r>
    </w:p>
    <w:p>
      <w:pPr>
        <w:spacing w:after="0" w:line="6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Item 4. Controls and Procedures</w:t>
      </w:r>
    </w:p>
    <w:p>
      <w:pPr>
        <w:spacing w:after="0" w:line="162" w:lineRule="exact"/>
        <w:rPr>
          <w:sz w:val="20"/>
          <w:szCs w:val="20"/>
          <w:color w:val="auto"/>
        </w:rPr>
      </w:pPr>
    </w:p>
    <w:p>
      <w:pPr>
        <w:jc w:val="both"/>
        <w:spacing w:after="0" w:line="239" w:lineRule="auto"/>
        <w:rPr>
          <w:sz w:val="20"/>
          <w:szCs w:val="20"/>
          <w:color w:val="auto"/>
        </w:rPr>
      </w:pPr>
      <w:r>
        <w:rPr>
          <w:rFonts w:ascii="Arial" w:cs="Arial" w:eastAsia="Arial" w:hAnsi="Arial"/>
          <w:sz w:val="15"/>
          <w:szCs w:val="15"/>
          <w:color w:val="auto"/>
        </w:rPr>
        <w:t>The Company’s management performed an evaluation under the supervision and with the participation of the Company’s Chief Executive Officer (“CEO”) and Chief Financial Officer (“CFO”), and completed an evaluation as of April 29, 2017 of the effectiveness of the design and operation of the Company’s disclosure controls and procedures (as that term is defined in Rules 13a-15(e) and 15d-15(e) under the Securities Exchange Act of 1934, as amended (the “Exchange Act”)). Based on that evaluation, the Company’s CEO and CFO concluded that the Company’s disclosure controls and procedures were effective to ensure that information relating to the Company that is required to be disclosed in the reports that we file or submit under the Exchange Act is recorded, processed, summarized and reported, within the time periods specified in the SEC rules and forms, and is accumulated and communicated to management, including the CEO and CFO, as appropriate to allow timely decisions regarding required disclosure.</w:t>
      </w:r>
    </w:p>
    <w:p>
      <w:pPr>
        <w:spacing w:after="0" w:line="134"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During the quarter ended April 29, 2017, there were no changes in the Company’s internal control over financial reporting (as defined in Rules 13a-15(f) of the Exchange Act) that materially affected or are reasonably likely to affect the Company’s internal control over financial reporting.</w:t>
      </w:r>
    </w:p>
    <w:p>
      <w:pPr>
        <w:spacing w:after="0" w:line="8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PART II - OTHER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Item 1. Legal Proceedings</w:t>
      </w:r>
    </w:p>
    <w:p>
      <w:pPr>
        <w:spacing w:after="0" w:line="170"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 xml:space="preserve">Information regarding the Company’s legal proceedings is contained in the </w:t>
      </w:r>
      <w:r>
        <w:rPr>
          <w:rFonts w:ascii="Arial" w:cs="Arial" w:eastAsia="Arial" w:hAnsi="Arial"/>
          <w:sz w:val="15"/>
          <w:szCs w:val="15"/>
          <w:i w:val="1"/>
          <w:iCs w:val="1"/>
          <w:color w:val="auto"/>
        </w:rPr>
        <w:t>Legal Proceedings</w:t>
      </w:r>
      <w:r>
        <w:rPr>
          <w:rFonts w:ascii="Arial" w:cs="Arial" w:eastAsia="Arial" w:hAnsi="Arial"/>
          <w:sz w:val="15"/>
          <w:szCs w:val="15"/>
          <w:color w:val="auto"/>
        </w:rPr>
        <w:t xml:space="preserve"> note under Item 1. “Financial Statements.”</w:t>
      </w:r>
    </w:p>
    <w:p>
      <w:pPr>
        <w:spacing w:after="0" w:line="29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Item 1A. Risk Factors</w:t>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color w:val="auto"/>
        </w:rPr>
        <w:t>There were no material changes to the risk factors disclosed in the 2016 Annual Report on Form 10-K.</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Item 2. Unregistered Sales of Equity Securities and Use of Proceeds</w:t>
      </w:r>
    </w:p>
    <w:p>
      <w:pPr>
        <w:spacing w:after="0" w:line="125"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The following table provides information with respect to shares of the Company’s common stock that the Company repurchased during the thirteen weeks ended April 29, 2017:</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1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jc w:val="center"/>
              <w:ind w:right="143"/>
              <w:spacing w:after="0"/>
              <w:rPr>
                <w:sz w:val="20"/>
                <w:szCs w:val="20"/>
                <w:color w:val="auto"/>
              </w:rPr>
            </w:pPr>
            <w:r>
              <w:rPr>
                <w:rFonts w:ascii="Arial" w:cs="Arial" w:eastAsia="Arial" w:hAnsi="Arial"/>
                <w:sz w:val="15"/>
                <w:szCs w:val="15"/>
                <w:b w:val="1"/>
                <w:bCs w:val="1"/>
                <w:color w:val="auto"/>
              </w:rPr>
              <w:t>Approximate</w:t>
            </w:r>
          </w:p>
        </w:tc>
      </w:tr>
      <w:tr>
        <w:trPr>
          <w:trHeight w:val="182"/>
        </w:trPr>
        <w:tc>
          <w:tcPr>
            <w:tcW w:w="21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80" w:type="dxa"/>
            <w:vAlign w:val="bottom"/>
          </w:tcPr>
          <w:p>
            <w:pPr>
              <w:jc w:val="center"/>
              <w:ind w:right="23"/>
              <w:spacing w:after="0"/>
              <w:rPr>
                <w:sz w:val="20"/>
                <w:szCs w:val="20"/>
                <w:color w:val="auto"/>
              </w:rPr>
            </w:pPr>
            <w:r>
              <w:rPr>
                <w:rFonts w:ascii="Arial" w:cs="Arial" w:eastAsia="Arial" w:hAnsi="Arial"/>
                <w:sz w:val="15"/>
                <w:szCs w:val="15"/>
                <w:b w:val="1"/>
                <w:bCs w:val="1"/>
                <w:color w:val="auto"/>
              </w:rPr>
              <w:t>Total Number of</w:t>
            </w:r>
          </w:p>
        </w:tc>
        <w:tc>
          <w:tcPr>
            <w:tcW w:w="260" w:type="dxa"/>
            <w:vAlign w:val="bottom"/>
          </w:tcPr>
          <w:p>
            <w:pPr>
              <w:spacing w:after="0"/>
              <w:rPr>
                <w:sz w:val="15"/>
                <w:szCs w:val="15"/>
                <w:color w:val="auto"/>
              </w:rPr>
            </w:pPr>
          </w:p>
        </w:tc>
        <w:tc>
          <w:tcPr>
            <w:tcW w:w="1320" w:type="dxa"/>
            <w:vAlign w:val="bottom"/>
          </w:tcPr>
          <w:p>
            <w:pPr>
              <w:jc w:val="center"/>
              <w:ind w:right="123"/>
              <w:spacing w:after="0"/>
              <w:rPr>
                <w:sz w:val="20"/>
                <w:szCs w:val="20"/>
                <w:color w:val="auto"/>
              </w:rPr>
            </w:pPr>
            <w:r>
              <w:rPr>
                <w:rFonts w:ascii="Arial" w:cs="Arial" w:eastAsia="Arial" w:hAnsi="Arial"/>
                <w:sz w:val="15"/>
                <w:szCs w:val="15"/>
                <w:b w:val="1"/>
                <w:bCs w:val="1"/>
                <w:color w:val="auto"/>
              </w:rPr>
              <w:t>Dollar Value of</w:t>
            </w:r>
          </w:p>
        </w:tc>
      </w:tr>
      <w:tr>
        <w:trPr>
          <w:trHeight w:val="182"/>
        </w:trPr>
        <w:tc>
          <w:tcPr>
            <w:tcW w:w="2180" w:type="dxa"/>
            <w:vAlign w:val="bottom"/>
          </w:tcPr>
          <w:p>
            <w:pPr>
              <w:spacing w:after="0"/>
              <w:rPr>
                <w:sz w:val="15"/>
                <w:szCs w:val="15"/>
                <w:color w:val="auto"/>
              </w:rPr>
            </w:pPr>
          </w:p>
        </w:tc>
        <w:tc>
          <w:tcPr>
            <w:tcW w:w="1780" w:type="dxa"/>
            <w:vAlign w:val="bottom"/>
          </w:tcPr>
          <w:p>
            <w:pPr>
              <w:jc w:val="center"/>
              <w:ind w:left="263"/>
              <w:spacing w:after="0"/>
              <w:rPr>
                <w:sz w:val="20"/>
                <w:szCs w:val="20"/>
                <w:color w:val="auto"/>
              </w:rPr>
            </w:pPr>
            <w:r>
              <w:rPr>
                <w:rFonts w:ascii="Arial" w:cs="Arial" w:eastAsia="Arial" w:hAnsi="Arial"/>
                <w:sz w:val="15"/>
                <w:szCs w:val="15"/>
                <w:b w:val="1"/>
                <w:bCs w:val="1"/>
                <w:color w:val="auto"/>
              </w:rPr>
              <w:t>Total</w:t>
            </w:r>
          </w:p>
        </w:tc>
        <w:tc>
          <w:tcPr>
            <w:tcW w:w="340" w:type="dxa"/>
            <w:vAlign w:val="bottom"/>
          </w:tcPr>
          <w:p>
            <w:pPr>
              <w:spacing w:after="0"/>
              <w:rPr>
                <w:sz w:val="15"/>
                <w:szCs w:val="15"/>
                <w:color w:val="auto"/>
              </w:rPr>
            </w:pPr>
          </w:p>
        </w:tc>
        <w:tc>
          <w:tcPr>
            <w:tcW w:w="1140" w:type="dxa"/>
            <w:vAlign w:val="bottom"/>
          </w:tcPr>
          <w:p>
            <w:pPr>
              <w:jc w:val="center"/>
              <w:ind w:right="343"/>
              <w:spacing w:after="0"/>
              <w:rPr>
                <w:sz w:val="20"/>
                <w:szCs w:val="20"/>
                <w:color w:val="auto"/>
              </w:rPr>
            </w:pPr>
            <w:r>
              <w:rPr>
                <w:rFonts w:ascii="Arial" w:cs="Arial" w:eastAsia="Arial" w:hAnsi="Arial"/>
                <w:sz w:val="15"/>
                <w:szCs w:val="15"/>
                <w:b w:val="1"/>
                <w:bCs w:val="1"/>
                <w:color w:val="auto"/>
              </w:rPr>
              <w:t>Average</w:t>
            </w:r>
          </w:p>
        </w:tc>
        <w:tc>
          <w:tcPr>
            <w:tcW w:w="2080" w:type="dxa"/>
            <w:vAlign w:val="bottom"/>
          </w:tcPr>
          <w:p>
            <w:pPr>
              <w:jc w:val="center"/>
              <w:ind w:right="43"/>
              <w:spacing w:after="0"/>
              <w:rPr>
                <w:sz w:val="20"/>
                <w:szCs w:val="20"/>
                <w:color w:val="auto"/>
              </w:rPr>
            </w:pPr>
            <w:r>
              <w:rPr>
                <w:rFonts w:ascii="Arial" w:cs="Arial" w:eastAsia="Arial" w:hAnsi="Arial"/>
                <w:sz w:val="15"/>
                <w:szCs w:val="15"/>
                <w:b w:val="1"/>
                <w:bCs w:val="1"/>
                <w:color w:val="auto"/>
              </w:rPr>
              <w:t>Shares Purchased as</w:t>
            </w:r>
          </w:p>
        </w:tc>
        <w:tc>
          <w:tcPr>
            <w:tcW w:w="1580" w:type="dxa"/>
            <w:vAlign w:val="bottom"/>
            <w:gridSpan w:val="2"/>
          </w:tcPr>
          <w:p>
            <w:pPr>
              <w:jc w:val="center"/>
              <w:spacing w:after="0"/>
              <w:rPr>
                <w:sz w:val="20"/>
                <w:szCs w:val="20"/>
                <w:color w:val="auto"/>
              </w:rPr>
            </w:pPr>
            <w:r>
              <w:rPr>
                <w:rFonts w:ascii="Arial" w:cs="Arial" w:eastAsia="Arial" w:hAnsi="Arial"/>
                <w:sz w:val="15"/>
                <w:szCs w:val="15"/>
                <w:b w:val="1"/>
                <w:bCs w:val="1"/>
                <w:color w:val="auto"/>
              </w:rPr>
              <w:t>Shares that may</w:t>
            </w:r>
          </w:p>
        </w:tc>
      </w:tr>
      <w:tr>
        <w:trPr>
          <w:trHeight w:val="182"/>
        </w:trPr>
        <w:tc>
          <w:tcPr>
            <w:tcW w:w="2180" w:type="dxa"/>
            <w:vAlign w:val="bottom"/>
          </w:tcPr>
          <w:p>
            <w:pPr>
              <w:spacing w:after="0"/>
              <w:rPr>
                <w:sz w:val="15"/>
                <w:szCs w:val="15"/>
                <w:color w:val="auto"/>
              </w:rPr>
            </w:pPr>
          </w:p>
        </w:tc>
        <w:tc>
          <w:tcPr>
            <w:tcW w:w="1780" w:type="dxa"/>
            <w:vAlign w:val="bottom"/>
          </w:tcPr>
          <w:p>
            <w:pPr>
              <w:jc w:val="center"/>
              <w:ind w:left="243"/>
              <w:spacing w:after="0"/>
              <w:rPr>
                <w:sz w:val="20"/>
                <w:szCs w:val="20"/>
                <w:color w:val="auto"/>
              </w:rPr>
            </w:pPr>
            <w:r>
              <w:rPr>
                <w:rFonts w:ascii="Arial" w:cs="Arial" w:eastAsia="Arial" w:hAnsi="Arial"/>
                <w:sz w:val="15"/>
                <w:szCs w:val="15"/>
                <w:b w:val="1"/>
                <w:bCs w:val="1"/>
                <w:color w:val="auto"/>
              </w:rPr>
              <w:t>Number</w:t>
            </w:r>
          </w:p>
        </w:tc>
        <w:tc>
          <w:tcPr>
            <w:tcW w:w="340" w:type="dxa"/>
            <w:vAlign w:val="bottom"/>
          </w:tcPr>
          <w:p>
            <w:pPr>
              <w:spacing w:after="0"/>
              <w:rPr>
                <w:sz w:val="15"/>
                <w:szCs w:val="15"/>
                <w:color w:val="auto"/>
              </w:rPr>
            </w:pPr>
          </w:p>
        </w:tc>
        <w:tc>
          <w:tcPr>
            <w:tcW w:w="1140" w:type="dxa"/>
            <w:vAlign w:val="bottom"/>
          </w:tcPr>
          <w:p>
            <w:pPr>
              <w:jc w:val="center"/>
              <w:ind w:right="363"/>
              <w:spacing w:after="0"/>
              <w:rPr>
                <w:sz w:val="20"/>
                <w:szCs w:val="20"/>
                <w:color w:val="auto"/>
              </w:rPr>
            </w:pPr>
            <w:r>
              <w:rPr>
                <w:rFonts w:ascii="Arial" w:cs="Arial" w:eastAsia="Arial" w:hAnsi="Arial"/>
                <w:sz w:val="15"/>
                <w:szCs w:val="15"/>
                <w:b w:val="1"/>
                <w:bCs w:val="1"/>
                <w:color w:val="auto"/>
              </w:rPr>
              <w:t>Price</w:t>
            </w:r>
          </w:p>
        </w:tc>
        <w:tc>
          <w:tcPr>
            <w:tcW w:w="2080" w:type="dxa"/>
            <w:vAlign w:val="bottom"/>
          </w:tcPr>
          <w:p>
            <w:pPr>
              <w:jc w:val="center"/>
              <w:ind w:right="43"/>
              <w:spacing w:after="0"/>
              <w:rPr>
                <w:sz w:val="20"/>
                <w:szCs w:val="20"/>
                <w:color w:val="auto"/>
              </w:rPr>
            </w:pPr>
            <w:r>
              <w:rPr>
                <w:rFonts w:ascii="Arial" w:cs="Arial" w:eastAsia="Arial" w:hAnsi="Arial"/>
                <w:sz w:val="15"/>
                <w:szCs w:val="15"/>
                <w:b w:val="1"/>
                <w:bCs w:val="1"/>
                <w:color w:val="auto"/>
              </w:rPr>
              <w:t>Part of Publicly</w:t>
            </w:r>
          </w:p>
        </w:tc>
        <w:tc>
          <w:tcPr>
            <w:tcW w:w="1580" w:type="dxa"/>
            <w:vAlign w:val="bottom"/>
            <w:gridSpan w:val="2"/>
          </w:tcPr>
          <w:p>
            <w:pPr>
              <w:jc w:val="center"/>
              <w:spacing w:after="0"/>
              <w:rPr>
                <w:sz w:val="20"/>
                <w:szCs w:val="20"/>
                <w:color w:val="auto"/>
              </w:rPr>
            </w:pPr>
            <w:r>
              <w:rPr>
                <w:rFonts w:ascii="Arial" w:cs="Arial" w:eastAsia="Arial" w:hAnsi="Arial"/>
                <w:sz w:val="15"/>
                <w:szCs w:val="15"/>
                <w:b w:val="1"/>
                <w:bCs w:val="1"/>
                <w:color w:val="auto"/>
              </w:rPr>
              <w:t>yet be Purchased</w:t>
            </w:r>
          </w:p>
        </w:tc>
      </w:tr>
      <w:tr>
        <w:trPr>
          <w:trHeight w:val="195"/>
        </w:trPr>
        <w:tc>
          <w:tcPr>
            <w:tcW w:w="2180" w:type="dxa"/>
            <w:vAlign w:val="bottom"/>
          </w:tcPr>
          <w:p>
            <w:pPr>
              <w:spacing w:after="0"/>
              <w:rPr>
                <w:sz w:val="16"/>
                <w:szCs w:val="16"/>
                <w:color w:val="auto"/>
              </w:rPr>
            </w:pPr>
          </w:p>
        </w:tc>
        <w:tc>
          <w:tcPr>
            <w:tcW w:w="1780" w:type="dxa"/>
            <w:vAlign w:val="bottom"/>
          </w:tcPr>
          <w:p>
            <w:pPr>
              <w:jc w:val="center"/>
              <w:ind w:left="243"/>
              <w:spacing w:after="0"/>
              <w:rPr>
                <w:sz w:val="20"/>
                <w:szCs w:val="20"/>
                <w:color w:val="auto"/>
              </w:rPr>
            </w:pPr>
            <w:r>
              <w:rPr>
                <w:rFonts w:ascii="Arial" w:cs="Arial" w:eastAsia="Arial" w:hAnsi="Arial"/>
                <w:sz w:val="15"/>
                <w:szCs w:val="15"/>
                <w:b w:val="1"/>
                <w:bCs w:val="1"/>
                <w:color w:val="auto"/>
              </w:rPr>
              <w:t>of Shares</w:t>
            </w:r>
          </w:p>
        </w:tc>
        <w:tc>
          <w:tcPr>
            <w:tcW w:w="340" w:type="dxa"/>
            <w:vAlign w:val="bottom"/>
          </w:tcPr>
          <w:p>
            <w:pPr>
              <w:spacing w:after="0"/>
              <w:rPr>
                <w:sz w:val="16"/>
                <w:szCs w:val="16"/>
                <w:color w:val="auto"/>
              </w:rPr>
            </w:pPr>
          </w:p>
        </w:tc>
        <w:tc>
          <w:tcPr>
            <w:tcW w:w="1140" w:type="dxa"/>
            <w:vAlign w:val="bottom"/>
          </w:tcPr>
          <w:p>
            <w:pPr>
              <w:jc w:val="center"/>
              <w:ind w:right="363"/>
              <w:spacing w:after="0"/>
              <w:rPr>
                <w:sz w:val="20"/>
                <w:szCs w:val="20"/>
                <w:color w:val="auto"/>
              </w:rPr>
            </w:pPr>
            <w:r>
              <w:rPr>
                <w:rFonts w:ascii="Arial" w:cs="Arial" w:eastAsia="Arial" w:hAnsi="Arial"/>
                <w:sz w:val="15"/>
                <w:szCs w:val="15"/>
                <w:b w:val="1"/>
                <w:bCs w:val="1"/>
                <w:color w:val="auto"/>
              </w:rPr>
              <w:t>Paid Per</w:t>
            </w:r>
          </w:p>
        </w:tc>
        <w:tc>
          <w:tcPr>
            <w:tcW w:w="2080" w:type="dxa"/>
            <w:vAlign w:val="bottom"/>
          </w:tcPr>
          <w:p>
            <w:pPr>
              <w:jc w:val="center"/>
              <w:ind w:right="23"/>
              <w:spacing w:after="0"/>
              <w:rPr>
                <w:sz w:val="20"/>
                <w:szCs w:val="20"/>
                <w:color w:val="auto"/>
              </w:rPr>
            </w:pPr>
            <w:r>
              <w:rPr>
                <w:rFonts w:ascii="Arial" w:cs="Arial" w:eastAsia="Arial" w:hAnsi="Arial"/>
                <w:sz w:val="15"/>
                <w:szCs w:val="15"/>
                <w:b w:val="1"/>
                <w:bCs w:val="1"/>
                <w:color w:val="auto"/>
              </w:rPr>
              <w:t>Announced</w:t>
            </w:r>
          </w:p>
        </w:tc>
        <w:tc>
          <w:tcPr>
            <w:tcW w:w="260" w:type="dxa"/>
            <w:vAlign w:val="bottom"/>
          </w:tcPr>
          <w:p>
            <w:pPr>
              <w:spacing w:after="0"/>
              <w:rPr>
                <w:sz w:val="16"/>
                <w:szCs w:val="16"/>
                <w:color w:val="auto"/>
              </w:rPr>
            </w:pPr>
          </w:p>
        </w:tc>
        <w:tc>
          <w:tcPr>
            <w:tcW w:w="1320" w:type="dxa"/>
            <w:vAlign w:val="bottom"/>
          </w:tcPr>
          <w:p>
            <w:pPr>
              <w:jc w:val="center"/>
              <w:ind w:right="123"/>
              <w:spacing w:after="0"/>
              <w:rPr>
                <w:sz w:val="20"/>
                <w:szCs w:val="20"/>
                <w:color w:val="auto"/>
              </w:rPr>
            </w:pPr>
            <w:r>
              <w:rPr>
                <w:rFonts w:ascii="Arial" w:cs="Arial" w:eastAsia="Arial" w:hAnsi="Arial"/>
                <w:sz w:val="15"/>
                <w:szCs w:val="15"/>
                <w:b w:val="1"/>
                <w:bCs w:val="1"/>
                <w:color w:val="auto"/>
              </w:rPr>
              <w:t>Under the</w:t>
            </w:r>
          </w:p>
        </w:tc>
      </w:tr>
      <w:tr>
        <w:trPr>
          <w:trHeight w:val="194"/>
        </w:trPr>
        <w:tc>
          <w:tcPr>
            <w:tcW w:w="21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Date Purchased</w:t>
            </w:r>
          </w:p>
        </w:tc>
        <w:tc>
          <w:tcPr>
            <w:tcW w:w="1780" w:type="dxa"/>
            <w:vAlign w:val="bottom"/>
            <w:tcBorders>
              <w:bottom w:val="single" w:sz="8" w:color="auto"/>
            </w:tcBorders>
          </w:tcPr>
          <w:p>
            <w:pPr>
              <w:jc w:val="center"/>
              <w:ind w:left="263"/>
              <w:spacing w:after="0"/>
              <w:rPr>
                <w:sz w:val="20"/>
                <w:szCs w:val="20"/>
                <w:color w:val="auto"/>
              </w:rPr>
            </w:pPr>
            <w:r>
              <w:rPr>
                <w:rFonts w:ascii="Arial" w:cs="Arial" w:eastAsia="Arial" w:hAnsi="Arial"/>
                <w:sz w:val="15"/>
                <w:szCs w:val="15"/>
                <w:b w:val="1"/>
                <w:bCs w:val="1"/>
                <w:color w:val="auto"/>
              </w:rPr>
              <w:t xml:space="preserve">Purchased </w:t>
            </w:r>
            <w:r>
              <w:rPr>
                <w:rFonts w:ascii="Arial" w:cs="Arial" w:eastAsia="Arial" w:hAnsi="Arial"/>
                <w:sz w:val="8"/>
                <w:szCs w:val="8"/>
                <w:color w:val="auto"/>
              </w:rPr>
              <w:t>(1)</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383"/>
              <w:spacing w:after="0"/>
              <w:rPr>
                <w:sz w:val="20"/>
                <w:szCs w:val="20"/>
                <w:color w:val="auto"/>
              </w:rPr>
            </w:pPr>
            <w:r>
              <w:rPr>
                <w:rFonts w:ascii="Arial" w:cs="Arial" w:eastAsia="Arial" w:hAnsi="Arial"/>
                <w:sz w:val="15"/>
                <w:szCs w:val="15"/>
                <w:b w:val="1"/>
                <w:bCs w:val="1"/>
                <w:color w:val="auto"/>
              </w:rPr>
              <w:t xml:space="preserve">Share </w:t>
            </w:r>
            <w:r>
              <w:rPr>
                <w:rFonts w:ascii="Arial" w:cs="Arial" w:eastAsia="Arial" w:hAnsi="Arial"/>
                <w:sz w:val="8"/>
                <w:szCs w:val="8"/>
                <w:color w:val="auto"/>
              </w:rPr>
              <w:t>(1)</w:t>
            </w:r>
          </w:p>
        </w:tc>
        <w:tc>
          <w:tcPr>
            <w:tcW w:w="2080" w:type="dxa"/>
            <w:vAlign w:val="bottom"/>
            <w:tcBorders>
              <w:bottom w:val="single" w:sz="8" w:color="auto"/>
            </w:tcBorders>
          </w:tcPr>
          <w:p>
            <w:pPr>
              <w:jc w:val="center"/>
              <w:ind w:right="23"/>
              <w:spacing w:after="0"/>
              <w:rPr>
                <w:sz w:val="20"/>
                <w:szCs w:val="20"/>
                <w:color w:val="auto"/>
              </w:rPr>
            </w:pPr>
            <w:r>
              <w:rPr>
                <w:rFonts w:ascii="Arial" w:cs="Arial" w:eastAsia="Arial" w:hAnsi="Arial"/>
                <w:sz w:val="15"/>
                <w:szCs w:val="15"/>
                <w:b w:val="1"/>
                <w:bCs w:val="1"/>
                <w:color w:val="auto"/>
              </w:rPr>
              <w:t xml:space="preserve">Program </w:t>
            </w:r>
            <w:r>
              <w:rPr>
                <w:rFonts w:ascii="Arial" w:cs="Arial" w:eastAsia="Arial" w:hAnsi="Arial"/>
                <w:sz w:val="8"/>
                <w:szCs w:val="8"/>
                <w:color w:val="auto"/>
              </w:rPr>
              <w:t>(2)</w:t>
            </w: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43"/>
              <w:spacing w:after="0"/>
              <w:rPr>
                <w:sz w:val="20"/>
                <w:szCs w:val="20"/>
                <w:color w:val="auto"/>
              </w:rPr>
            </w:pPr>
            <w:r>
              <w:rPr>
                <w:rFonts w:ascii="Arial" w:cs="Arial" w:eastAsia="Arial" w:hAnsi="Arial"/>
                <w:sz w:val="15"/>
                <w:szCs w:val="15"/>
                <w:b w:val="1"/>
                <w:bCs w:val="1"/>
                <w:color w:val="auto"/>
              </w:rPr>
              <w:t xml:space="preserve">Program </w:t>
            </w:r>
            <w:r>
              <w:rPr>
                <w:rFonts w:ascii="Arial" w:cs="Arial" w:eastAsia="Arial" w:hAnsi="Arial"/>
                <w:sz w:val="8"/>
                <w:szCs w:val="8"/>
                <w:color w:val="auto"/>
              </w:rPr>
              <w:t>(2)</w:t>
            </w:r>
          </w:p>
        </w:tc>
      </w:tr>
      <w:tr>
        <w:trPr>
          <w:trHeight w:val="187"/>
        </w:trPr>
        <w:tc>
          <w:tcPr>
            <w:tcW w:w="2180" w:type="dxa"/>
            <w:vAlign w:val="bottom"/>
            <w:shd w:val="clear" w:color="auto" w:fill="CCEEFF"/>
          </w:tcPr>
          <w:p>
            <w:pPr>
              <w:spacing w:after="0"/>
              <w:rPr>
                <w:sz w:val="20"/>
                <w:szCs w:val="20"/>
                <w:color w:val="auto"/>
              </w:rPr>
            </w:pPr>
            <w:r>
              <w:rPr>
                <w:rFonts w:ascii="Arial" w:cs="Arial" w:eastAsia="Arial" w:hAnsi="Arial"/>
                <w:sz w:val="15"/>
                <w:szCs w:val="15"/>
                <w:color w:val="auto"/>
              </w:rPr>
              <w:t>Jan. 29 - Feb. 25, 2017</w:t>
            </w:r>
          </w:p>
        </w:tc>
        <w:tc>
          <w:tcPr>
            <w:tcW w:w="17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548,288</w:t>
            </w: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69.77</w:t>
            </w:r>
          </w:p>
        </w:tc>
        <w:tc>
          <w:tcPr>
            <w:tcW w:w="20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546,100</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1,187,297,610</w:t>
            </w:r>
          </w:p>
        </w:tc>
      </w:tr>
      <w:tr>
        <w:trPr>
          <w:trHeight w:val="207"/>
        </w:trPr>
        <w:tc>
          <w:tcPr>
            <w:tcW w:w="2180" w:type="dxa"/>
            <w:vAlign w:val="bottom"/>
          </w:tcPr>
          <w:p>
            <w:pPr>
              <w:spacing w:after="0"/>
              <w:rPr>
                <w:sz w:val="20"/>
                <w:szCs w:val="20"/>
                <w:color w:val="auto"/>
              </w:rPr>
            </w:pPr>
            <w:r>
              <w:rPr>
                <w:rFonts w:ascii="Arial" w:cs="Arial" w:eastAsia="Arial" w:hAnsi="Arial"/>
                <w:sz w:val="15"/>
                <w:szCs w:val="15"/>
                <w:color w:val="auto"/>
              </w:rPr>
              <w:t>Feb. 26 - Apr. 1, 2017</w:t>
            </w:r>
          </w:p>
        </w:tc>
        <w:tc>
          <w:tcPr>
            <w:tcW w:w="1780" w:type="dxa"/>
            <w:vAlign w:val="bottom"/>
          </w:tcPr>
          <w:p>
            <w:pPr>
              <w:jc w:val="right"/>
              <w:ind w:right="123"/>
              <w:spacing w:after="0"/>
              <w:rPr>
                <w:sz w:val="20"/>
                <w:szCs w:val="20"/>
                <w:color w:val="auto"/>
              </w:rPr>
            </w:pPr>
            <w:r>
              <w:rPr>
                <w:rFonts w:ascii="Arial" w:cs="Arial" w:eastAsia="Arial" w:hAnsi="Arial"/>
                <w:sz w:val="15"/>
                <w:szCs w:val="15"/>
                <w:color w:val="auto"/>
              </w:rPr>
              <w:t>123,012</w:t>
            </w:r>
          </w:p>
        </w:tc>
        <w:tc>
          <w:tcPr>
            <w:tcW w:w="340" w:type="dxa"/>
            <w:vAlign w:val="bottom"/>
          </w:tcPr>
          <w:p>
            <w:pPr>
              <w:spacing w:after="0"/>
              <w:rPr>
                <w:sz w:val="17"/>
                <w:szCs w:val="17"/>
                <w:color w:val="auto"/>
              </w:rPr>
            </w:pPr>
          </w:p>
        </w:tc>
        <w:tc>
          <w:tcPr>
            <w:tcW w:w="1140" w:type="dxa"/>
            <w:vAlign w:val="bottom"/>
          </w:tcPr>
          <w:p>
            <w:pPr>
              <w:jc w:val="right"/>
              <w:ind w:right="123"/>
              <w:spacing w:after="0"/>
              <w:rPr>
                <w:sz w:val="20"/>
                <w:szCs w:val="20"/>
                <w:color w:val="auto"/>
              </w:rPr>
            </w:pPr>
            <w:r>
              <w:rPr>
                <w:rFonts w:ascii="Arial" w:cs="Arial" w:eastAsia="Arial" w:hAnsi="Arial"/>
                <w:sz w:val="15"/>
                <w:szCs w:val="15"/>
                <w:color w:val="auto"/>
              </w:rPr>
              <w:t>72.83</w:t>
            </w:r>
          </w:p>
        </w:tc>
        <w:tc>
          <w:tcPr>
            <w:tcW w:w="208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1,187,297,610</w:t>
            </w:r>
          </w:p>
        </w:tc>
      </w:tr>
      <w:tr>
        <w:trPr>
          <w:trHeight w:val="207"/>
        </w:trPr>
        <w:tc>
          <w:tcPr>
            <w:tcW w:w="2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Apr. 2 - Apr. 29, 2017</w:t>
            </w:r>
          </w:p>
        </w:tc>
        <w:tc>
          <w:tcPr>
            <w:tcW w:w="178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23</w:t>
            </w: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72.09</w:t>
            </w:r>
          </w:p>
        </w:tc>
        <w:tc>
          <w:tcPr>
            <w:tcW w:w="20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1,187,297,610</w:t>
            </w:r>
          </w:p>
        </w:tc>
      </w:tr>
      <w:tr>
        <w:trPr>
          <w:trHeight w:val="187"/>
        </w:trPr>
        <w:tc>
          <w:tcPr>
            <w:tcW w:w="21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671,323</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70.33</w:t>
            </w:r>
          </w:p>
        </w:tc>
        <w:tc>
          <w:tcPr>
            <w:tcW w:w="208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546,100</w:t>
            </w: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r>
    </w:tbl>
    <w:p>
      <w:pPr>
        <w:spacing w:after="0" w:line="109" w:lineRule="exact"/>
        <w:rPr>
          <w:sz w:val="20"/>
          <w:szCs w:val="20"/>
          <w:color w:val="auto"/>
        </w:rPr>
      </w:pPr>
    </w:p>
    <w:p>
      <w:pPr>
        <w:jc w:val="both"/>
        <w:ind w:left="840" w:right="20" w:hanging="642"/>
        <w:spacing w:after="0" w:line="239" w:lineRule="auto"/>
        <w:tabs>
          <w:tab w:leader="none" w:pos="840" w:val="left"/>
        </w:tabs>
        <w:numPr>
          <w:ilvl w:val="0"/>
          <w:numId w:val="8"/>
        </w:numPr>
        <w:rPr>
          <w:rFonts w:ascii="Arial" w:cs="Arial" w:eastAsia="Arial" w:hAnsi="Arial"/>
          <w:sz w:val="11"/>
          <w:szCs w:val="11"/>
          <w:color w:val="auto"/>
        </w:rPr>
      </w:pPr>
      <w:r>
        <w:rPr>
          <w:rFonts w:ascii="Arial" w:cs="Arial" w:eastAsia="Arial" w:hAnsi="Arial"/>
          <w:sz w:val="12"/>
          <w:szCs w:val="12"/>
          <w:color w:val="auto"/>
        </w:rPr>
        <w:t>These columns also reflect shares acquired in satisfaction of the tax withholding obligations of holders of restricted stock units and restricted stock awards which vested during the quarter, as well as shares repurchased pursuant to Rule 10b5-1 under the Securities Exchange Act of 1934. The calculation of the average price paid per share includes all fees, commissions, and other costs associated with the repurchase of such shares.</w:t>
      </w:r>
    </w:p>
    <w:p>
      <w:pPr>
        <w:spacing w:after="0" w:line="98" w:lineRule="exact"/>
        <w:rPr>
          <w:rFonts w:ascii="Arial" w:cs="Arial" w:eastAsia="Arial" w:hAnsi="Arial"/>
          <w:sz w:val="11"/>
          <w:szCs w:val="11"/>
          <w:color w:val="auto"/>
        </w:rPr>
      </w:pPr>
    </w:p>
    <w:p>
      <w:pPr>
        <w:jc w:val="both"/>
        <w:ind w:left="840" w:right="20" w:hanging="642"/>
        <w:spacing w:after="0" w:line="238" w:lineRule="auto"/>
        <w:tabs>
          <w:tab w:leader="none" w:pos="840" w:val="left"/>
        </w:tabs>
        <w:numPr>
          <w:ilvl w:val="0"/>
          <w:numId w:val="8"/>
        </w:numPr>
        <w:rPr>
          <w:rFonts w:ascii="Arial" w:cs="Arial" w:eastAsia="Arial" w:hAnsi="Arial"/>
          <w:sz w:val="11"/>
          <w:szCs w:val="11"/>
          <w:color w:val="auto"/>
        </w:rPr>
      </w:pPr>
      <w:r>
        <w:rPr>
          <w:rFonts w:ascii="Arial" w:cs="Arial" w:eastAsia="Arial" w:hAnsi="Arial"/>
          <w:sz w:val="12"/>
          <w:szCs w:val="12"/>
          <w:color w:val="auto"/>
        </w:rPr>
        <w:t>The month of February includes 366,100 shares purchased, at an average cost of $69.37 per share, under the Company’s previous $1 billion share repurchase program. On February 14, 2017, the Board of Directors approved a new 3-year, $1.2 billion share repurchase program extending through January 2020. All subsequent share repurchases were made under the new program which resulted in 180,000 shares purchased, at an average cost of $70.57 per share.</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Item 6. Exhibits</w:t>
      </w:r>
    </w:p>
    <w:p>
      <w:pPr>
        <w:spacing w:after="0" w:line="186" w:lineRule="exact"/>
        <w:rPr>
          <w:sz w:val="20"/>
          <w:szCs w:val="20"/>
          <w:color w:val="auto"/>
        </w:rPr>
      </w:pPr>
    </w:p>
    <w:p>
      <w:pPr>
        <w:ind w:left="600" w:hanging="381"/>
        <w:spacing w:after="0"/>
        <w:tabs>
          <w:tab w:leader="none" w:pos="600" w:val="left"/>
        </w:tabs>
        <w:numPr>
          <w:ilvl w:val="0"/>
          <w:numId w:val="9"/>
        </w:numPr>
        <w:rPr>
          <w:rFonts w:ascii="Arial" w:cs="Arial" w:eastAsia="Arial" w:hAnsi="Arial"/>
          <w:sz w:val="15"/>
          <w:szCs w:val="15"/>
          <w:color w:val="auto"/>
        </w:rPr>
      </w:pPr>
      <w:r>
        <w:rPr>
          <w:rFonts w:ascii="Arial" w:cs="Arial" w:eastAsia="Arial" w:hAnsi="Arial"/>
          <w:sz w:val="15"/>
          <w:szCs w:val="15"/>
          <w:u w:val="single" w:color="auto"/>
          <w:color w:val="auto"/>
        </w:rPr>
        <w:t>Exhibits</w:t>
      </w:r>
    </w:p>
    <w:p>
      <w:pPr>
        <w:spacing w:after="0" w:line="22" w:lineRule="exact"/>
        <w:rPr>
          <w:rFonts w:ascii="Arial" w:cs="Arial" w:eastAsia="Arial" w:hAnsi="Arial"/>
          <w:sz w:val="15"/>
          <w:szCs w:val="15"/>
          <w:color w:val="auto"/>
        </w:rPr>
      </w:pPr>
    </w:p>
    <w:p>
      <w:pPr>
        <w:ind w:left="600"/>
        <w:spacing w:after="0"/>
        <w:rPr>
          <w:rFonts w:ascii="Arial" w:cs="Arial" w:eastAsia="Arial" w:hAnsi="Arial"/>
          <w:sz w:val="15"/>
          <w:szCs w:val="15"/>
          <w:color w:val="auto"/>
        </w:rPr>
      </w:pPr>
      <w:r>
        <w:rPr>
          <w:rFonts w:ascii="Arial" w:cs="Arial" w:eastAsia="Arial" w:hAnsi="Arial"/>
          <w:sz w:val="15"/>
          <w:szCs w:val="15"/>
          <w:color w:val="auto"/>
        </w:rPr>
        <w:t>The exhibits that are in this report immediately follow the index.</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5817870" cy="482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311" w:right="139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5"/>
          <w:szCs w:val="15"/>
          <w:b w:val="1"/>
          <w:bCs w:val="1"/>
          <w:color w:val="auto"/>
        </w:rPr>
        <w:t>SIGNATURE</w:t>
      </w:r>
    </w:p>
    <w:p>
      <w:pPr>
        <w:spacing w:after="0" w:line="186" w:lineRule="exact"/>
        <w:rPr>
          <w:sz w:val="20"/>
          <w:szCs w:val="20"/>
          <w:color w:val="auto"/>
        </w:rPr>
      </w:pPr>
    </w:p>
    <w:p>
      <w:pPr>
        <w:spacing w:after="0" w:line="254" w:lineRule="auto"/>
        <w:rPr>
          <w:sz w:val="20"/>
          <w:szCs w:val="20"/>
          <w:color w:val="auto"/>
        </w:rPr>
      </w:pPr>
      <w:r>
        <w:rPr>
          <w:rFonts w:ascii="Arial" w:cs="Arial" w:eastAsia="Arial" w:hAnsi="Arial"/>
          <w:sz w:val="15"/>
          <w:szCs w:val="15"/>
          <w:color w:val="auto"/>
        </w:rPr>
        <w:t>Pursuant to the requirements of the Securities Exchange Act of 1934, the Company has duly caused this report to be signed on its behalf by the undersigned thereunto duly authorized.</w:t>
      </w:r>
    </w:p>
    <w:p>
      <w:pPr>
        <w:spacing w:after="0" w:line="389" w:lineRule="exact"/>
        <w:rPr>
          <w:sz w:val="20"/>
          <w:szCs w:val="20"/>
          <w:color w:val="auto"/>
        </w:rPr>
      </w:pPr>
    </w:p>
    <w:p>
      <w:pPr>
        <w:spacing w:after="0"/>
        <w:tabs>
          <w:tab w:leader="none" w:pos="4580" w:val="left"/>
        </w:tabs>
        <w:rPr>
          <w:sz w:val="20"/>
          <w:szCs w:val="20"/>
          <w:color w:val="auto"/>
        </w:rPr>
      </w:pPr>
      <w:r>
        <w:rPr>
          <w:rFonts w:ascii="Arial" w:cs="Arial" w:eastAsia="Arial" w:hAnsi="Arial"/>
          <w:sz w:val="15"/>
          <w:szCs w:val="15"/>
          <w:color w:val="auto"/>
        </w:rPr>
        <w:t>Date: June 6, 2017</w:t>
      </w:r>
      <w:r>
        <w:rPr>
          <w:sz w:val="20"/>
          <w:szCs w:val="20"/>
          <w:color w:val="auto"/>
        </w:rPr>
        <w:tab/>
      </w:r>
      <w:r>
        <w:rPr>
          <w:rFonts w:ascii="Arial" w:cs="Arial" w:eastAsia="Arial" w:hAnsi="Arial"/>
          <w:sz w:val="15"/>
          <w:szCs w:val="15"/>
          <w:color w:val="auto"/>
        </w:rPr>
        <w:t>FOOT LOCKER, INC.</w:t>
      </w:r>
    </w:p>
    <w:p>
      <w:pPr>
        <w:spacing w:after="0" w:line="200" w:lineRule="exact"/>
        <w:rPr>
          <w:sz w:val="20"/>
          <w:szCs w:val="20"/>
          <w:color w:val="auto"/>
        </w:rPr>
      </w:pPr>
    </w:p>
    <w:p>
      <w:pPr>
        <w:spacing w:after="0" w:line="321" w:lineRule="exact"/>
        <w:rPr>
          <w:sz w:val="20"/>
          <w:szCs w:val="20"/>
          <w:color w:val="auto"/>
        </w:rPr>
      </w:pPr>
    </w:p>
    <w:p>
      <w:pPr>
        <w:ind w:left="4560"/>
        <w:spacing w:after="0"/>
        <w:rPr>
          <w:sz w:val="20"/>
          <w:szCs w:val="20"/>
          <w:color w:val="auto"/>
        </w:rPr>
      </w:pPr>
      <w:r>
        <w:rPr>
          <w:rFonts w:ascii="Arial" w:cs="Arial" w:eastAsia="Arial" w:hAnsi="Arial"/>
          <w:sz w:val="15"/>
          <w:szCs w:val="15"/>
          <w:color w:val="auto"/>
        </w:rPr>
        <w:t>/s/ Lauren B. Peters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2891790</wp:posOffset>
            </wp:positionH>
            <wp:positionV relativeFrom="paragraph">
              <wp:posOffset>1905</wp:posOffset>
            </wp:positionV>
            <wp:extent cx="2888615"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888615" cy="7620"/>
                    </a:xfrm>
                    <a:prstGeom prst="rect">
                      <a:avLst/>
                    </a:prstGeom>
                    <a:noFill/>
                  </pic:spPr>
                </pic:pic>
              </a:graphicData>
            </a:graphic>
          </wp:anchor>
        </w:drawing>
      </w:r>
    </w:p>
    <w:p>
      <w:pPr>
        <w:spacing w:after="0" w:line="39" w:lineRule="exact"/>
        <w:rPr>
          <w:sz w:val="20"/>
          <w:szCs w:val="20"/>
          <w:color w:val="auto"/>
        </w:rPr>
      </w:pPr>
    </w:p>
    <w:p>
      <w:pPr>
        <w:ind w:left="4560"/>
        <w:spacing w:after="0"/>
        <w:rPr>
          <w:sz w:val="20"/>
          <w:szCs w:val="20"/>
          <w:color w:val="auto"/>
        </w:rPr>
      </w:pPr>
      <w:r>
        <w:rPr>
          <w:rFonts w:ascii="Arial" w:cs="Arial" w:eastAsia="Arial" w:hAnsi="Arial"/>
          <w:sz w:val="15"/>
          <w:szCs w:val="15"/>
          <w:color w:val="auto"/>
        </w:rPr>
        <w:t>LAUREN B. PETERS</w:t>
      </w:r>
    </w:p>
    <w:p>
      <w:pPr>
        <w:spacing w:after="0" w:line="22" w:lineRule="exact"/>
        <w:rPr>
          <w:sz w:val="20"/>
          <w:szCs w:val="20"/>
          <w:color w:val="auto"/>
        </w:rPr>
      </w:pPr>
    </w:p>
    <w:p>
      <w:pPr>
        <w:ind w:left="4560"/>
        <w:spacing w:after="0"/>
        <w:rPr>
          <w:sz w:val="20"/>
          <w:szCs w:val="20"/>
          <w:color w:val="auto"/>
        </w:rPr>
      </w:pPr>
      <w:r>
        <w:rPr>
          <w:rFonts w:ascii="Arial" w:cs="Arial" w:eastAsia="Arial" w:hAnsi="Arial"/>
          <w:sz w:val="15"/>
          <w:szCs w:val="15"/>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5817870" cy="482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505" w:right="139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72"/>
        </w:trPr>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60" w:type="dxa"/>
            <w:vAlign w:val="bottom"/>
            <w:gridSpan w:val="3"/>
          </w:tcPr>
          <w:p>
            <w:pPr>
              <w:ind w:left="2760"/>
              <w:spacing w:after="0"/>
              <w:rPr>
                <w:sz w:val="20"/>
                <w:szCs w:val="20"/>
                <w:color w:val="auto"/>
              </w:rPr>
            </w:pPr>
            <w:r>
              <w:rPr>
                <w:rFonts w:ascii="Arial" w:cs="Arial" w:eastAsia="Arial" w:hAnsi="Arial"/>
                <w:sz w:val="15"/>
                <w:szCs w:val="15"/>
                <w:b w:val="1"/>
                <w:bCs w:val="1"/>
                <w:color w:val="auto"/>
              </w:rPr>
              <w:t>FOOT LOCKER, INC.</w:t>
            </w: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60" w:type="dxa"/>
            <w:vAlign w:val="bottom"/>
            <w:gridSpan w:val="3"/>
          </w:tcPr>
          <w:p>
            <w:pPr>
              <w:ind w:left="2760"/>
              <w:spacing w:after="0"/>
              <w:rPr>
                <w:sz w:val="20"/>
                <w:szCs w:val="20"/>
                <w:color w:val="auto"/>
              </w:rPr>
            </w:pPr>
            <w:r>
              <w:rPr>
                <w:rFonts w:ascii="Arial" w:cs="Arial" w:eastAsia="Arial" w:hAnsi="Arial"/>
                <w:sz w:val="15"/>
                <w:szCs w:val="15"/>
                <w:b w:val="1"/>
                <w:bCs w:val="1"/>
                <w:color w:val="auto"/>
              </w:rPr>
              <w:t>INDEX OF EXHIBITS</w:t>
            </w:r>
          </w:p>
        </w:tc>
        <w:tc>
          <w:tcPr>
            <w:tcW w:w="0" w:type="dxa"/>
            <w:vAlign w:val="bottom"/>
          </w:tcPr>
          <w:p>
            <w:pPr>
              <w:spacing w:after="0"/>
              <w:rPr>
                <w:sz w:val="1"/>
                <w:szCs w:val="1"/>
                <w:color w:val="auto"/>
              </w:rPr>
            </w:pPr>
          </w:p>
        </w:tc>
      </w:tr>
      <w:tr>
        <w:trPr>
          <w:trHeight w:val="416"/>
        </w:trPr>
        <w:tc>
          <w:tcPr>
            <w:tcW w:w="140" w:type="dxa"/>
            <w:vAlign w:val="bottom"/>
          </w:tcPr>
          <w:p>
            <w:pPr>
              <w:spacing w:after="0"/>
              <w:rPr>
                <w:sz w:val="24"/>
                <w:szCs w:val="24"/>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rPr>
              <w:t>Exhibit No.</w:t>
            </w:r>
          </w:p>
        </w:tc>
        <w:tc>
          <w:tcPr>
            <w:tcW w:w="3660" w:type="dxa"/>
            <w:vAlign w:val="bottom"/>
          </w:tcPr>
          <w:p>
            <w:pPr>
              <w:spacing w:after="0"/>
              <w:rPr>
                <w:sz w:val="24"/>
                <w:szCs w:val="24"/>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w w:val="99"/>
              </w:rPr>
              <w:t>Description</w:t>
            </w:r>
          </w:p>
        </w:tc>
        <w:tc>
          <w:tcPr>
            <w:tcW w:w="3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
        </w:trPr>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940" w:type="dxa"/>
            <w:vAlign w:val="bottom"/>
            <w:gridSpan w:val="2"/>
            <w:vMerge w:val="restart"/>
            <w:shd w:val="clear" w:color="auto" w:fill="CCEEFF"/>
          </w:tcPr>
          <w:p>
            <w:pPr>
              <w:jc w:val="right"/>
              <w:ind w:right="223"/>
              <w:spacing w:after="0"/>
              <w:rPr>
                <w:sz w:val="20"/>
                <w:szCs w:val="20"/>
                <w:color w:val="auto"/>
              </w:rPr>
            </w:pPr>
            <w:r>
              <w:rPr>
                <w:rFonts w:ascii="Arial" w:cs="Arial" w:eastAsia="Arial" w:hAnsi="Arial"/>
                <w:sz w:val="15"/>
                <w:szCs w:val="15"/>
                <w:color w:val="auto"/>
              </w:rPr>
              <w:t>3.1</w:t>
            </w:r>
          </w:p>
        </w:tc>
        <w:tc>
          <w:tcPr>
            <w:tcW w:w="100" w:type="dxa"/>
            <w:vAlign w:val="bottom"/>
            <w:shd w:val="clear" w:color="auto" w:fill="CCEEFF"/>
          </w:tcPr>
          <w:p>
            <w:pPr>
              <w:spacing w:after="0"/>
              <w:rPr>
                <w:sz w:val="19"/>
                <w:szCs w:val="19"/>
                <w:color w:val="auto"/>
              </w:rPr>
            </w:pPr>
          </w:p>
        </w:tc>
        <w:tc>
          <w:tcPr>
            <w:tcW w:w="8060" w:type="dxa"/>
            <w:vAlign w:val="bottom"/>
            <w:gridSpan w:val="3"/>
            <w:shd w:val="clear" w:color="auto" w:fill="CCEEFF"/>
          </w:tcPr>
          <w:p>
            <w:pPr>
              <w:ind w:left="100"/>
              <w:spacing w:after="0"/>
              <w:rPr>
                <w:sz w:val="20"/>
                <w:szCs w:val="20"/>
                <w:color w:val="auto"/>
              </w:rPr>
            </w:pPr>
            <w:r>
              <w:rPr>
                <w:rFonts w:ascii="Arial" w:cs="Arial" w:eastAsia="Arial" w:hAnsi="Arial"/>
                <w:sz w:val="15"/>
                <w:szCs w:val="15"/>
                <w:color w:val="auto"/>
              </w:rPr>
              <w:t>By-Laws of Foot Locker, Inc. (incorporated herein by reference to Exhibit 3.1 to the Current Report on Form 8-K</w:t>
            </w:r>
          </w:p>
        </w:tc>
        <w:tc>
          <w:tcPr>
            <w:tcW w:w="0" w:type="dxa"/>
            <w:vAlign w:val="bottom"/>
          </w:tcPr>
          <w:p>
            <w:pPr>
              <w:spacing w:after="0"/>
              <w:rPr>
                <w:sz w:val="1"/>
                <w:szCs w:val="1"/>
                <w:color w:val="auto"/>
              </w:rPr>
            </w:pPr>
          </w:p>
        </w:tc>
      </w:tr>
      <w:tr>
        <w:trPr>
          <w:trHeight w:val="100"/>
        </w:trPr>
        <w:tc>
          <w:tcPr>
            <w:tcW w:w="94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60" w:type="dxa"/>
            <w:vAlign w:val="bottom"/>
            <w:gridSpan w:val="3"/>
            <w:vMerge w:val="restart"/>
            <w:shd w:val="clear" w:color="auto" w:fill="CCEEFF"/>
          </w:tcPr>
          <w:p>
            <w:pPr>
              <w:ind w:left="100"/>
              <w:spacing w:after="0"/>
              <w:rPr>
                <w:sz w:val="20"/>
                <w:szCs w:val="20"/>
                <w:color w:val="auto"/>
              </w:rPr>
            </w:pPr>
            <w:r>
              <w:rPr>
                <w:rFonts w:ascii="Arial" w:cs="Arial" w:eastAsia="Arial" w:hAnsi="Arial"/>
                <w:sz w:val="15"/>
                <w:szCs w:val="15"/>
                <w:color w:val="auto"/>
              </w:rPr>
              <w:t>dated May 17, 2017 filed on May 19, 2017 (the “May 17, 2017 Form 8-K”)).</w:t>
            </w:r>
          </w:p>
        </w:tc>
        <w:tc>
          <w:tcPr>
            <w:tcW w:w="0" w:type="dxa"/>
            <w:vAlign w:val="bottom"/>
          </w:tcPr>
          <w:p>
            <w:pPr>
              <w:spacing w:after="0"/>
              <w:rPr>
                <w:sz w:val="1"/>
                <w:szCs w:val="1"/>
                <w:color w:val="auto"/>
              </w:rPr>
            </w:pPr>
          </w:p>
        </w:tc>
      </w:tr>
      <w:tr>
        <w:trPr>
          <w:trHeight w:val="85"/>
        </w:trPr>
        <w:tc>
          <w:tcPr>
            <w:tcW w:w="14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60" w:type="dxa"/>
            <w:vAlign w:val="bottom"/>
            <w:gridSpan w:val="3"/>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14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6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35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sectPr>
          <w:pgSz w:w="11900" w:h="16838" w:orient="portrait"/>
          <w:cols w:equalWidth="0" w:num="1">
            <w:col w:w="9100"/>
          </w:cols>
          <w:pgMar w:left="1400" w:top="308" w:right="1399" w:bottom="1440" w:gutter="0" w:footer="0" w:header="0"/>
        </w:sectPr>
      </w:pPr>
    </w:p>
    <w:p>
      <w:pPr>
        <w:spacing w:after="0" w:line="85" w:lineRule="exact"/>
        <w:rPr>
          <w:sz w:val="20"/>
          <w:szCs w:val="20"/>
          <w:color w:val="auto"/>
        </w:rPr>
      </w:pPr>
    </w:p>
    <w:p>
      <w:pPr>
        <w:ind w:left="340"/>
        <w:spacing w:after="0"/>
        <w:rPr>
          <w:sz w:val="20"/>
          <w:szCs w:val="20"/>
          <w:color w:val="auto"/>
        </w:rPr>
      </w:pPr>
      <w:r>
        <w:rPr>
          <w:rFonts w:ascii="Arial" w:cs="Arial" w:eastAsia="Arial" w:hAnsi="Arial"/>
          <w:sz w:val="15"/>
          <w:szCs w:val="15"/>
          <w:color w:val="auto"/>
        </w:rPr>
        <w:t>10.1†</w:t>
      </w:r>
    </w:p>
    <w:p>
      <w:pPr>
        <w:spacing w:after="0" w:line="132" w:lineRule="exact"/>
        <w:rPr>
          <w:sz w:val="20"/>
          <w:szCs w:val="20"/>
          <w:color w:val="auto"/>
        </w:rPr>
      </w:pPr>
    </w:p>
    <w:p>
      <w:pPr>
        <w:ind w:left="420"/>
        <w:spacing w:after="0"/>
        <w:rPr>
          <w:sz w:val="20"/>
          <w:szCs w:val="20"/>
          <w:color w:val="auto"/>
        </w:rPr>
      </w:pPr>
      <w:r>
        <w:rPr>
          <w:rFonts w:ascii="Arial" w:cs="Arial" w:eastAsia="Arial" w:hAnsi="Arial"/>
          <w:sz w:val="15"/>
          <w:szCs w:val="15"/>
          <w:color w:val="auto"/>
        </w:rPr>
        <w:t>12*</w:t>
      </w:r>
    </w:p>
    <w:p>
      <w:pPr>
        <w:spacing w:after="0" w:line="34" w:lineRule="exact"/>
        <w:rPr>
          <w:sz w:val="20"/>
          <w:szCs w:val="20"/>
          <w:color w:val="auto"/>
        </w:rPr>
      </w:pPr>
    </w:p>
    <w:p>
      <w:pPr>
        <w:jc w:val="center"/>
        <w:ind w:left="200"/>
        <w:spacing w:after="0"/>
        <w:rPr>
          <w:sz w:val="20"/>
          <w:szCs w:val="20"/>
          <w:color w:val="auto"/>
        </w:rPr>
      </w:pPr>
      <w:r>
        <w:rPr>
          <w:rFonts w:ascii="Arial" w:cs="Arial" w:eastAsia="Arial" w:hAnsi="Arial"/>
          <w:sz w:val="15"/>
          <w:szCs w:val="15"/>
          <w:color w:val="auto"/>
        </w:rPr>
        <w:t>15*</w:t>
      </w:r>
    </w:p>
    <w:p>
      <w:pPr>
        <w:spacing w:after="0" w:line="144" w:lineRule="exact"/>
        <w:rPr>
          <w:sz w:val="20"/>
          <w:szCs w:val="20"/>
          <w:color w:val="auto"/>
        </w:rPr>
      </w:pPr>
    </w:p>
    <w:p>
      <w:pPr>
        <w:jc w:val="center"/>
        <w:ind w:left="200"/>
        <w:spacing w:after="0"/>
        <w:rPr>
          <w:sz w:val="20"/>
          <w:szCs w:val="20"/>
          <w:color w:val="auto"/>
        </w:rPr>
      </w:pPr>
      <w:r>
        <w:rPr>
          <w:rFonts w:ascii="Arial" w:cs="Arial" w:eastAsia="Arial" w:hAnsi="Arial"/>
          <w:sz w:val="15"/>
          <w:szCs w:val="15"/>
          <w:color w:val="auto"/>
        </w:rPr>
        <w:t>31.1*</w:t>
      </w:r>
    </w:p>
    <w:p>
      <w:pPr>
        <w:spacing w:after="0" w:line="24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31.2*</w:t>
      </w:r>
    </w:p>
    <w:p>
      <w:pPr>
        <w:spacing w:after="0" w:line="241" w:lineRule="exact"/>
        <w:rPr>
          <w:sz w:val="20"/>
          <w:szCs w:val="20"/>
          <w:color w:val="auto"/>
        </w:rPr>
      </w:pPr>
    </w:p>
    <w:p>
      <w:pPr>
        <w:ind w:left="380"/>
        <w:spacing w:after="0"/>
        <w:rPr>
          <w:sz w:val="20"/>
          <w:szCs w:val="20"/>
          <w:color w:val="auto"/>
        </w:rPr>
      </w:pPr>
      <w:r>
        <w:rPr>
          <w:rFonts w:ascii="Arial" w:cs="Arial" w:eastAsia="Arial" w:hAnsi="Arial"/>
          <w:sz w:val="15"/>
          <w:szCs w:val="15"/>
          <w:color w:val="auto"/>
        </w:rPr>
        <w:t>32**</w:t>
      </w:r>
    </w:p>
    <w:p>
      <w:pPr>
        <w:spacing w:after="0" w:line="132" w:lineRule="exact"/>
        <w:rPr>
          <w:sz w:val="20"/>
          <w:szCs w:val="20"/>
          <w:color w:val="auto"/>
        </w:rPr>
      </w:pPr>
    </w:p>
    <w:p>
      <w:pPr>
        <w:ind w:left="420"/>
        <w:spacing w:after="0"/>
        <w:rPr>
          <w:sz w:val="20"/>
          <w:szCs w:val="20"/>
          <w:color w:val="auto"/>
        </w:rPr>
      </w:pPr>
      <w:r>
        <w:rPr>
          <w:rFonts w:ascii="Arial" w:cs="Arial" w:eastAsia="Arial" w:hAnsi="Arial"/>
          <w:sz w:val="15"/>
          <w:szCs w:val="15"/>
          <w:color w:val="auto"/>
        </w:rPr>
        <w:t>99*</w:t>
      </w:r>
    </w:p>
    <w:p>
      <w:pPr>
        <w:spacing w:after="0" w:line="34" w:lineRule="exact"/>
        <w:rPr>
          <w:sz w:val="20"/>
          <w:szCs w:val="20"/>
          <w:color w:val="auto"/>
        </w:rPr>
      </w:pPr>
    </w:p>
    <w:p>
      <w:pPr>
        <w:ind w:left="220"/>
        <w:spacing w:after="0"/>
        <w:rPr>
          <w:sz w:val="20"/>
          <w:szCs w:val="20"/>
          <w:color w:val="auto"/>
        </w:rPr>
      </w:pPr>
      <w:r>
        <w:rPr>
          <w:rFonts w:ascii="Arial" w:cs="Arial" w:eastAsia="Arial" w:hAnsi="Arial"/>
          <w:sz w:val="15"/>
          <w:szCs w:val="15"/>
          <w:color w:val="auto"/>
        </w:rPr>
        <w:t>101.INS*</w:t>
      </w:r>
    </w:p>
    <w:p>
      <w:pPr>
        <w:spacing w:after="0" w:line="34" w:lineRule="exact"/>
        <w:rPr>
          <w:sz w:val="20"/>
          <w:szCs w:val="20"/>
          <w:color w:val="auto"/>
        </w:rPr>
      </w:pPr>
    </w:p>
    <w:p>
      <w:pPr>
        <w:ind w:left="200"/>
        <w:spacing w:after="0"/>
        <w:rPr>
          <w:sz w:val="20"/>
          <w:szCs w:val="20"/>
          <w:color w:val="auto"/>
        </w:rPr>
      </w:pPr>
      <w:r>
        <w:rPr>
          <w:rFonts w:ascii="Arial" w:cs="Arial" w:eastAsia="Arial" w:hAnsi="Arial"/>
          <w:sz w:val="15"/>
          <w:szCs w:val="15"/>
          <w:color w:val="auto"/>
        </w:rPr>
        <w:t>101.SCH*</w:t>
      </w:r>
    </w:p>
    <w:p>
      <w:pPr>
        <w:spacing w:after="0" w:line="34" w:lineRule="exact"/>
        <w:rPr>
          <w:sz w:val="20"/>
          <w:szCs w:val="20"/>
          <w:color w:val="auto"/>
        </w:rPr>
      </w:pPr>
    </w:p>
    <w:p>
      <w:pPr>
        <w:ind w:left="200"/>
        <w:spacing w:after="0"/>
        <w:rPr>
          <w:sz w:val="20"/>
          <w:szCs w:val="20"/>
          <w:color w:val="auto"/>
        </w:rPr>
      </w:pPr>
      <w:r>
        <w:rPr>
          <w:rFonts w:ascii="Arial" w:cs="Arial" w:eastAsia="Arial" w:hAnsi="Arial"/>
          <w:sz w:val="15"/>
          <w:szCs w:val="15"/>
          <w:color w:val="auto"/>
        </w:rPr>
        <w:t>101.CAL*</w:t>
      </w:r>
    </w:p>
    <w:p>
      <w:pPr>
        <w:spacing w:after="0" w:line="34" w:lineRule="exact"/>
        <w:rPr>
          <w:sz w:val="20"/>
          <w:szCs w:val="20"/>
          <w:color w:val="auto"/>
        </w:rPr>
      </w:pPr>
    </w:p>
    <w:p>
      <w:pPr>
        <w:ind w:left="200"/>
        <w:spacing w:after="0"/>
        <w:rPr>
          <w:sz w:val="20"/>
          <w:szCs w:val="20"/>
          <w:color w:val="auto"/>
        </w:rPr>
      </w:pPr>
      <w:r>
        <w:rPr>
          <w:rFonts w:ascii="Arial" w:cs="Arial" w:eastAsia="Arial" w:hAnsi="Arial"/>
          <w:sz w:val="15"/>
          <w:szCs w:val="15"/>
          <w:color w:val="auto"/>
        </w:rPr>
        <w:t>101.DEF*</w:t>
      </w:r>
    </w:p>
    <w:p>
      <w:pPr>
        <w:spacing w:after="0" w:line="34" w:lineRule="exact"/>
        <w:rPr>
          <w:sz w:val="20"/>
          <w:szCs w:val="20"/>
          <w:color w:val="auto"/>
        </w:rPr>
      </w:pPr>
    </w:p>
    <w:p>
      <w:pPr>
        <w:ind w:left="200"/>
        <w:spacing w:after="0"/>
        <w:rPr>
          <w:sz w:val="20"/>
          <w:szCs w:val="20"/>
          <w:color w:val="auto"/>
        </w:rPr>
      </w:pPr>
      <w:r>
        <w:rPr>
          <w:rFonts w:ascii="Arial" w:cs="Arial" w:eastAsia="Arial" w:hAnsi="Arial"/>
          <w:sz w:val="15"/>
          <w:szCs w:val="15"/>
          <w:color w:val="auto"/>
        </w:rPr>
        <w:t>101.LAB*</w:t>
      </w:r>
    </w:p>
    <w:p>
      <w:pPr>
        <w:spacing w:after="0" w:line="34" w:lineRule="exact"/>
        <w:rPr>
          <w:sz w:val="20"/>
          <w:szCs w:val="20"/>
          <w:color w:val="auto"/>
        </w:rPr>
      </w:pPr>
    </w:p>
    <w:p>
      <w:pPr>
        <w:ind w:left="200"/>
        <w:spacing w:after="0"/>
        <w:rPr>
          <w:sz w:val="20"/>
          <w:szCs w:val="20"/>
          <w:color w:val="auto"/>
        </w:rPr>
      </w:pPr>
      <w:r>
        <w:rPr>
          <w:rFonts w:ascii="Arial" w:cs="Arial" w:eastAsia="Arial" w:hAnsi="Arial"/>
          <w:sz w:val="15"/>
          <w:szCs w:val="15"/>
          <w:color w:val="auto"/>
        </w:rPr>
        <w:t>101.PRE*</w:t>
      </w:r>
    </w:p>
    <w:p>
      <w:pPr>
        <w:spacing w:after="0" w:line="241" w:lineRule="exact"/>
        <w:rPr>
          <w:sz w:val="20"/>
          <w:szCs w:val="20"/>
          <w:color w:val="auto"/>
        </w:rPr>
      </w:pPr>
    </w:p>
    <w:p>
      <w:pPr>
        <w:ind w:left="500"/>
        <w:spacing w:after="0"/>
        <w:rPr>
          <w:sz w:val="20"/>
          <w:szCs w:val="20"/>
          <w:color w:val="auto"/>
        </w:rPr>
      </w:pPr>
      <w:r>
        <w:rPr>
          <w:rFonts w:ascii="Arial" w:cs="Arial" w:eastAsia="Arial" w:hAnsi="Arial"/>
          <w:sz w:val="15"/>
          <w:szCs w:val="15"/>
          <w:color w:val="auto"/>
        </w:rPr>
        <w:t>†</w:t>
      </w:r>
    </w:p>
    <w:p>
      <w:pPr>
        <w:spacing w:after="0" w:line="34" w:lineRule="exact"/>
        <w:rPr>
          <w:sz w:val="20"/>
          <w:szCs w:val="20"/>
          <w:color w:val="auto"/>
        </w:rPr>
      </w:pPr>
    </w:p>
    <w:p>
      <w:pPr>
        <w:ind w:left="500"/>
        <w:spacing w:after="0"/>
        <w:rPr>
          <w:sz w:val="20"/>
          <w:szCs w:val="20"/>
          <w:color w:val="auto"/>
        </w:rPr>
      </w:pPr>
      <w:r>
        <w:rPr>
          <w:rFonts w:ascii="Arial" w:cs="Arial" w:eastAsia="Arial" w:hAnsi="Arial"/>
          <w:sz w:val="15"/>
          <w:szCs w:val="15"/>
          <w:color w:val="auto"/>
        </w:rPr>
        <w:t>*</w:t>
      </w:r>
    </w:p>
    <w:p>
      <w:pPr>
        <w:spacing w:after="0" w:line="34" w:lineRule="exact"/>
        <w:rPr>
          <w:sz w:val="20"/>
          <w:szCs w:val="20"/>
          <w:color w:val="auto"/>
        </w:rPr>
      </w:pPr>
    </w:p>
    <w:p>
      <w:pPr>
        <w:ind w:left="480"/>
        <w:spacing w:after="0"/>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br w:type="column"/>
      </w:r>
    </w:p>
    <w:p>
      <w:pPr>
        <w:spacing w:after="0" w:line="254" w:lineRule="auto"/>
        <w:rPr>
          <w:sz w:val="20"/>
          <w:szCs w:val="20"/>
          <w:color w:val="auto"/>
        </w:rPr>
      </w:pPr>
      <w:r>
        <w:rPr>
          <w:rFonts w:ascii="Arial" w:cs="Arial" w:eastAsia="Arial" w:hAnsi="Arial"/>
          <w:sz w:val="15"/>
          <w:szCs w:val="15"/>
          <w:color w:val="auto"/>
        </w:rPr>
        <w:t>Foot Locker Annual Incentive Compensation Plan, as Amended and Restated (incorporated herein by reference to Exhibit 10.1 to the May 17, 2017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11430</wp:posOffset>
            </wp:positionV>
            <wp:extent cx="5777230" cy="1314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77230" cy="13144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auto"/>
        </w:rPr>
        <w:t>Computation of Ratio of Earnings to Fixed Charges.</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Accountants’ Acknowledgement.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17780</wp:posOffset>
            </wp:positionV>
            <wp:extent cx="5777230" cy="262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77230" cy="262890"/>
                    </a:xfrm>
                    <a:prstGeom prst="rect">
                      <a:avLst/>
                    </a:prstGeom>
                    <a:noFill/>
                  </pic:spPr>
                </pic:pic>
              </a:graphicData>
            </a:graphic>
          </wp:anchor>
        </w:drawing>
      </w:r>
    </w:p>
    <w:p>
      <w:pPr>
        <w:spacing w:after="0" w:line="39" w:lineRule="exact"/>
        <w:rPr>
          <w:sz w:val="20"/>
          <w:szCs w:val="20"/>
          <w:color w:val="auto"/>
        </w:rPr>
      </w:pPr>
    </w:p>
    <w:p>
      <w:pPr>
        <w:ind w:right="60"/>
        <w:spacing w:after="0" w:line="254" w:lineRule="auto"/>
        <w:rPr>
          <w:sz w:val="20"/>
          <w:szCs w:val="20"/>
          <w:color w:val="auto"/>
        </w:rPr>
      </w:pPr>
      <w:r>
        <w:rPr>
          <w:rFonts w:ascii="Arial" w:cs="Arial" w:eastAsia="Arial" w:hAnsi="Arial"/>
          <w:sz w:val="15"/>
          <w:szCs w:val="15"/>
          <w:color w:val="auto"/>
        </w:rPr>
        <w:t>Certification of Chief Executive Officer Pursuant to Rule 13a-14(a) or 15d-14(a), as adopted pursuant to Section 302 of the Sarbanes-Oxley Act of 2002.</w:t>
      </w:r>
    </w:p>
    <w:p>
      <w:pPr>
        <w:spacing w:after="0" w:line="48" w:lineRule="exact"/>
        <w:rPr>
          <w:sz w:val="20"/>
          <w:szCs w:val="20"/>
          <w:color w:val="auto"/>
        </w:rPr>
      </w:pPr>
    </w:p>
    <w:p>
      <w:pPr>
        <w:ind w:right="120"/>
        <w:spacing w:after="0" w:line="254" w:lineRule="auto"/>
        <w:rPr>
          <w:sz w:val="20"/>
          <w:szCs w:val="20"/>
          <w:color w:val="auto"/>
        </w:rPr>
      </w:pPr>
      <w:r>
        <w:rPr>
          <w:rFonts w:ascii="Arial" w:cs="Arial" w:eastAsia="Arial" w:hAnsi="Arial"/>
          <w:sz w:val="15"/>
          <w:szCs w:val="15"/>
          <w:color w:val="auto"/>
        </w:rPr>
        <w:t>Certification of Chief Financial Officer Pursuant to Rule 13a-14(a) or 15d-14(a), as adopted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11430</wp:posOffset>
            </wp:positionV>
            <wp:extent cx="5777230" cy="262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77230" cy="262890"/>
                    </a:xfrm>
                    <a:prstGeom prst="rect">
                      <a:avLst/>
                    </a:prstGeom>
                    <a:noFill/>
                  </pic:spPr>
                </pic:pic>
              </a:graphicData>
            </a:graphic>
          </wp:anchor>
        </w:drawing>
      </w:r>
    </w:p>
    <w:p>
      <w:pPr>
        <w:spacing w:after="0" w:line="28" w:lineRule="exact"/>
        <w:rPr>
          <w:sz w:val="20"/>
          <w:szCs w:val="20"/>
          <w:color w:val="auto"/>
        </w:rPr>
      </w:pPr>
    </w:p>
    <w:p>
      <w:pPr>
        <w:ind w:right="200"/>
        <w:spacing w:after="0" w:line="254" w:lineRule="auto"/>
        <w:rPr>
          <w:sz w:val="20"/>
          <w:szCs w:val="20"/>
          <w:color w:val="auto"/>
        </w:rPr>
      </w:pPr>
      <w:r>
        <w:rPr>
          <w:rFonts w:ascii="Arial" w:cs="Arial" w:eastAsia="Arial" w:hAnsi="Arial"/>
          <w:sz w:val="15"/>
          <w:szCs w:val="15"/>
          <w:color w:val="auto"/>
        </w:rPr>
        <w:t>Certification of Chief Executive Officer and Chief Financial Officer Pursuant to 18 U.S.C. Section 1350, as adopted pursuant to Section 906 of the Sarbanes-Oxley Act of 2002.</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17780</wp:posOffset>
            </wp:positionV>
            <wp:extent cx="5777230" cy="1314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77230" cy="13144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XBRL Instance Document.</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XBRL Taxonomy Extension Schema.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17780</wp:posOffset>
            </wp:positionV>
            <wp:extent cx="5777230" cy="1314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77230" cy="13144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XBRL Taxonomy Extension Calculation Linkbase.</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XBRL Taxonomy Extension Definition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17780</wp:posOffset>
            </wp:positionV>
            <wp:extent cx="5777230" cy="1314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77230" cy="13144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XBRL Taxonomy Extension Label Linkbase.</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XBRL Taxonomy Extension Presentation Linkbase.</w:t>
      </w:r>
    </w:p>
    <w:p>
      <w:pPr>
        <w:spacing w:after="0" w:line="241" w:lineRule="exact"/>
        <w:rPr>
          <w:sz w:val="20"/>
          <w:szCs w:val="20"/>
          <w:color w:val="auto"/>
        </w:rPr>
      </w:pPr>
    </w:p>
    <w:p>
      <w:pPr>
        <w:spacing w:after="0"/>
        <w:rPr>
          <w:sz w:val="20"/>
          <w:szCs w:val="20"/>
          <w:color w:val="auto"/>
        </w:rPr>
      </w:pPr>
      <w:r>
        <w:rPr>
          <w:rFonts w:ascii="Arial" w:cs="Arial" w:eastAsia="Arial" w:hAnsi="Arial"/>
          <w:sz w:val="15"/>
          <w:szCs w:val="15"/>
          <w:color w:val="auto"/>
        </w:rPr>
        <w:t>Management contract or compensatory plan or arrangement.</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Filed herewith.</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Furnished herewith.</w:t>
      </w:r>
    </w:p>
    <w:p>
      <w:pPr>
        <w:spacing w:after="0" w:line="200" w:lineRule="exact"/>
        <w:rPr>
          <w:sz w:val="20"/>
          <w:szCs w:val="20"/>
          <w:color w:val="auto"/>
        </w:rPr>
      </w:pPr>
    </w:p>
    <w:p>
      <w:pPr>
        <w:sectPr>
          <w:pgSz w:w="11900" w:h="16838" w:orient="portrait"/>
          <w:cols w:equalWidth="0" w:num="2">
            <w:col w:w="880" w:space="260"/>
            <w:col w:w="7960"/>
          </w:cols>
          <w:pgMar w:left="1400" w:top="308" w:right="1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5817870" cy="482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308" w:right="1399" w:bottom="1440" w:gutter="0" w:footer="0" w:header="0"/>
          <w:type w:val="continuous"/>
        </w:sectPr>
      </w:pPr>
    </w:p>
    <w:bookmarkStart w:id="27" w:name="page28"/>
    <w:bookmarkEnd w:id="27"/>
    <w:p>
      <w:pPr>
        <w:ind w:left="8380"/>
        <w:spacing w:after="0"/>
        <w:rPr>
          <w:sz w:val="20"/>
          <w:szCs w:val="20"/>
          <w:color w:val="auto"/>
        </w:rPr>
      </w:pPr>
      <w:r>
        <w:rPr>
          <w:rFonts w:ascii="Arial" w:cs="Arial" w:eastAsia="Arial" w:hAnsi="Arial"/>
          <w:sz w:val="15"/>
          <w:szCs w:val="15"/>
          <w:b w:val="1"/>
          <w:bCs w:val="1"/>
          <w:color w:val="auto"/>
        </w:rPr>
        <w:t>Exhibit 12</w:t>
      </w:r>
    </w:p>
    <w:p>
      <w:pPr>
        <w:spacing w:after="0" w:line="169"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FOOT LOCKER, INC.</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COMPUTATION OF RATIO OF EARNINGS TO FIXED CHARGES</w:t>
      </w:r>
    </w:p>
    <w:p>
      <w:pPr>
        <w:jc w:val="center"/>
        <w:ind w:right="20"/>
        <w:spacing w:after="0" w:line="236" w:lineRule="auto"/>
        <w:rPr>
          <w:sz w:val="20"/>
          <w:szCs w:val="20"/>
          <w:color w:val="auto"/>
        </w:rPr>
      </w:pPr>
      <w:r>
        <w:rPr>
          <w:rFonts w:ascii="Arial" w:cs="Arial" w:eastAsia="Arial" w:hAnsi="Arial"/>
          <w:sz w:val="15"/>
          <w:szCs w:val="15"/>
          <w:b w:val="1"/>
          <w:bCs w:val="1"/>
          <w:color w:val="auto"/>
        </w:rPr>
        <w:t>(Unaudited)</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 in millions)</w:t>
      </w: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9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ind w:left="140"/>
              <w:spacing w:after="0"/>
              <w:rPr>
                <w:sz w:val="20"/>
                <w:szCs w:val="20"/>
                <w:color w:val="auto"/>
              </w:rPr>
            </w:pPr>
            <w:r>
              <w:rPr>
                <w:rFonts w:ascii="Arial" w:cs="Arial" w:eastAsia="Arial" w:hAnsi="Arial"/>
                <w:sz w:val="15"/>
                <w:szCs w:val="15"/>
                <w:b w:val="1"/>
                <w:bCs w:val="1"/>
                <w:color w:val="auto"/>
              </w:rPr>
              <w:t>Thirteen weeks ended</w:t>
            </w:r>
          </w:p>
        </w:tc>
        <w:tc>
          <w:tcPr>
            <w:tcW w:w="2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5"/>
          </w:tcPr>
          <w:p>
            <w:pPr>
              <w:jc w:val="right"/>
              <w:ind w:right="443"/>
              <w:spacing w:after="0"/>
              <w:rPr>
                <w:sz w:val="20"/>
                <w:szCs w:val="20"/>
                <w:color w:val="auto"/>
              </w:rPr>
            </w:pPr>
            <w:r>
              <w:rPr>
                <w:rFonts w:ascii="Arial" w:cs="Arial" w:eastAsia="Arial" w:hAnsi="Arial"/>
                <w:sz w:val="15"/>
                <w:szCs w:val="15"/>
                <w:b w:val="1"/>
                <w:bCs w:val="1"/>
                <w:color w:val="auto"/>
              </w:rPr>
              <w:t>Fiscal Year Ended</w:t>
            </w: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2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jc w:val="right"/>
              <w:spacing w:after="0" w:line="151" w:lineRule="exact"/>
              <w:rPr>
                <w:sz w:val="20"/>
                <w:szCs w:val="20"/>
                <w:color w:val="auto"/>
              </w:rPr>
            </w:pPr>
            <w:r>
              <w:rPr>
                <w:rFonts w:ascii="Arial" w:cs="Arial" w:eastAsia="Arial" w:hAnsi="Arial"/>
                <w:sz w:val="15"/>
                <w:szCs w:val="15"/>
                <w:b w:val="1"/>
                <w:bCs w:val="1"/>
                <w:color w:val="auto"/>
              </w:rPr>
              <w:t>April 29,</w:t>
            </w:r>
          </w:p>
        </w:tc>
        <w:tc>
          <w:tcPr>
            <w:tcW w:w="180" w:type="dxa"/>
            <w:vAlign w:val="bottom"/>
          </w:tcPr>
          <w:p>
            <w:pPr>
              <w:spacing w:after="0"/>
              <w:rPr>
                <w:sz w:val="13"/>
                <w:szCs w:val="13"/>
                <w:color w:val="auto"/>
              </w:rPr>
            </w:pPr>
          </w:p>
        </w:tc>
        <w:tc>
          <w:tcPr>
            <w:tcW w:w="780" w:type="dxa"/>
            <w:vAlign w:val="bottom"/>
          </w:tcPr>
          <w:p>
            <w:pPr>
              <w:jc w:val="right"/>
              <w:ind w:right="63"/>
              <w:spacing w:after="0" w:line="151" w:lineRule="exact"/>
              <w:rPr>
                <w:sz w:val="20"/>
                <w:szCs w:val="20"/>
                <w:color w:val="auto"/>
              </w:rPr>
            </w:pPr>
            <w:r>
              <w:rPr>
                <w:rFonts w:ascii="Arial" w:cs="Arial" w:eastAsia="Arial" w:hAnsi="Arial"/>
                <w:sz w:val="15"/>
                <w:szCs w:val="15"/>
                <w:b w:val="1"/>
                <w:bCs w:val="1"/>
                <w:color w:val="auto"/>
              </w:rPr>
              <w:t>April 30,</w:t>
            </w:r>
          </w:p>
        </w:tc>
        <w:tc>
          <w:tcPr>
            <w:tcW w:w="260" w:type="dxa"/>
            <w:vAlign w:val="bottom"/>
          </w:tcPr>
          <w:p>
            <w:pPr>
              <w:spacing w:after="0"/>
              <w:rPr>
                <w:sz w:val="13"/>
                <w:szCs w:val="13"/>
                <w:color w:val="auto"/>
              </w:rPr>
            </w:pPr>
          </w:p>
        </w:tc>
        <w:tc>
          <w:tcPr>
            <w:tcW w:w="660" w:type="dxa"/>
            <w:vAlign w:val="bottom"/>
          </w:tcPr>
          <w:p>
            <w:pPr>
              <w:jc w:val="right"/>
              <w:ind w:right="3"/>
              <w:spacing w:after="0" w:line="151" w:lineRule="exact"/>
              <w:rPr>
                <w:sz w:val="20"/>
                <w:szCs w:val="20"/>
                <w:color w:val="auto"/>
              </w:rPr>
            </w:pPr>
            <w:r>
              <w:rPr>
                <w:rFonts w:ascii="Arial" w:cs="Arial" w:eastAsia="Arial" w:hAnsi="Arial"/>
                <w:sz w:val="15"/>
                <w:szCs w:val="15"/>
                <w:b w:val="1"/>
                <w:bCs w:val="1"/>
                <w:color w:val="auto"/>
              </w:rPr>
              <w:t>Jan. 28,</w:t>
            </w:r>
          </w:p>
        </w:tc>
        <w:tc>
          <w:tcPr>
            <w:tcW w:w="180" w:type="dxa"/>
            <w:vAlign w:val="bottom"/>
          </w:tcPr>
          <w:p>
            <w:pPr>
              <w:spacing w:after="0"/>
              <w:rPr>
                <w:sz w:val="13"/>
                <w:szCs w:val="13"/>
                <w:color w:val="auto"/>
              </w:rPr>
            </w:pPr>
          </w:p>
        </w:tc>
        <w:tc>
          <w:tcPr>
            <w:tcW w:w="660" w:type="dxa"/>
            <w:vAlign w:val="bottom"/>
          </w:tcPr>
          <w:p>
            <w:pPr>
              <w:jc w:val="right"/>
              <w:ind w:right="3"/>
              <w:spacing w:after="0" w:line="151" w:lineRule="exact"/>
              <w:rPr>
                <w:sz w:val="20"/>
                <w:szCs w:val="20"/>
                <w:color w:val="auto"/>
              </w:rPr>
            </w:pPr>
            <w:r>
              <w:rPr>
                <w:rFonts w:ascii="Arial" w:cs="Arial" w:eastAsia="Arial" w:hAnsi="Arial"/>
                <w:sz w:val="15"/>
                <w:szCs w:val="15"/>
                <w:b w:val="1"/>
                <w:bCs w:val="1"/>
                <w:color w:val="auto"/>
              </w:rPr>
              <w:t>Jan. 30,</w:t>
            </w:r>
          </w:p>
        </w:tc>
        <w:tc>
          <w:tcPr>
            <w:tcW w:w="180" w:type="dxa"/>
            <w:vAlign w:val="bottom"/>
          </w:tcPr>
          <w:p>
            <w:pPr>
              <w:spacing w:after="0"/>
              <w:rPr>
                <w:sz w:val="13"/>
                <w:szCs w:val="13"/>
                <w:color w:val="auto"/>
              </w:rPr>
            </w:pPr>
          </w:p>
        </w:tc>
        <w:tc>
          <w:tcPr>
            <w:tcW w:w="660" w:type="dxa"/>
            <w:vAlign w:val="bottom"/>
          </w:tcPr>
          <w:p>
            <w:pPr>
              <w:jc w:val="right"/>
              <w:ind w:right="3"/>
              <w:spacing w:after="0" w:line="151" w:lineRule="exact"/>
              <w:rPr>
                <w:sz w:val="20"/>
                <w:szCs w:val="20"/>
                <w:color w:val="auto"/>
              </w:rPr>
            </w:pPr>
            <w:r>
              <w:rPr>
                <w:rFonts w:ascii="Arial" w:cs="Arial" w:eastAsia="Arial" w:hAnsi="Arial"/>
                <w:sz w:val="15"/>
                <w:szCs w:val="15"/>
                <w:b w:val="1"/>
                <w:bCs w:val="1"/>
                <w:color w:val="auto"/>
              </w:rPr>
              <w:t>Jan. 31,</w:t>
            </w:r>
          </w:p>
        </w:tc>
        <w:tc>
          <w:tcPr>
            <w:tcW w:w="180" w:type="dxa"/>
            <w:vAlign w:val="bottom"/>
          </w:tcPr>
          <w:p>
            <w:pPr>
              <w:spacing w:after="0"/>
              <w:rPr>
                <w:sz w:val="13"/>
                <w:szCs w:val="13"/>
                <w:color w:val="auto"/>
              </w:rPr>
            </w:pPr>
          </w:p>
        </w:tc>
        <w:tc>
          <w:tcPr>
            <w:tcW w:w="620" w:type="dxa"/>
            <w:vAlign w:val="bottom"/>
          </w:tcPr>
          <w:p>
            <w:pPr>
              <w:jc w:val="right"/>
              <w:ind w:right="23"/>
              <w:spacing w:after="0" w:line="151" w:lineRule="exact"/>
              <w:rPr>
                <w:sz w:val="20"/>
                <w:szCs w:val="20"/>
                <w:color w:val="auto"/>
              </w:rPr>
            </w:pPr>
            <w:r>
              <w:rPr>
                <w:rFonts w:ascii="Arial" w:cs="Arial" w:eastAsia="Arial" w:hAnsi="Arial"/>
                <w:sz w:val="15"/>
                <w:szCs w:val="15"/>
                <w:b w:val="1"/>
                <w:bCs w:val="1"/>
                <w:color w:val="auto"/>
              </w:rPr>
              <w:t>Feb. 1,</w:t>
            </w:r>
          </w:p>
        </w:tc>
        <w:tc>
          <w:tcPr>
            <w:tcW w:w="180" w:type="dxa"/>
            <w:vAlign w:val="bottom"/>
          </w:tcPr>
          <w:p>
            <w:pPr>
              <w:spacing w:after="0"/>
              <w:rPr>
                <w:sz w:val="13"/>
                <w:szCs w:val="13"/>
                <w:color w:val="auto"/>
              </w:rPr>
            </w:pPr>
          </w:p>
        </w:tc>
        <w:tc>
          <w:tcPr>
            <w:tcW w:w="620" w:type="dxa"/>
            <w:vAlign w:val="bottom"/>
          </w:tcPr>
          <w:p>
            <w:pPr>
              <w:jc w:val="right"/>
              <w:ind w:right="3"/>
              <w:spacing w:after="0" w:line="151" w:lineRule="exact"/>
              <w:rPr>
                <w:sz w:val="20"/>
                <w:szCs w:val="20"/>
                <w:color w:val="auto"/>
              </w:rPr>
            </w:pPr>
            <w:r>
              <w:rPr>
                <w:rFonts w:ascii="Arial" w:cs="Arial" w:eastAsia="Arial" w:hAnsi="Arial"/>
                <w:sz w:val="15"/>
                <w:szCs w:val="15"/>
                <w:b w:val="1"/>
                <w:bCs w:val="1"/>
                <w:color w:val="auto"/>
              </w:rPr>
              <w:t>Feb. 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9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b w:val="1"/>
                <w:bCs w:val="1"/>
                <w:color w:val="auto"/>
              </w:rPr>
              <w:t>2017</w:t>
            </w: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b w:val="1"/>
                <w:bCs w:val="1"/>
                <w:color w:val="auto"/>
              </w:rPr>
              <w:t>2016</w:t>
            </w:r>
          </w:p>
        </w:tc>
        <w:tc>
          <w:tcPr>
            <w:tcW w:w="2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rPr>
              <w:t>2017</w:t>
            </w: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rPr>
              <w:t>2016</w:t>
            </w: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rPr>
              <w:t>2015</w:t>
            </w: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rPr>
              <w:t>2014</w:t>
            </w: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rPr>
              <w:t>2013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980" w:type="dxa"/>
            <w:vAlign w:val="bottom"/>
            <w:shd w:val="clear" w:color="auto" w:fill="CCEEFF"/>
          </w:tcPr>
          <w:p>
            <w:pPr>
              <w:spacing w:after="0"/>
              <w:rPr>
                <w:sz w:val="20"/>
                <w:szCs w:val="20"/>
                <w:color w:val="auto"/>
              </w:rPr>
            </w:pPr>
            <w:r>
              <w:rPr>
                <w:rFonts w:ascii="Arial" w:cs="Arial" w:eastAsia="Arial" w:hAnsi="Arial"/>
                <w:sz w:val="15"/>
                <w:szCs w:val="15"/>
                <w:color w:val="auto"/>
              </w:rPr>
              <w:t>NET EARNINGS</w:t>
            </w:r>
          </w:p>
        </w:tc>
        <w:tc>
          <w:tcPr>
            <w:tcW w:w="2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980" w:type="dxa"/>
            <w:vAlign w:val="bottom"/>
          </w:tcPr>
          <w:p>
            <w:pPr>
              <w:spacing w:after="0"/>
              <w:rPr>
                <w:sz w:val="20"/>
                <w:szCs w:val="20"/>
                <w:color w:val="auto"/>
              </w:rPr>
            </w:pPr>
            <w:r>
              <w:rPr>
                <w:rFonts w:ascii="Arial" w:cs="Arial" w:eastAsia="Arial" w:hAnsi="Arial"/>
                <w:sz w:val="15"/>
                <w:szCs w:val="15"/>
                <w:color w:val="auto"/>
              </w:rPr>
              <w:t>Net income</w:t>
            </w:r>
          </w:p>
        </w:tc>
        <w:tc>
          <w:tcPr>
            <w:tcW w:w="260" w:type="dxa"/>
            <w:vAlign w:val="bottom"/>
          </w:tcPr>
          <w:p>
            <w:pPr>
              <w:ind w:left="160"/>
              <w:spacing w:after="0"/>
              <w:rPr>
                <w:sz w:val="20"/>
                <w:szCs w:val="20"/>
                <w:color w:val="auto"/>
              </w:rPr>
            </w:pPr>
            <w:r>
              <w:rPr>
                <w:rFonts w:ascii="Arial" w:cs="Arial" w:eastAsia="Arial" w:hAnsi="Arial"/>
                <w:sz w:val="15"/>
                <w:szCs w:val="15"/>
                <w:b w:val="1"/>
                <w:bCs w:val="1"/>
                <w:color w:val="auto"/>
                <w:w w:val="95"/>
              </w:rPr>
              <w:t>$</w:t>
            </w: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180</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63"/>
              <w:spacing w:after="0"/>
              <w:rPr>
                <w:sz w:val="20"/>
                <w:szCs w:val="20"/>
                <w:color w:val="auto"/>
              </w:rPr>
            </w:pPr>
            <w:r>
              <w:rPr>
                <w:rFonts w:ascii="Arial" w:cs="Arial" w:eastAsia="Arial" w:hAnsi="Arial"/>
                <w:sz w:val="15"/>
                <w:szCs w:val="15"/>
                <w:color w:val="auto"/>
              </w:rPr>
              <w:t>191</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664</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541</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520</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429</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397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980" w:type="dxa"/>
            <w:vAlign w:val="bottom"/>
            <w:shd w:val="clear" w:color="auto" w:fill="CCEEFF"/>
          </w:tcPr>
          <w:p>
            <w:pPr>
              <w:spacing w:after="0"/>
              <w:rPr>
                <w:sz w:val="20"/>
                <w:szCs w:val="20"/>
                <w:color w:val="auto"/>
              </w:rPr>
            </w:pPr>
            <w:r>
              <w:rPr>
                <w:rFonts w:ascii="Arial" w:cs="Arial" w:eastAsia="Arial" w:hAnsi="Arial"/>
                <w:sz w:val="15"/>
                <w:szCs w:val="15"/>
                <w:color w:val="auto"/>
              </w:rPr>
              <w:t>Income tax expense</w:t>
            </w: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89</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107</w:t>
            </w: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340</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296</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289</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234</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980" w:type="dxa"/>
            <w:vAlign w:val="bottom"/>
          </w:tcPr>
          <w:p>
            <w:pPr>
              <w:spacing w:after="0"/>
              <w:rPr>
                <w:sz w:val="20"/>
                <w:szCs w:val="20"/>
                <w:color w:val="auto"/>
              </w:rPr>
            </w:pPr>
            <w:r>
              <w:rPr>
                <w:rFonts w:ascii="Arial" w:cs="Arial" w:eastAsia="Arial" w:hAnsi="Arial"/>
                <w:sz w:val="15"/>
                <w:szCs w:val="15"/>
                <w:color w:val="auto"/>
              </w:rPr>
              <w:t>Interest expense, excluding capitalized</w:t>
            </w:r>
          </w:p>
        </w:tc>
        <w:tc>
          <w:tcPr>
            <w:tcW w:w="26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3</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80" w:type="dxa"/>
            <w:vAlign w:val="bottom"/>
          </w:tcPr>
          <w:p>
            <w:pPr>
              <w:ind w:left="160"/>
              <w:spacing w:after="0"/>
              <w:rPr>
                <w:sz w:val="20"/>
                <w:szCs w:val="20"/>
                <w:color w:val="auto"/>
              </w:rPr>
            </w:pPr>
            <w:r>
              <w:rPr>
                <w:rFonts w:ascii="Arial" w:cs="Arial" w:eastAsia="Arial" w:hAnsi="Arial"/>
                <w:sz w:val="15"/>
                <w:szCs w:val="15"/>
                <w:color w:val="auto"/>
              </w:rPr>
              <w:t>interest</w:t>
            </w:r>
          </w:p>
        </w:tc>
        <w:tc>
          <w:tcPr>
            <w:tcW w:w="26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ind w:right="63"/>
              <w:spacing w:after="0"/>
              <w:rPr>
                <w:sz w:val="20"/>
                <w:szCs w:val="20"/>
                <w:color w:val="auto"/>
              </w:rPr>
            </w:pPr>
            <w:r>
              <w:rPr>
                <w:rFonts w:ascii="Arial" w:cs="Arial" w:eastAsia="Arial" w:hAnsi="Arial"/>
                <w:sz w:val="15"/>
                <w:szCs w:val="15"/>
                <w:color w:val="auto"/>
              </w:rPr>
              <w:t>3</w:t>
            </w:r>
          </w:p>
        </w:tc>
        <w:tc>
          <w:tcPr>
            <w:tcW w:w="2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11</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11</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11</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11</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4"/>
        </w:trPr>
        <w:tc>
          <w:tcPr>
            <w:tcW w:w="2980" w:type="dxa"/>
            <w:vAlign w:val="bottom"/>
            <w:shd w:val="clear" w:color="auto" w:fill="CCEEFF"/>
          </w:tcPr>
          <w:p>
            <w:pPr>
              <w:spacing w:after="0"/>
              <w:rPr>
                <w:sz w:val="20"/>
                <w:szCs w:val="20"/>
                <w:color w:val="auto"/>
              </w:rPr>
            </w:pPr>
            <w:r>
              <w:rPr>
                <w:rFonts w:ascii="Arial" w:cs="Arial" w:eastAsia="Arial" w:hAnsi="Arial"/>
                <w:sz w:val="15"/>
                <w:szCs w:val="15"/>
                <w:color w:val="auto"/>
              </w:rPr>
              <w:t>Portion of rents deemed representative of</w:t>
            </w:r>
          </w:p>
        </w:tc>
        <w:tc>
          <w:tcPr>
            <w:tcW w:w="260" w:type="dxa"/>
            <w:vAlign w:val="bottom"/>
            <w:shd w:val="clear" w:color="auto" w:fill="CCEEFF"/>
          </w:tcPr>
          <w:p>
            <w:pPr>
              <w:spacing w:after="0"/>
              <w:rPr>
                <w:sz w:val="24"/>
                <w:szCs w:val="2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67</w:t>
            </w:r>
          </w:p>
        </w:tc>
        <w:tc>
          <w:tcPr>
            <w:tcW w:w="1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9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5"/>
                <w:szCs w:val="15"/>
                <w:color w:val="auto"/>
              </w:rPr>
              <w:t>the interest factor (1/3)</w:t>
            </w:r>
          </w:p>
        </w:tc>
        <w:tc>
          <w:tcPr>
            <w:tcW w:w="26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63</w:t>
            </w:r>
          </w:p>
        </w:tc>
        <w:tc>
          <w:tcPr>
            <w:tcW w:w="26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269</w:t>
            </w:r>
          </w:p>
        </w:tc>
        <w:tc>
          <w:tcPr>
            <w:tcW w:w="1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252</w:t>
            </w:r>
          </w:p>
        </w:tc>
        <w:tc>
          <w:tcPr>
            <w:tcW w:w="1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249</w:t>
            </w:r>
          </w:p>
        </w:tc>
        <w:tc>
          <w:tcPr>
            <w:tcW w:w="1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236</w:t>
            </w:r>
          </w:p>
        </w:tc>
        <w:tc>
          <w:tcPr>
            <w:tcW w:w="1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9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ind w:left="160"/>
              <w:spacing w:after="0"/>
              <w:rPr>
                <w:sz w:val="20"/>
                <w:szCs w:val="20"/>
                <w:color w:val="auto"/>
              </w:rPr>
            </w:pPr>
            <w:r>
              <w:rPr>
                <w:rFonts w:ascii="Arial" w:cs="Arial" w:eastAsia="Arial" w:hAnsi="Arial"/>
                <w:sz w:val="15"/>
                <w:szCs w:val="15"/>
                <w:b w:val="1"/>
                <w:bCs w:val="1"/>
                <w:color w:val="auto"/>
                <w:w w:val="95"/>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339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364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1,284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1,100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1,069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910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840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980" w:type="dxa"/>
            <w:vAlign w:val="bottom"/>
            <w:shd w:val="clear" w:color="auto" w:fill="CCEEFF"/>
          </w:tcPr>
          <w:p>
            <w:pPr>
              <w:spacing w:after="0"/>
              <w:rPr>
                <w:sz w:val="20"/>
                <w:szCs w:val="20"/>
                <w:color w:val="auto"/>
              </w:rPr>
            </w:pPr>
            <w:r>
              <w:rPr>
                <w:rFonts w:ascii="Arial" w:cs="Arial" w:eastAsia="Arial" w:hAnsi="Arial"/>
                <w:sz w:val="15"/>
                <w:szCs w:val="15"/>
                <w:color w:val="auto"/>
              </w:rPr>
              <w:t>FIXED CHARGES</w:t>
            </w:r>
          </w:p>
        </w:tc>
        <w:tc>
          <w:tcPr>
            <w:tcW w:w="2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980" w:type="dxa"/>
            <w:vAlign w:val="bottom"/>
          </w:tcPr>
          <w:p>
            <w:pPr>
              <w:spacing w:after="0"/>
              <w:rPr>
                <w:sz w:val="20"/>
                <w:szCs w:val="20"/>
                <w:color w:val="auto"/>
              </w:rPr>
            </w:pPr>
            <w:r>
              <w:rPr>
                <w:rFonts w:ascii="Arial" w:cs="Arial" w:eastAsia="Arial" w:hAnsi="Arial"/>
                <w:sz w:val="15"/>
                <w:szCs w:val="15"/>
                <w:color w:val="auto"/>
              </w:rPr>
              <w:t>Gross interest expense</w:t>
            </w:r>
          </w:p>
        </w:tc>
        <w:tc>
          <w:tcPr>
            <w:tcW w:w="260" w:type="dxa"/>
            <w:vAlign w:val="bottom"/>
          </w:tcPr>
          <w:p>
            <w:pPr>
              <w:ind w:left="160"/>
              <w:spacing w:after="0"/>
              <w:rPr>
                <w:sz w:val="20"/>
                <w:szCs w:val="20"/>
                <w:color w:val="auto"/>
              </w:rPr>
            </w:pPr>
            <w:r>
              <w:rPr>
                <w:rFonts w:ascii="Arial" w:cs="Arial" w:eastAsia="Arial" w:hAnsi="Arial"/>
                <w:sz w:val="15"/>
                <w:szCs w:val="15"/>
                <w:b w:val="1"/>
                <w:bCs w:val="1"/>
                <w:color w:val="auto"/>
                <w:w w:val="95"/>
              </w:rPr>
              <w:t>$</w:t>
            </w: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3</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63"/>
              <w:spacing w:after="0"/>
              <w:rPr>
                <w:sz w:val="20"/>
                <w:szCs w:val="20"/>
                <w:color w:val="auto"/>
              </w:rPr>
            </w:pPr>
            <w:r>
              <w:rPr>
                <w:rFonts w:ascii="Arial" w:cs="Arial" w:eastAsia="Arial" w:hAnsi="Arial"/>
                <w:sz w:val="15"/>
                <w:szCs w:val="15"/>
                <w:color w:val="auto"/>
              </w:rPr>
              <w:t>3</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11</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11</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11</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11</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4"/>
        </w:trPr>
        <w:tc>
          <w:tcPr>
            <w:tcW w:w="2980" w:type="dxa"/>
            <w:vAlign w:val="bottom"/>
            <w:shd w:val="clear" w:color="auto" w:fill="CCEEFF"/>
          </w:tcPr>
          <w:p>
            <w:pPr>
              <w:spacing w:after="0"/>
              <w:rPr>
                <w:sz w:val="20"/>
                <w:szCs w:val="20"/>
                <w:color w:val="auto"/>
              </w:rPr>
            </w:pPr>
            <w:r>
              <w:rPr>
                <w:rFonts w:ascii="Arial" w:cs="Arial" w:eastAsia="Arial" w:hAnsi="Arial"/>
                <w:sz w:val="15"/>
                <w:szCs w:val="15"/>
                <w:color w:val="auto"/>
              </w:rPr>
              <w:t>Portion of rents deemed representative of</w:t>
            </w:r>
          </w:p>
        </w:tc>
        <w:tc>
          <w:tcPr>
            <w:tcW w:w="260" w:type="dxa"/>
            <w:vAlign w:val="bottom"/>
            <w:shd w:val="clear" w:color="auto" w:fill="CCEEFF"/>
          </w:tcPr>
          <w:p>
            <w:pPr>
              <w:spacing w:after="0"/>
              <w:rPr>
                <w:sz w:val="24"/>
                <w:szCs w:val="2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67</w:t>
            </w:r>
          </w:p>
        </w:tc>
        <w:tc>
          <w:tcPr>
            <w:tcW w:w="1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9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5"/>
                <w:szCs w:val="15"/>
                <w:color w:val="auto"/>
              </w:rPr>
              <w:t>the interest factor (1/3)</w:t>
            </w:r>
          </w:p>
        </w:tc>
        <w:tc>
          <w:tcPr>
            <w:tcW w:w="26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63</w:t>
            </w:r>
          </w:p>
        </w:tc>
        <w:tc>
          <w:tcPr>
            <w:tcW w:w="26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269</w:t>
            </w:r>
          </w:p>
        </w:tc>
        <w:tc>
          <w:tcPr>
            <w:tcW w:w="1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252</w:t>
            </w:r>
          </w:p>
        </w:tc>
        <w:tc>
          <w:tcPr>
            <w:tcW w:w="1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249</w:t>
            </w:r>
          </w:p>
        </w:tc>
        <w:tc>
          <w:tcPr>
            <w:tcW w:w="1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236</w:t>
            </w:r>
          </w:p>
        </w:tc>
        <w:tc>
          <w:tcPr>
            <w:tcW w:w="1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9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ind w:left="160"/>
              <w:spacing w:after="0"/>
              <w:rPr>
                <w:sz w:val="20"/>
                <w:szCs w:val="20"/>
                <w:color w:val="auto"/>
              </w:rPr>
            </w:pPr>
            <w:r>
              <w:rPr>
                <w:rFonts w:ascii="Arial" w:cs="Arial" w:eastAsia="Arial" w:hAnsi="Arial"/>
                <w:sz w:val="15"/>
                <w:szCs w:val="15"/>
                <w:b w:val="1"/>
                <w:bCs w:val="1"/>
                <w:color w:val="auto"/>
                <w:w w:val="95"/>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70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66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9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80" w:type="dxa"/>
            <w:vAlign w:val="bottom"/>
          </w:tcPr>
          <w:p>
            <w:pPr>
              <w:spacing w:after="0"/>
              <w:rPr>
                <w:sz w:val="20"/>
                <w:szCs w:val="20"/>
                <w:color w:val="auto"/>
              </w:rPr>
            </w:pPr>
            <w:r>
              <w:rPr>
                <w:rFonts w:ascii="Arial" w:cs="Arial" w:eastAsia="Arial" w:hAnsi="Arial"/>
                <w:sz w:val="15"/>
                <w:szCs w:val="15"/>
                <w:color w:val="auto"/>
              </w:rPr>
              <w:t>RATIO OF EARNINGS TO FIXED</w:t>
            </w:r>
          </w:p>
        </w:tc>
        <w:tc>
          <w:tcPr>
            <w:tcW w:w="26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4.8</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980" w:type="dxa"/>
            <w:vAlign w:val="bottom"/>
            <w:tcBorders>
              <w:bottom w:val="single" w:sz="8" w:color="auto"/>
            </w:tcBorders>
          </w:tcPr>
          <w:p>
            <w:pPr>
              <w:ind w:left="160"/>
              <w:spacing w:after="0"/>
              <w:rPr>
                <w:sz w:val="20"/>
                <w:szCs w:val="20"/>
                <w:color w:val="auto"/>
              </w:rPr>
            </w:pPr>
            <w:r>
              <w:rPr>
                <w:rFonts w:ascii="Arial" w:cs="Arial" w:eastAsia="Arial" w:hAnsi="Arial"/>
                <w:sz w:val="15"/>
                <w:szCs w:val="15"/>
                <w:color w:val="auto"/>
              </w:rPr>
              <w:t>CHARGES</w:t>
            </w:r>
          </w:p>
        </w:tc>
        <w:tc>
          <w:tcPr>
            <w:tcW w:w="2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5.5</w:t>
            </w:r>
          </w:p>
        </w:tc>
        <w:tc>
          <w:tcPr>
            <w:tcW w:w="2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w:t>
            </w: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w:t>
            </w: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w:t>
            </w: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w:t>
            </w: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3"/>
        </w:trPr>
        <w:tc>
          <w:tcPr>
            <w:tcW w:w="29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98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6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6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6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62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6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5775325</wp:posOffset>
            </wp:positionH>
            <wp:positionV relativeFrom="paragraph">
              <wp:posOffset>-34925</wp:posOffset>
            </wp:positionV>
            <wp:extent cx="33020" cy="482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020" cy="4826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-34925</wp:posOffset>
            </wp:positionV>
            <wp:extent cx="33020" cy="482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020" cy="48260"/>
                    </a:xfrm>
                    <a:prstGeom prst="rect">
                      <a:avLst/>
                    </a:prstGeom>
                    <a:noFill/>
                  </pic:spPr>
                </pic:pic>
              </a:graphicData>
            </a:graphic>
          </wp:anchor>
        </w:drawing>
      </w:r>
    </w:p>
    <w:p>
      <w:pPr>
        <w:sectPr>
          <w:pgSz w:w="11900" w:h="16838" w:orient="portrait"/>
          <w:cols w:equalWidth="0" w:num="1">
            <w:col w:w="9120"/>
          </w:cols>
          <w:pgMar w:left="1400" w:top="116" w:right="1379" w:bottom="1440" w:gutter="0" w:footer="0" w:header="0"/>
        </w:sectPr>
      </w:pPr>
    </w:p>
    <w:bookmarkStart w:id="28" w:name="page29"/>
    <w:bookmarkEnd w:id="28"/>
    <w:p>
      <w:pPr>
        <w:ind w:left="8380"/>
        <w:spacing w:after="0"/>
        <w:rPr>
          <w:sz w:val="20"/>
          <w:szCs w:val="20"/>
          <w:color w:val="auto"/>
        </w:rPr>
      </w:pPr>
      <w:r>
        <w:rPr>
          <w:rFonts w:ascii="Arial" w:cs="Arial" w:eastAsia="Arial" w:hAnsi="Arial"/>
          <w:sz w:val="15"/>
          <w:szCs w:val="15"/>
          <w:b w:val="1"/>
          <w:bCs w:val="1"/>
          <w:color w:val="auto"/>
        </w:rPr>
        <w:t>Exhibit 15</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ACCOUNTANTS’ ACKNOWLEDGEMENT</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5"/>
          <w:szCs w:val="15"/>
          <w:color w:val="auto"/>
        </w:rPr>
        <w:t>The Board of Directors</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Foot Locker, Inc.:</w:t>
      </w:r>
    </w:p>
    <w:p>
      <w:pPr>
        <w:spacing w:after="0" w:line="241"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We hereby acknowledge our awareness of the use of our report dated June 6, 2017 related to our review of interim financial information in the following Registration Statements:</w:t>
      </w:r>
    </w:p>
    <w:p>
      <w:pPr>
        <w:spacing w:after="0" w:line="182" w:lineRule="exact"/>
        <w:rPr>
          <w:sz w:val="20"/>
          <w:szCs w:val="20"/>
          <w:color w:val="auto"/>
        </w:rPr>
      </w:pPr>
    </w:p>
    <w:p>
      <w:pPr>
        <w:ind w:left="320" w:hanging="202"/>
        <w:spacing w:after="0"/>
        <w:tabs>
          <w:tab w:leader="none" w:pos="3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Form S-8 No. 33-10783</w:t>
      </w:r>
    </w:p>
    <w:p>
      <w:pPr>
        <w:spacing w:after="0" w:line="9" w:lineRule="exact"/>
        <w:rPr>
          <w:rFonts w:ascii="Arial" w:cs="Arial" w:eastAsia="Arial" w:hAnsi="Arial"/>
          <w:sz w:val="15"/>
          <w:szCs w:val="15"/>
          <w:color w:val="auto"/>
        </w:rPr>
      </w:pPr>
    </w:p>
    <w:p>
      <w:pPr>
        <w:ind w:left="320" w:hanging="202"/>
        <w:spacing w:after="0"/>
        <w:tabs>
          <w:tab w:leader="none" w:pos="3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Form S-8 No. 33-91888</w:t>
      </w:r>
    </w:p>
    <w:p>
      <w:pPr>
        <w:spacing w:after="0" w:line="9" w:lineRule="exact"/>
        <w:rPr>
          <w:rFonts w:ascii="Arial" w:cs="Arial" w:eastAsia="Arial" w:hAnsi="Arial"/>
          <w:sz w:val="15"/>
          <w:szCs w:val="15"/>
          <w:color w:val="auto"/>
        </w:rPr>
      </w:pPr>
    </w:p>
    <w:p>
      <w:pPr>
        <w:ind w:left="320" w:hanging="202"/>
        <w:spacing w:after="0"/>
        <w:tabs>
          <w:tab w:leader="none" w:pos="3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Form S-8 No. 33-91886</w:t>
      </w:r>
    </w:p>
    <w:p>
      <w:pPr>
        <w:spacing w:after="0" w:line="9" w:lineRule="exact"/>
        <w:rPr>
          <w:rFonts w:ascii="Arial" w:cs="Arial" w:eastAsia="Arial" w:hAnsi="Arial"/>
          <w:sz w:val="15"/>
          <w:szCs w:val="15"/>
          <w:color w:val="auto"/>
        </w:rPr>
      </w:pPr>
    </w:p>
    <w:p>
      <w:pPr>
        <w:ind w:left="320" w:hanging="202"/>
        <w:spacing w:after="0"/>
        <w:tabs>
          <w:tab w:leader="none" w:pos="3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Form S-8 No. 33-97832</w:t>
      </w:r>
    </w:p>
    <w:p>
      <w:pPr>
        <w:spacing w:after="0" w:line="9" w:lineRule="exact"/>
        <w:rPr>
          <w:rFonts w:ascii="Arial" w:cs="Arial" w:eastAsia="Arial" w:hAnsi="Arial"/>
          <w:sz w:val="15"/>
          <w:szCs w:val="15"/>
          <w:color w:val="auto"/>
        </w:rPr>
      </w:pPr>
    </w:p>
    <w:p>
      <w:pPr>
        <w:ind w:left="320" w:hanging="202"/>
        <w:spacing w:after="0"/>
        <w:tabs>
          <w:tab w:leader="none" w:pos="3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Form S-8 No. 333-07215</w:t>
      </w:r>
    </w:p>
    <w:p>
      <w:pPr>
        <w:spacing w:after="0" w:line="9" w:lineRule="exact"/>
        <w:rPr>
          <w:rFonts w:ascii="Arial" w:cs="Arial" w:eastAsia="Arial" w:hAnsi="Arial"/>
          <w:sz w:val="15"/>
          <w:szCs w:val="15"/>
          <w:color w:val="auto"/>
        </w:rPr>
      </w:pPr>
    </w:p>
    <w:p>
      <w:pPr>
        <w:ind w:left="320" w:hanging="202"/>
        <w:spacing w:after="0"/>
        <w:tabs>
          <w:tab w:leader="none" w:pos="3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Form S-8 No. 333-21131</w:t>
      </w:r>
    </w:p>
    <w:p>
      <w:pPr>
        <w:spacing w:after="0" w:line="9" w:lineRule="exact"/>
        <w:rPr>
          <w:rFonts w:ascii="Arial" w:cs="Arial" w:eastAsia="Arial" w:hAnsi="Arial"/>
          <w:sz w:val="15"/>
          <w:szCs w:val="15"/>
          <w:color w:val="auto"/>
        </w:rPr>
      </w:pPr>
    </w:p>
    <w:p>
      <w:pPr>
        <w:ind w:left="320" w:hanging="202"/>
        <w:spacing w:after="0"/>
        <w:tabs>
          <w:tab w:leader="none" w:pos="3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Form S-8 No. 333-62425</w:t>
      </w:r>
    </w:p>
    <w:p>
      <w:pPr>
        <w:spacing w:after="0" w:line="9" w:lineRule="exact"/>
        <w:rPr>
          <w:rFonts w:ascii="Arial" w:cs="Arial" w:eastAsia="Arial" w:hAnsi="Arial"/>
          <w:sz w:val="15"/>
          <w:szCs w:val="15"/>
          <w:color w:val="auto"/>
        </w:rPr>
      </w:pPr>
    </w:p>
    <w:p>
      <w:pPr>
        <w:ind w:left="320" w:hanging="202"/>
        <w:spacing w:after="0"/>
        <w:tabs>
          <w:tab w:leader="none" w:pos="3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Form S-8 No. 333-33120</w:t>
      </w:r>
    </w:p>
    <w:p>
      <w:pPr>
        <w:spacing w:after="0" w:line="9" w:lineRule="exact"/>
        <w:rPr>
          <w:rFonts w:ascii="Arial" w:cs="Arial" w:eastAsia="Arial" w:hAnsi="Arial"/>
          <w:sz w:val="15"/>
          <w:szCs w:val="15"/>
          <w:color w:val="auto"/>
        </w:rPr>
      </w:pPr>
    </w:p>
    <w:p>
      <w:pPr>
        <w:ind w:left="320" w:hanging="202"/>
        <w:spacing w:after="0"/>
        <w:tabs>
          <w:tab w:leader="none" w:pos="3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Form S-8 No. 333-41056</w:t>
      </w:r>
    </w:p>
    <w:p>
      <w:pPr>
        <w:spacing w:after="0" w:line="9" w:lineRule="exact"/>
        <w:rPr>
          <w:rFonts w:ascii="Arial" w:cs="Arial" w:eastAsia="Arial" w:hAnsi="Arial"/>
          <w:sz w:val="15"/>
          <w:szCs w:val="15"/>
          <w:color w:val="auto"/>
        </w:rPr>
      </w:pPr>
    </w:p>
    <w:p>
      <w:pPr>
        <w:ind w:left="320" w:hanging="202"/>
        <w:spacing w:after="0"/>
        <w:tabs>
          <w:tab w:leader="none" w:pos="3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Form S-8 No. 333-41058</w:t>
      </w:r>
    </w:p>
    <w:p>
      <w:pPr>
        <w:spacing w:after="0" w:line="9" w:lineRule="exact"/>
        <w:rPr>
          <w:rFonts w:ascii="Arial" w:cs="Arial" w:eastAsia="Arial" w:hAnsi="Arial"/>
          <w:sz w:val="15"/>
          <w:szCs w:val="15"/>
          <w:color w:val="auto"/>
        </w:rPr>
      </w:pPr>
    </w:p>
    <w:p>
      <w:pPr>
        <w:ind w:left="320" w:hanging="202"/>
        <w:spacing w:after="0"/>
        <w:tabs>
          <w:tab w:leader="none" w:pos="3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Form S-8 No. 333-74688</w:t>
      </w:r>
    </w:p>
    <w:p>
      <w:pPr>
        <w:spacing w:after="0" w:line="9" w:lineRule="exact"/>
        <w:rPr>
          <w:rFonts w:ascii="Arial" w:cs="Arial" w:eastAsia="Arial" w:hAnsi="Arial"/>
          <w:sz w:val="15"/>
          <w:szCs w:val="15"/>
          <w:color w:val="auto"/>
        </w:rPr>
      </w:pPr>
    </w:p>
    <w:p>
      <w:pPr>
        <w:ind w:left="320" w:hanging="202"/>
        <w:spacing w:after="0"/>
        <w:tabs>
          <w:tab w:leader="none" w:pos="3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Form S-8 No. 333-99829</w:t>
      </w:r>
    </w:p>
    <w:p>
      <w:pPr>
        <w:spacing w:after="0" w:line="9" w:lineRule="exact"/>
        <w:rPr>
          <w:rFonts w:ascii="Arial" w:cs="Arial" w:eastAsia="Arial" w:hAnsi="Arial"/>
          <w:sz w:val="15"/>
          <w:szCs w:val="15"/>
          <w:color w:val="auto"/>
        </w:rPr>
      </w:pPr>
    </w:p>
    <w:p>
      <w:pPr>
        <w:ind w:left="320" w:hanging="202"/>
        <w:spacing w:after="0"/>
        <w:tabs>
          <w:tab w:leader="none" w:pos="3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Form S-8 No. 333-111222</w:t>
      </w:r>
    </w:p>
    <w:p>
      <w:pPr>
        <w:spacing w:after="0" w:line="9" w:lineRule="exact"/>
        <w:rPr>
          <w:rFonts w:ascii="Arial" w:cs="Arial" w:eastAsia="Arial" w:hAnsi="Arial"/>
          <w:sz w:val="15"/>
          <w:szCs w:val="15"/>
          <w:color w:val="auto"/>
        </w:rPr>
      </w:pPr>
    </w:p>
    <w:p>
      <w:pPr>
        <w:ind w:left="320" w:hanging="202"/>
        <w:spacing w:after="0"/>
        <w:tabs>
          <w:tab w:leader="none" w:pos="3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Form S-8 No. 333-121515</w:t>
      </w:r>
    </w:p>
    <w:p>
      <w:pPr>
        <w:spacing w:after="0" w:line="9" w:lineRule="exact"/>
        <w:rPr>
          <w:rFonts w:ascii="Arial" w:cs="Arial" w:eastAsia="Arial" w:hAnsi="Arial"/>
          <w:sz w:val="15"/>
          <w:szCs w:val="15"/>
          <w:color w:val="auto"/>
        </w:rPr>
      </w:pPr>
    </w:p>
    <w:p>
      <w:pPr>
        <w:ind w:left="320" w:hanging="202"/>
        <w:spacing w:after="0"/>
        <w:tabs>
          <w:tab w:leader="none" w:pos="3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Form S-8 No. 333-144044</w:t>
      </w:r>
    </w:p>
    <w:p>
      <w:pPr>
        <w:spacing w:after="0" w:line="9" w:lineRule="exact"/>
        <w:rPr>
          <w:rFonts w:ascii="Arial" w:cs="Arial" w:eastAsia="Arial" w:hAnsi="Arial"/>
          <w:sz w:val="15"/>
          <w:szCs w:val="15"/>
          <w:color w:val="auto"/>
        </w:rPr>
      </w:pPr>
    </w:p>
    <w:p>
      <w:pPr>
        <w:ind w:left="320" w:hanging="202"/>
        <w:spacing w:after="0"/>
        <w:tabs>
          <w:tab w:leader="none" w:pos="3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Form S-8 No. 333-149803</w:t>
      </w:r>
    </w:p>
    <w:p>
      <w:pPr>
        <w:spacing w:after="0" w:line="9" w:lineRule="exact"/>
        <w:rPr>
          <w:rFonts w:ascii="Arial" w:cs="Arial" w:eastAsia="Arial" w:hAnsi="Arial"/>
          <w:sz w:val="15"/>
          <w:szCs w:val="15"/>
          <w:color w:val="auto"/>
        </w:rPr>
      </w:pPr>
    </w:p>
    <w:p>
      <w:pPr>
        <w:ind w:left="320" w:hanging="202"/>
        <w:spacing w:after="0"/>
        <w:tabs>
          <w:tab w:leader="none" w:pos="3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Form S-3 No. 33-43334</w:t>
      </w:r>
    </w:p>
    <w:p>
      <w:pPr>
        <w:spacing w:after="0" w:line="9" w:lineRule="exact"/>
        <w:rPr>
          <w:rFonts w:ascii="Arial" w:cs="Arial" w:eastAsia="Arial" w:hAnsi="Arial"/>
          <w:sz w:val="15"/>
          <w:szCs w:val="15"/>
          <w:color w:val="auto"/>
        </w:rPr>
      </w:pPr>
    </w:p>
    <w:p>
      <w:pPr>
        <w:ind w:left="320" w:hanging="202"/>
        <w:spacing w:after="0"/>
        <w:tabs>
          <w:tab w:leader="none" w:pos="3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Form S-3 No. 33-86300</w:t>
      </w:r>
    </w:p>
    <w:p>
      <w:pPr>
        <w:spacing w:after="0" w:line="9" w:lineRule="exact"/>
        <w:rPr>
          <w:rFonts w:ascii="Arial" w:cs="Arial" w:eastAsia="Arial" w:hAnsi="Arial"/>
          <w:sz w:val="15"/>
          <w:szCs w:val="15"/>
          <w:color w:val="auto"/>
        </w:rPr>
      </w:pPr>
    </w:p>
    <w:p>
      <w:pPr>
        <w:ind w:left="320" w:hanging="202"/>
        <w:spacing w:after="0"/>
        <w:tabs>
          <w:tab w:leader="none" w:pos="3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Form S-3 No. 333-64930</w:t>
      </w:r>
    </w:p>
    <w:p>
      <w:pPr>
        <w:spacing w:after="0" w:line="9" w:lineRule="exact"/>
        <w:rPr>
          <w:rFonts w:ascii="Arial" w:cs="Arial" w:eastAsia="Arial" w:hAnsi="Arial"/>
          <w:sz w:val="15"/>
          <w:szCs w:val="15"/>
          <w:color w:val="auto"/>
        </w:rPr>
      </w:pPr>
    </w:p>
    <w:p>
      <w:pPr>
        <w:ind w:left="320" w:hanging="202"/>
        <w:spacing w:after="0"/>
        <w:tabs>
          <w:tab w:leader="none" w:pos="3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Form S-8 No. 333-167066</w:t>
      </w:r>
    </w:p>
    <w:p>
      <w:pPr>
        <w:spacing w:after="0" w:line="9" w:lineRule="exact"/>
        <w:rPr>
          <w:rFonts w:ascii="Arial" w:cs="Arial" w:eastAsia="Arial" w:hAnsi="Arial"/>
          <w:sz w:val="15"/>
          <w:szCs w:val="15"/>
          <w:color w:val="auto"/>
        </w:rPr>
      </w:pPr>
    </w:p>
    <w:p>
      <w:pPr>
        <w:ind w:left="320" w:hanging="202"/>
        <w:spacing w:after="0"/>
        <w:tabs>
          <w:tab w:leader="none" w:pos="3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Form S-8 No. 333-171523</w:t>
      </w:r>
    </w:p>
    <w:p>
      <w:pPr>
        <w:spacing w:after="0" w:line="9" w:lineRule="exact"/>
        <w:rPr>
          <w:rFonts w:ascii="Arial" w:cs="Arial" w:eastAsia="Arial" w:hAnsi="Arial"/>
          <w:sz w:val="15"/>
          <w:szCs w:val="15"/>
          <w:color w:val="auto"/>
        </w:rPr>
      </w:pPr>
    </w:p>
    <w:p>
      <w:pPr>
        <w:ind w:left="320" w:hanging="202"/>
        <w:spacing w:after="0"/>
        <w:tabs>
          <w:tab w:leader="none" w:pos="3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Form S-8 No. 333-190680</w:t>
      </w:r>
    </w:p>
    <w:p>
      <w:pPr>
        <w:spacing w:after="0" w:line="9" w:lineRule="exact"/>
        <w:rPr>
          <w:rFonts w:ascii="Arial" w:cs="Arial" w:eastAsia="Arial" w:hAnsi="Arial"/>
          <w:sz w:val="15"/>
          <w:szCs w:val="15"/>
          <w:color w:val="auto"/>
        </w:rPr>
      </w:pPr>
    </w:p>
    <w:p>
      <w:pPr>
        <w:ind w:left="320" w:hanging="202"/>
        <w:spacing w:after="0"/>
        <w:tabs>
          <w:tab w:leader="none" w:pos="3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Form S-8 No. 333-196899</w:t>
      </w:r>
    </w:p>
    <w:p>
      <w:pPr>
        <w:spacing w:after="0" w:line="180"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Pursuant to Rule 436(c) under the Securities Act of 1933 (the Act), such report is not considered a part of the registration statement prepared or certified by an independent registered public accounting firm or a report prepared or certified by an independent registered public accounting firm within the meaning of Sections 7 and 11 of the Act.</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5"/>
          <w:szCs w:val="15"/>
          <w:color w:val="auto"/>
        </w:rPr>
        <w:t>/s/ KPMG LLP</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New York, New York</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June 6,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236855</wp:posOffset>
            </wp:positionV>
            <wp:extent cx="5817870" cy="482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116" w:right="1399" w:bottom="1440" w:gutter="0" w:footer="0" w:header="0"/>
        </w:sectPr>
      </w:pPr>
    </w:p>
    <w:bookmarkStart w:id="29" w:name="page30"/>
    <w:bookmarkEnd w:id="29"/>
    <w:p>
      <w:pPr>
        <w:ind w:left="8200"/>
        <w:spacing w:after="0"/>
        <w:rPr>
          <w:sz w:val="20"/>
          <w:szCs w:val="20"/>
          <w:color w:val="auto"/>
        </w:rPr>
      </w:pPr>
      <w:r>
        <w:rPr>
          <w:rFonts w:ascii="Arial" w:cs="Arial" w:eastAsia="Arial" w:hAnsi="Arial"/>
          <w:sz w:val="15"/>
          <w:szCs w:val="15"/>
          <w:b w:val="1"/>
          <w:bCs w:val="1"/>
          <w:color w:val="auto"/>
        </w:rPr>
        <w:t>Exhibit 31.1</w:t>
      </w:r>
    </w:p>
    <w:p>
      <w:pPr>
        <w:spacing w:after="0" w:line="16" w:lineRule="exact"/>
        <w:rPr>
          <w:sz w:val="20"/>
          <w:szCs w:val="20"/>
          <w:color w:val="auto"/>
        </w:rPr>
      </w:pPr>
    </w:p>
    <w:p>
      <w:pPr>
        <w:jc w:val="center"/>
        <w:ind w:right="260"/>
        <w:spacing w:after="0"/>
        <w:rPr>
          <w:sz w:val="20"/>
          <w:szCs w:val="20"/>
          <w:color w:val="auto"/>
        </w:rPr>
      </w:pPr>
      <w:r>
        <w:rPr>
          <w:rFonts w:ascii="Arial" w:cs="Arial" w:eastAsia="Arial" w:hAnsi="Arial"/>
          <w:sz w:val="15"/>
          <w:szCs w:val="15"/>
          <w:b w:val="1"/>
          <w:bCs w:val="1"/>
          <w:color w:val="auto"/>
        </w:rPr>
        <w:t>CERTIFICATION</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5"/>
          <w:szCs w:val="15"/>
          <w:color w:val="auto"/>
        </w:rPr>
        <w:t>I, Richard A. Johnson, certify that:</w:t>
      </w:r>
    </w:p>
    <w:p>
      <w:pPr>
        <w:spacing w:after="0" w:line="156" w:lineRule="exact"/>
        <w:rPr>
          <w:sz w:val="20"/>
          <w:szCs w:val="20"/>
          <w:color w:val="auto"/>
        </w:rPr>
      </w:pPr>
    </w:p>
    <w:p>
      <w:pPr>
        <w:ind w:left="880" w:hanging="696"/>
        <w:spacing w:after="0"/>
        <w:tabs>
          <w:tab w:leader="none" w:pos="880" w:val="left"/>
        </w:tabs>
        <w:numPr>
          <w:ilvl w:val="0"/>
          <w:numId w:val="11"/>
        </w:numPr>
        <w:rPr>
          <w:rFonts w:ascii="Arial" w:cs="Arial" w:eastAsia="Arial" w:hAnsi="Arial"/>
          <w:sz w:val="15"/>
          <w:szCs w:val="15"/>
          <w:color w:val="auto"/>
        </w:rPr>
      </w:pPr>
      <w:r>
        <w:rPr>
          <w:rFonts w:ascii="Arial" w:cs="Arial" w:eastAsia="Arial" w:hAnsi="Arial"/>
          <w:sz w:val="15"/>
          <w:szCs w:val="15"/>
          <w:color w:val="auto"/>
        </w:rPr>
        <w:t>I have reviewed this quarterly report on Form 10-Q of Foot Locker, Inc. (the “Registrant”);</w:t>
      </w:r>
    </w:p>
    <w:p>
      <w:pPr>
        <w:spacing w:after="0" w:line="228" w:lineRule="exact"/>
        <w:rPr>
          <w:rFonts w:ascii="Arial" w:cs="Arial" w:eastAsia="Arial" w:hAnsi="Arial"/>
          <w:sz w:val="15"/>
          <w:szCs w:val="15"/>
          <w:color w:val="auto"/>
        </w:rPr>
      </w:pPr>
    </w:p>
    <w:p>
      <w:pPr>
        <w:jc w:val="both"/>
        <w:ind w:left="880" w:hanging="696"/>
        <w:spacing w:after="0" w:line="245" w:lineRule="auto"/>
        <w:tabs>
          <w:tab w:leader="none" w:pos="880" w:val="left"/>
        </w:tabs>
        <w:numPr>
          <w:ilvl w:val="0"/>
          <w:numId w:val="1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1" w:lineRule="exact"/>
        <w:rPr>
          <w:rFonts w:ascii="Arial" w:cs="Arial" w:eastAsia="Arial" w:hAnsi="Arial"/>
          <w:sz w:val="15"/>
          <w:szCs w:val="15"/>
          <w:color w:val="auto"/>
        </w:rPr>
      </w:pPr>
    </w:p>
    <w:p>
      <w:pPr>
        <w:jc w:val="both"/>
        <w:ind w:left="880" w:hanging="696"/>
        <w:spacing w:after="0" w:line="245" w:lineRule="auto"/>
        <w:tabs>
          <w:tab w:leader="none" w:pos="880" w:val="left"/>
        </w:tabs>
        <w:numPr>
          <w:ilvl w:val="0"/>
          <w:numId w:val="11"/>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1" w:lineRule="exact"/>
        <w:rPr>
          <w:rFonts w:ascii="Arial" w:cs="Arial" w:eastAsia="Arial" w:hAnsi="Arial"/>
          <w:sz w:val="15"/>
          <w:szCs w:val="15"/>
          <w:color w:val="auto"/>
        </w:rPr>
      </w:pPr>
    </w:p>
    <w:p>
      <w:pPr>
        <w:jc w:val="both"/>
        <w:ind w:left="880" w:hanging="696"/>
        <w:spacing w:after="0" w:line="245" w:lineRule="auto"/>
        <w:tabs>
          <w:tab w:leader="none" w:pos="880"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47" w:lineRule="exact"/>
        <w:rPr>
          <w:rFonts w:ascii="Arial" w:cs="Arial" w:eastAsia="Arial" w:hAnsi="Arial"/>
          <w:sz w:val="15"/>
          <w:szCs w:val="15"/>
          <w:color w:val="auto"/>
        </w:rPr>
      </w:pPr>
    </w:p>
    <w:p>
      <w:pPr>
        <w:jc w:val="both"/>
        <w:ind w:left="1580" w:hanging="691"/>
        <w:spacing w:after="0" w:line="242" w:lineRule="auto"/>
        <w:tabs>
          <w:tab w:leader="none" w:pos="1580" w:val="left"/>
        </w:tabs>
        <w:numPr>
          <w:ilvl w:val="1"/>
          <w:numId w:val="11"/>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01" w:lineRule="exact"/>
        <w:rPr>
          <w:rFonts w:ascii="Arial" w:cs="Arial" w:eastAsia="Arial" w:hAnsi="Arial"/>
          <w:sz w:val="15"/>
          <w:szCs w:val="15"/>
          <w:color w:val="auto"/>
        </w:rPr>
      </w:pPr>
    </w:p>
    <w:p>
      <w:pPr>
        <w:jc w:val="both"/>
        <w:ind w:left="1580" w:hanging="691"/>
        <w:spacing w:after="0" w:line="242" w:lineRule="auto"/>
        <w:tabs>
          <w:tab w:leader="none" w:pos="1580" w:val="left"/>
        </w:tabs>
        <w:numPr>
          <w:ilvl w:val="1"/>
          <w:numId w:val="11"/>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9" w:lineRule="exact"/>
        <w:rPr>
          <w:rFonts w:ascii="Arial" w:cs="Arial" w:eastAsia="Arial" w:hAnsi="Arial"/>
          <w:sz w:val="15"/>
          <w:szCs w:val="15"/>
          <w:color w:val="auto"/>
        </w:rPr>
      </w:pPr>
    </w:p>
    <w:p>
      <w:pPr>
        <w:jc w:val="both"/>
        <w:ind w:left="1580" w:hanging="691"/>
        <w:spacing w:after="0" w:line="245" w:lineRule="auto"/>
        <w:tabs>
          <w:tab w:leader="none" w:pos="1580" w:val="left"/>
        </w:tabs>
        <w:numPr>
          <w:ilvl w:val="1"/>
          <w:numId w:val="1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86" w:lineRule="exact"/>
        <w:rPr>
          <w:rFonts w:ascii="Arial" w:cs="Arial" w:eastAsia="Arial" w:hAnsi="Arial"/>
          <w:sz w:val="15"/>
          <w:szCs w:val="15"/>
          <w:color w:val="auto"/>
        </w:rPr>
      </w:pPr>
    </w:p>
    <w:p>
      <w:pPr>
        <w:jc w:val="both"/>
        <w:ind w:left="1580" w:hanging="691"/>
        <w:spacing w:after="0" w:line="242" w:lineRule="auto"/>
        <w:tabs>
          <w:tab w:leader="none" w:pos="1580" w:val="left"/>
        </w:tabs>
        <w:numPr>
          <w:ilvl w:val="1"/>
          <w:numId w:val="11"/>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89" w:lineRule="exact"/>
        <w:rPr>
          <w:rFonts w:ascii="Arial" w:cs="Arial" w:eastAsia="Arial" w:hAnsi="Arial"/>
          <w:sz w:val="15"/>
          <w:szCs w:val="15"/>
          <w:color w:val="auto"/>
        </w:rPr>
      </w:pPr>
    </w:p>
    <w:p>
      <w:pPr>
        <w:jc w:val="both"/>
        <w:ind w:left="880" w:hanging="696"/>
        <w:spacing w:after="0" w:line="245" w:lineRule="auto"/>
        <w:tabs>
          <w:tab w:leader="none" w:pos="880"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5" w:lineRule="exact"/>
        <w:rPr>
          <w:rFonts w:ascii="Arial" w:cs="Arial" w:eastAsia="Arial" w:hAnsi="Arial"/>
          <w:sz w:val="15"/>
          <w:szCs w:val="15"/>
          <w:color w:val="auto"/>
        </w:rPr>
      </w:pPr>
    </w:p>
    <w:p>
      <w:pPr>
        <w:jc w:val="both"/>
        <w:ind w:left="1580" w:hanging="691"/>
        <w:spacing w:after="0" w:line="245" w:lineRule="auto"/>
        <w:tabs>
          <w:tab w:leader="none" w:pos="1580" w:val="left"/>
        </w:tabs>
        <w:numPr>
          <w:ilvl w:val="1"/>
          <w:numId w:val="11"/>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3" w:lineRule="exact"/>
        <w:rPr>
          <w:rFonts w:ascii="Arial" w:cs="Arial" w:eastAsia="Arial" w:hAnsi="Arial"/>
          <w:sz w:val="15"/>
          <w:szCs w:val="15"/>
          <w:color w:val="auto"/>
        </w:rPr>
      </w:pPr>
    </w:p>
    <w:p>
      <w:pPr>
        <w:ind w:left="1580" w:hanging="691"/>
        <w:spacing w:after="0" w:line="254" w:lineRule="auto"/>
        <w:tabs>
          <w:tab w:leader="none" w:pos="1580" w:val="left"/>
        </w:tabs>
        <w:numPr>
          <w:ilvl w:val="1"/>
          <w:numId w:val="11"/>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pacing w:after="0" w:line="255" w:lineRule="exact"/>
        <w:rPr>
          <w:sz w:val="20"/>
          <w:szCs w:val="20"/>
          <w:color w:val="auto"/>
        </w:rPr>
      </w:pPr>
    </w:p>
    <w:p>
      <w:pPr>
        <w:ind w:left="180"/>
        <w:spacing w:after="0"/>
        <w:rPr>
          <w:sz w:val="20"/>
          <w:szCs w:val="20"/>
          <w:color w:val="auto"/>
        </w:rPr>
      </w:pPr>
      <w:r>
        <w:rPr>
          <w:rFonts w:ascii="Arial" w:cs="Arial" w:eastAsia="Arial" w:hAnsi="Arial"/>
          <w:sz w:val="15"/>
          <w:szCs w:val="15"/>
          <w:color w:val="auto"/>
        </w:rPr>
        <w:t>June 6, 2017</w:t>
      </w:r>
    </w:p>
    <w:p>
      <w:pPr>
        <w:spacing w:after="0" w:line="59" w:lineRule="exact"/>
        <w:rPr>
          <w:sz w:val="20"/>
          <w:szCs w:val="20"/>
          <w:color w:val="auto"/>
        </w:rPr>
      </w:pPr>
    </w:p>
    <w:p>
      <w:pPr>
        <w:ind w:left="6840"/>
        <w:spacing w:after="0"/>
        <w:rPr>
          <w:sz w:val="20"/>
          <w:szCs w:val="20"/>
          <w:color w:val="auto"/>
        </w:rPr>
      </w:pPr>
      <w:r>
        <w:rPr>
          <w:rFonts w:ascii="Arial" w:cs="Arial" w:eastAsia="Arial" w:hAnsi="Arial"/>
          <w:sz w:val="15"/>
          <w:szCs w:val="15"/>
          <w:color w:val="auto"/>
        </w:rPr>
        <w:t>/s/ Richard A.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4341495</wp:posOffset>
            </wp:positionH>
            <wp:positionV relativeFrom="paragraph">
              <wp:posOffset>1905</wp:posOffset>
            </wp:positionV>
            <wp:extent cx="1552575"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552575" cy="7620"/>
                    </a:xfrm>
                    <a:prstGeom prst="rect">
                      <a:avLst/>
                    </a:prstGeom>
                    <a:noFill/>
                  </pic:spPr>
                </pic:pic>
              </a:graphicData>
            </a:graphic>
          </wp:anchor>
        </w:drawing>
      </w:r>
    </w:p>
    <w:p>
      <w:pPr>
        <w:spacing w:after="0" w:line="39" w:lineRule="exact"/>
        <w:rPr>
          <w:sz w:val="20"/>
          <w:szCs w:val="20"/>
          <w:color w:val="auto"/>
        </w:rPr>
      </w:pPr>
    </w:p>
    <w:p>
      <w:pPr>
        <w:ind w:left="6840"/>
        <w:spacing w:after="0"/>
        <w:rPr>
          <w:sz w:val="20"/>
          <w:szCs w:val="20"/>
          <w:color w:val="auto"/>
        </w:rPr>
      </w:pPr>
      <w:r>
        <w:rPr>
          <w:rFonts w:ascii="Arial" w:cs="Arial" w:eastAsia="Arial" w:hAnsi="Arial"/>
          <w:sz w:val="15"/>
          <w:szCs w:val="15"/>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120650</wp:posOffset>
            </wp:positionV>
            <wp:extent cx="5817870" cy="482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280"/>
          </w:cols>
          <w:pgMar w:left="1440" w:top="115" w:right="1179" w:bottom="1440" w:gutter="0" w:footer="0" w:header="0"/>
        </w:sectPr>
      </w:pPr>
    </w:p>
    <w:bookmarkStart w:id="30" w:name="page31"/>
    <w:bookmarkEnd w:id="30"/>
    <w:p>
      <w:pPr>
        <w:jc w:val="right"/>
        <w:spacing w:after="0"/>
        <w:rPr>
          <w:sz w:val="20"/>
          <w:szCs w:val="20"/>
          <w:color w:val="auto"/>
        </w:rPr>
      </w:pPr>
      <w:r>
        <w:rPr>
          <w:rFonts w:ascii="Arial" w:cs="Arial" w:eastAsia="Arial" w:hAnsi="Arial"/>
          <w:sz w:val="15"/>
          <w:szCs w:val="15"/>
          <w:b w:val="1"/>
          <w:bCs w:val="1"/>
          <w:color w:val="auto"/>
        </w:rPr>
        <w:t>Exhibit 31.2</w:t>
      </w:r>
    </w:p>
    <w:p>
      <w:pPr>
        <w:spacing w:after="0" w:line="119"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CERTIFICATION</w:t>
      </w:r>
    </w:p>
    <w:p>
      <w:pPr>
        <w:spacing w:after="0" w:line="137" w:lineRule="exact"/>
        <w:rPr>
          <w:sz w:val="20"/>
          <w:szCs w:val="20"/>
          <w:color w:val="auto"/>
        </w:rPr>
      </w:pPr>
    </w:p>
    <w:p>
      <w:pPr>
        <w:ind w:left="180"/>
        <w:spacing w:after="0"/>
        <w:rPr>
          <w:sz w:val="20"/>
          <w:szCs w:val="20"/>
          <w:color w:val="auto"/>
        </w:rPr>
      </w:pPr>
      <w:r>
        <w:rPr>
          <w:rFonts w:ascii="Arial" w:cs="Arial" w:eastAsia="Arial" w:hAnsi="Arial"/>
          <w:sz w:val="15"/>
          <w:szCs w:val="15"/>
          <w:color w:val="auto"/>
        </w:rPr>
        <w:t>I, Lauren B. Peters, certify that:</w:t>
      </w:r>
    </w:p>
    <w:p>
      <w:pPr>
        <w:spacing w:after="0" w:line="132" w:lineRule="exact"/>
        <w:rPr>
          <w:sz w:val="20"/>
          <w:szCs w:val="20"/>
          <w:color w:val="auto"/>
        </w:rPr>
      </w:pPr>
    </w:p>
    <w:p>
      <w:pPr>
        <w:ind w:left="880" w:hanging="696"/>
        <w:spacing w:after="0"/>
        <w:tabs>
          <w:tab w:leader="none" w:pos="8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I have reviewed this quarterly report on Form 10-Q of Foot Locker, Inc. (the “Registrant”);</w:t>
      </w:r>
    </w:p>
    <w:p>
      <w:pPr>
        <w:spacing w:after="0" w:line="253" w:lineRule="exact"/>
        <w:rPr>
          <w:rFonts w:ascii="Arial" w:cs="Arial" w:eastAsia="Arial" w:hAnsi="Arial"/>
          <w:sz w:val="15"/>
          <w:szCs w:val="15"/>
          <w:color w:val="auto"/>
        </w:rPr>
      </w:pPr>
    </w:p>
    <w:p>
      <w:pPr>
        <w:jc w:val="both"/>
        <w:ind w:left="880" w:hanging="696"/>
        <w:spacing w:after="0" w:line="245" w:lineRule="auto"/>
        <w:tabs>
          <w:tab w:leader="none" w:pos="8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8" w:lineRule="exact"/>
        <w:rPr>
          <w:rFonts w:ascii="Arial" w:cs="Arial" w:eastAsia="Arial" w:hAnsi="Arial"/>
          <w:sz w:val="15"/>
          <w:szCs w:val="15"/>
          <w:color w:val="auto"/>
        </w:rPr>
      </w:pPr>
    </w:p>
    <w:p>
      <w:pPr>
        <w:jc w:val="both"/>
        <w:ind w:left="880" w:hanging="696"/>
        <w:spacing w:after="0" w:line="245" w:lineRule="auto"/>
        <w:tabs>
          <w:tab w:leader="none" w:pos="8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86" w:lineRule="exact"/>
        <w:rPr>
          <w:rFonts w:ascii="Arial" w:cs="Arial" w:eastAsia="Arial" w:hAnsi="Arial"/>
          <w:sz w:val="15"/>
          <w:szCs w:val="15"/>
          <w:color w:val="auto"/>
        </w:rPr>
      </w:pPr>
    </w:p>
    <w:p>
      <w:pPr>
        <w:jc w:val="both"/>
        <w:ind w:left="880" w:hanging="696"/>
        <w:spacing w:after="0" w:line="245" w:lineRule="auto"/>
        <w:tabs>
          <w:tab w:leader="none" w:pos="8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59" w:lineRule="exact"/>
        <w:rPr>
          <w:rFonts w:ascii="Arial" w:cs="Arial" w:eastAsia="Arial" w:hAnsi="Arial"/>
          <w:sz w:val="15"/>
          <w:szCs w:val="15"/>
          <w:color w:val="auto"/>
        </w:rPr>
      </w:pPr>
    </w:p>
    <w:p>
      <w:pPr>
        <w:jc w:val="both"/>
        <w:ind w:left="1580" w:hanging="691"/>
        <w:spacing w:after="0" w:line="242" w:lineRule="auto"/>
        <w:tabs>
          <w:tab w:leader="none" w:pos="1580" w:val="left"/>
        </w:tabs>
        <w:numPr>
          <w:ilvl w:val="1"/>
          <w:numId w:val="12"/>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77" w:lineRule="exact"/>
        <w:rPr>
          <w:rFonts w:ascii="Arial" w:cs="Arial" w:eastAsia="Arial" w:hAnsi="Arial"/>
          <w:sz w:val="15"/>
          <w:szCs w:val="15"/>
          <w:color w:val="auto"/>
        </w:rPr>
      </w:pPr>
    </w:p>
    <w:p>
      <w:pPr>
        <w:jc w:val="both"/>
        <w:ind w:left="1580" w:hanging="691"/>
        <w:spacing w:after="0" w:line="242" w:lineRule="auto"/>
        <w:tabs>
          <w:tab w:leader="none" w:pos="1580" w:val="left"/>
        </w:tabs>
        <w:numPr>
          <w:ilvl w:val="1"/>
          <w:numId w:val="12"/>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2" w:lineRule="exact"/>
        <w:rPr>
          <w:rFonts w:ascii="Arial" w:cs="Arial" w:eastAsia="Arial" w:hAnsi="Arial"/>
          <w:sz w:val="15"/>
          <w:szCs w:val="15"/>
          <w:color w:val="auto"/>
        </w:rPr>
      </w:pPr>
    </w:p>
    <w:p>
      <w:pPr>
        <w:jc w:val="both"/>
        <w:ind w:left="1580" w:hanging="691"/>
        <w:spacing w:after="0" w:line="245" w:lineRule="auto"/>
        <w:tabs>
          <w:tab w:leader="none" w:pos="1580" w:val="left"/>
        </w:tabs>
        <w:numPr>
          <w:ilvl w:val="1"/>
          <w:numId w:val="1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5" w:lineRule="exact"/>
        <w:rPr>
          <w:rFonts w:ascii="Arial" w:cs="Arial" w:eastAsia="Arial" w:hAnsi="Arial"/>
          <w:sz w:val="15"/>
          <w:szCs w:val="15"/>
          <w:color w:val="auto"/>
        </w:rPr>
      </w:pPr>
    </w:p>
    <w:p>
      <w:pPr>
        <w:jc w:val="both"/>
        <w:ind w:left="1580" w:hanging="691"/>
        <w:spacing w:after="0" w:line="242" w:lineRule="auto"/>
        <w:tabs>
          <w:tab w:leader="none" w:pos="1580" w:val="left"/>
        </w:tabs>
        <w:numPr>
          <w:ilvl w:val="1"/>
          <w:numId w:val="12"/>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40" w:lineRule="exact"/>
        <w:rPr>
          <w:rFonts w:ascii="Arial" w:cs="Arial" w:eastAsia="Arial" w:hAnsi="Arial"/>
          <w:sz w:val="15"/>
          <w:szCs w:val="15"/>
          <w:color w:val="auto"/>
        </w:rPr>
      </w:pPr>
    </w:p>
    <w:p>
      <w:pPr>
        <w:jc w:val="both"/>
        <w:ind w:left="880" w:hanging="696"/>
        <w:spacing w:after="0" w:line="245" w:lineRule="auto"/>
        <w:tabs>
          <w:tab w:leader="none" w:pos="8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5"/>
          <w:szCs w:val="15"/>
          <w:color w:val="auto"/>
        </w:rPr>
      </w:pPr>
    </w:p>
    <w:p>
      <w:pPr>
        <w:jc w:val="both"/>
        <w:ind w:left="1580" w:hanging="691"/>
        <w:spacing w:after="0" w:line="245" w:lineRule="auto"/>
        <w:tabs>
          <w:tab w:leader="none" w:pos="1580" w:val="left"/>
        </w:tabs>
        <w:numPr>
          <w:ilvl w:val="1"/>
          <w:numId w:val="12"/>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Arial" w:cs="Arial" w:eastAsia="Arial" w:hAnsi="Arial"/>
          <w:sz w:val="15"/>
          <w:szCs w:val="15"/>
          <w:color w:val="auto"/>
        </w:rPr>
      </w:pPr>
    </w:p>
    <w:p>
      <w:pPr>
        <w:ind w:left="1580" w:hanging="691"/>
        <w:spacing w:after="0" w:line="254" w:lineRule="auto"/>
        <w:tabs>
          <w:tab w:leader="none" w:pos="1580" w:val="left"/>
        </w:tabs>
        <w:numPr>
          <w:ilvl w:val="1"/>
          <w:numId w:val="12"/>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pacing w:after="0" w:line="207" w:lineRule="exact"/>
        <w:rPr>
          <w:sz w:val="20"/>
          <w:szCs w:val="20"/>
          <w:color w:val="auto"/>
        </w:rPr>
      </w:pPr>
    </w:p>
    <w:p>
      <w:pPr>
        <w:ind w:left="180"/>
        <w:spacing w:after="0"/>
        <w:rPr>
          <w:sz w:val="20"/>
          <w:szCs w:val="20"/>
          <w:color w:val="auto"/>
        </w:rPr>
      </w:pPr>
      <w:r>
        <w:rPr>
          <w:rFonts w:ascii="Arial" w:cs="Arial" w:eastAsia="Arial" w:hAnsi="Arial"/>
          <w:sz w:val="15"/>
          <w:szCs w:val="15"/>
          <w:color w:val="auto"/>
        </w:rPr>
        <w:t>June 6, 2017</w:t>
      </w:r>
    </w:p>
    <w:p>
      <w:pPr>
        <w:spacing w:after="0" w:line="59" w:lineRule="exact"/>
        <w:rPr>
          <w:sz w:val="20"/>
          <w:szCs w:val="20"/>
          <w:color w:val="auto"/>
        </w:rPr>
      </w:pPr>
    </w:p>
    <w:p>
      <w:pPr>
        <w:ind w:left="6920"/>
        <w:spacing w:after="0"/>
        <w:rPr>
          <w:sz w:val="20"/>
          <w:szCs w:val="20"/>
          <w:color w:val="auto"/>
        </w:rPr>
      </w:pPr>
      <w:r>
        <w:rPr>
          <w:rFonts w:ascii="Arial" w:cs="Arial" w:eastAsia="Arial" w:hAnsi="Arial"/>
          <w:sz w:val="15"/>
          <w:szCs w:val="15"/>
          <w:color w:val="auto"/>
        </w:rPr>
        <w:t>/s/ Lauren B. Peters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4395470</wp:posOffset>
            </wp:positionH>
            <wp:positionV relativeFrom="paragraph">
              <wp:posOffset>1905</wp:posOffset>
            </wp:positionV>
            <wp:extent cx="1498600"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498600" cy="7620"/>
                    </a:xfrm>
                    <a:prstGeom prst="rect">
                      <a:avLst/>
                    </a:prstGeom>
                    <a:noFill/>
                  </pic:spPr>
                </pic:pic>
              </a:graphicData>
            </a:graphic>
          </wp:anchor>
        </w:drawing>
      </w:r>
    </w:p>
    <w:p>
      <w:pPr>
        <w:spacing w:after="0" w:line="39" w:lineRule="exact"/>
        <w:rPr>
          <w:sz w:val="20"/>
          <w:szCs w:val="20"/>
          <w:color w:val="auto"/>
        </w:rPr>
      </w:pPr>
    </w:p>
    <w:p>
      <w:pPr>
        <w:ind w:left="6920"/>
        <w:spacing w:after="0"/>
        <w:rPr>
          <w:sz w:val="20"/>
          <w:szCs w:val="20"/>
          <w:color w:val="auto"/>
        </w:rPr>
      </w:pPr>
      <w:r>
        <w:rPr>
          <w:rFonts w:ascii="Arial" w:cs="Arial" w:eastAsia="Arial" w:hAnsi="Arial"/>
          <w:sz w:val="15"/>
          <w:szCs w:val="15"/>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220980</wp:posOffset>
            </wp:positionV>
            <wp:extent cx="5817870" cy="482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060"/>
          </w:cols>
          <w:pgMar w:left="1440" w:top="128" w:right="1399" w:bottom="1440" w:gutter="0" w:footer="0" w:header="0"/>
        </w:sectPr>
      </w:pPr>
    </w:p>
    <w:bookmarkStart w:id="31" w:name="page32"/>
    <w:bookmarkEnd w:id="31"/>
    <w:p>
      <w:pPr>
        <w:jc w:val="right"/>
        <w:spacing w:after="0"/>
        <w:rPr>
          <w:sz w:val="20"/>
          <w:szCs w:val="20"/>
          <w:color w:val="auto"/>
        </w:rPr>
      </w:pPr>
      <w:r>
        <w:rPr>
          <w:rFonts w:ascii="Arial" w:cs="Arial" w:eastAsia="Arial" w:hAnsi="Arial"/>
          <w:sz w:val="15"/>
          <w:szCs w:val="15"/>
          <w:b w:val="1"/>
          <w:bCs w:val="1"/>
          <w:color w:val="auto"/>
        </w:rPr>
        <w:t>Exhibit 32</w:t>
      </w:r>
    </w:p>
    <w:p>
      <w:pPr>
        <w:spacing w:after="0" w:line="168" w:lineRule="exact"/>
        <w:rPr>
          <w:sz w:val="20"/>
          <w:szCs w:val="20"/>
          <w:color w:val="auto"/>
        </w:rPr>
      </w:pPr>
    </w:p>
    <w:p>
      <w:pPr>
        <w:ind w:left="3800"/>
        <w:spacing w:after="0"/>
        <w:rPr>
          <w:sz w:val="20"/>
          <w:szCs w:val="20"/>
          <w:color w:val="auto"/>
        </w:rPr>
      </w:pPr>
      <w:r>
        <w:rPr>
          <w:rFonts w:ascii="Arial" w:cs="Arial" w:eastAsia="Arial" w:hAnsi="Arial"/>
          <w:sz w:val="15"/>
          <w:szCs w:val="15"/>
          <w:b w:val="1"/>
          <w:bCs w:val="1"/>
          <w:color w:val="auto"/>
        </w:rPr>
        <w:t>FOOT LOCKER, INC.</w:t>
      </w:r>
    </w:p>
    <w:p>
      <w:pPr>
        <w:spacing w:after="0" w:line="168" w:lineRule="exact"/>
        <w:rPr>
          <w:sz w:val="20"/>
          <w:szCs w:val="20"/>
          <w:color w:val="auto"/>
        </w:rPr>
      </w:pPr>
    </w:p>
    <w:p>
      <w:pPr>
        <w:ind w:left="3380"/>
        <w:spacing w:after="0"/>
        <w:rPr>
          <w:sz w:val="20"/>
          <w:szCs w:val="20"/>
          <w:color w:val="auto"/>
        </w:rPr>
      </w:pPr>
      <w:r>
        <w:rPr>
          <w:rFonts w:ascii="Arial" w:cs="Arial" w:eastAsia="Arial" w:hAnsi="Arial"/>
          <w:sz w:val="15"/>
          <w:szCs w:val="15"/>
          <w:b w:val="1"/>
          <w:bCs w:val="1"/>
          <w:color w:val="auto"/>
        </w:rPr>
        <w:t>CERTIFICATION PURSUANT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18 U.S.C. SECTION 1350</w:t>
      </w:r>
    </w:p>
    <w:p>
      <w:pPr>
        <w:jc w:val="center"/>
        <w:spacing w:after="0" w:line="236" w:lineRule="auto"/>
        <w:rPr>
          <w:sz w:val="20"/>
          <w:szCs w:val="20"/>
          <w:color w:val="auto"/>
        </w:rPr>
      </w:pPr>
      <w:r>
        <w:rPr>
          <w:rFonts w:ascii="Arial" w:cs="Arial" w:eastAsia="Arial" w:hAnsi="Arial"/>
          <w:sz w:val="15"/>
          <w:szCs w:val="15"/>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SECTION 906 OF THE SARBANES-OXLEY ACT OF 2002</w:t>
      </w:r>
    </w:p>
    <w:p>
      <w:pPr>
        <w:spacing w:after="0" w:line="168"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In connection with the Quarterly Report on Form 10-Q of Foot Locker, Inc. (the “Registrant”) for the quarterly period ended April 29, 2017, as filed with the Securities and Exchange Commission on the date hereof (the “Report”), Richard A. Johnson, as Chief Executive Officer of the Registrant and Lauren B. Peters, as Chief Financial Officer of the Registrant, each hereby certifies, pursuant to 18 U.S.C. Section 1350, as adopted pursuant to Section 906 of the Sarbanes-Oxley Act of 2002, that:</w:t>
      </w:r>
    </w:p>
    <w:p>
      <w:pPr>
        <w:spacing w:after="0" w:line="168" w:lineRule="exact"/>
        <w:rPr>
          <w:sz w:val="20"/>
          <w:szCs w:val="20"/>
          <w:color w:val="auto"/>
        </w:rPr>
      </w:pPr>
    </w:p>
    <w:p>
      <w:pPr>
        <w:ind w:left="600" w:hanging="363"/>
        <w:spacing w:after="0"/>
        <w:tabs>
          <w:tab w:leader="none" w:pos="6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Report fully complies with the requirements of Section 13(a) or 15(d) of the Securities Exchange Act of 1934; and</w:t>
      </w:r>
    </w:p>
    <w:p>
      <w:pPr>
        <w:spacing w:after="0" w:line="387" w:lineRule="exact"/>
        <w:rPr>
          <w:rFonts w:ascii="Arial" w:cs="Arial" w:eastAsia="Arial" w:hAnsi="Arial"/>
          <w:sz w:val="15"/>
          <w:szCs w:val="15"/>
          <w:color w:val="auto"/>
        </w:rPr>
      </w:pPr>
    </w:p>
    <w:p>
      <w:pPr>
        <w:ind w:left="600" w:hanging="363"/>
        <w:spacing w:after="0" w:line="254" w:lineRule="auto"/>
        <w:tabs>
          <w:tab w:leader="none" w:pos="6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5"/>
          <w:szCs w:val="15"/>
          <w:color w:val="auto"/>
        </w:rPr>
        <w:t>Dated: June 6, 2017</w:t>
      </w:r>
    </w:p>
    <w:p>
      <w:pPr>
        <w:spacing w:after="0" w:line="46" w:lineRule="exact"/>
        <w:rPr>
          <w:sz w:val="20"/>
          <w:szCs w:val="20"/>
          <w:color w:val="auto"/>
        </w:rPr>
      </w:pPr>
    </w:p>
    <w:p>
      <w:pPr>
        <w:ind w:left="6700"/>
        <w:spacing w:after="0"/>
        <w:rPr>
          <w:sz w:val="20"/>
          <w:szCs w:val="20"/>
          <w:color w:val="auto"/>
        </w:rPr>
      </w:pPr>
      <w:r>
        <w:rPr>
          <w:rFonts w:ascii="Arial" w:cs="Arial" w:eastAsia="Arial" w:hAnsi="Arial"/>
          <w:sz w:val="15"/>
          <w:szCs w:val="15"/>
          <w:color w:val="auto"/>
        </w:rPr>
        <w:t>/s/ Richard A.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4258945</wp:posOffset>
            </wp:positionH>
            <wp:positionV relativeFrom="paragraph">
              <wp:posOffset>1905</wp:posOffset>
            </wp:positionV>
            <wp:extent cx="1521460"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521460" cy="7620"/>
                    </a:xfrm>
                    <a:prstGeom prst="rect">
                      <a:avLst/>
                    </a:prstGeom>
                    <a:noFill/>
                  </pic:spPr>
                </pic:pic>
              </a:graphicData>
            </a:graphic>
          </wp:anchor>
        </w:drawing>
      </w:r>
    </w:p>
    <w:p>
      <w:pPr>
        <w:spacing w:after="0" w:line="26" w:lineRule="exact"/>
        <w:rPr>
          <w:sz w:val="20"/>
          <w:szCs w:val="20"/>
          <w:color w:val="auto"/>
        </w:rPr>
      </w:pPr>
    </w:p>
    <w:p>
      <w:pPr>
        <w:ind w:left="6700"/>
        <w:spacing w:after="0"/>
        <w:rPr>
          <w:sz w:val="20"/>
          <w:szCs w:val="20"/>
          <w:color w:val="auto"/>
        </w:rPr>
      </w:pPr>
      <w:r>
        <w:rPr>
          <w:rFonts w:ascii="Arial" w:cs="Arial" w:eastAsia="Arial" w:hAnsi="Arial"/>
          <w:sz w:val="15"/>
          <w:szCs w:val="15"/>
          <w:color w:val="auto"/>
        </w:rPr>
        <w:t>Richard A. Johnson</w:t>
      </w:r>
    </w:p>
    <w:p>
      <w:pPr>
        <w:spacing w:after="0" w:line="46" w:lineRule="exact"/>
        <w:rPr>
          <w:sz w:val="20"/>
          <w:szCs w:val="20"/>
          <w:color w:val="auto"/>
        </w:rPr>
      </w:pPr>
    </w:p>
    <w:p>
      <w:pPr>
        <w:ind w:left="6700"/>
        <w:spacing w:after="0"/>
        <w:rPr>
          <w:sz w:val="20"/>
          <w:szCs w:val="20"/>
          <w:color w:val="auto"/>
        </w:rPr>
      </w:pPr>
      <w:r>
        <w:rPr>
          <w:rFonts w:ascii="Arial" w:cs="Arial" w:eastAsia="Arial" w:hAnsi="Arial"/>
          <w:sz w:val="15"/>
          <w:szCs w:val="15"/>
          <w:color w:val="auto"/>
        </w:rPr>
        <w:t>Chief Executive Officer</w:t>
      </w:r>
    </w:p>
    <w:p>
      <w:pPr>
        <w:spacing w:after="0" w:line="265" w:lineRule="exact"/>
        <w:rPr>
          <w:sz w:val="20"/>
          <w:szCs w:val="20"/>
          <w:color w:val="auto"/>
        </w:rPr>
      </w:pPr>
    </w:p>
    <w:p>
      <w:pPr>
        <w:ind w:left="6700"/>
        <w:spacing w:after="0"/>
        <w:rPr>
          <w:sz w:val="20"/>
          <w:szCs w:val="20"/>
          <w:color w:val="auto"/>
        </w:rPr>
      </w:pPr>
      <w:r>
        <w:rPr>
          <w:rFonts w:ascii="Arial" w:cs="Arial" w:eastAsia="Arial" w:hAnsi="Arial"/>
          <w:sz w:val="15"/>
          <w:szCs w:val="15"/>
          <w:color w:val="auto"/>
        </w:rPr>
        <w:t>/s/ Lauren B. Peters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4258945</wp:posOffset>
            </wp:positionH>
            <wp:positionV relativeFrom="paragraph">
              <wp:posOffset>1905</wp:posOffset>
            </wp:positionV>
            <wp:extent cx="152146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521460" cy="7620"/>
                    </a:xfrm>
                    <a:prstGeom prst="rect">
                      <a:avLst/>
                    </a:prstGeom>
                    <a:noFill/>
                  </pic:spPr>
                </pic:pic>
              </a:graphicData>
            </a:graphic>
          </wp:anchor>
        </w:drawing>
      </w:r>
    </w:p>
    <w:p>
      <w:pPr>
        <w:spacing w:after="0" w:line="26" w:lineRule="exact"/>
        <w:rPr>
          <w:sz w:val="20"/>
          <w:szCs w:val="20"/>
          <w:color w:val="auto"/>
        </w:rPr>
      </w:pPr>
    </w:p>
    <w:p>
      <w:pPr>
        <w:ind w:left="6700"/>
        <w:spacing w:after="0"/>
        <w:rPr>
          <w:sz w:val="20"/>
          <w:szCs w:val="20"/>
          <w:color w:val="auto"/>
        </w:rPr>
      </w:pPr>
      <w:r>
        <w:rPr>
          <w:rFonts w:ascii="Arial" w:cs="Arial" w:eastAsia="Arial" w:hAnsi="Arial"/>
          <w:sz w:val="15"/>
          <w:szCs w:val="15"/>
          <w:color w:val="auto"/>
        </w:rPr>
        <w:t>Lauren B. Peters</w:t>
      </w:r>
    </w:p>
    <w:p>
      <w:pPr>
        <w:spacing w:after="0" w:line="46" w:lineRule="exact"/>
        <w:rPr>
          <w:sz w:val="20"/>
          <w:szCs w:val="20"/>
          <w:color w:val="auto"/>
        </w:rPr>
      </w:pPr>
    </w:p>
    <w:p>
      <w:pPr>
        <w:ind w:left="6700"/>
        <w:spacing w:after="0"/>
        <w:rPr>
          <w:sz w:val="20"/>
          <w:szCs w:val="20"/>
          <w:color w:val="auto"/>
        </w:rPr>
      </w:pPr>
      <w:r>
        <w:rPr>
          <w:rFonts w:ascii="Arial" w:cs="Arial" w:eastAsia="Arial" w:hAnsi="Arial"/>
          <w:sz w:val="15"/>
          <w:szCs w:val="15"/>
          <w:color w:val="auto"/>
        </w:rPr>
        <w:t>Chief Financial Officer</w:t>
      </w:r>
    </w:p>
    <w:p>
      <w:pPr>
        <w:spacing w:after="0" w:line="200" w:lineRule="exact"/>
        <w:rPr>
          <w:sz w:val="20"/>
          <w:szCs w:val="20"/>
          <w:color w:val="auto"/>
        </w:rPr>
      </w:pPr>
    </w:p>
    <w:p>
      <w:pPr>
        <w:spacing w:after="0" w:line="309"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The foregoing certification is being furnished solely pursuant to 18 U.S.C. § 1350 and is not being filed as part of the Report or as a separate disclosure document. Such certification will not be deemed to be incorporated by reference into any filing under the Securities Act of 1933, as amended, or the Securities Exchange Act of 1934, as amended,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228600</wp:posOffset>
            </wp:positionV>
            <wp:extent cx="5817870" cy="482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128" w:right="1399" w:bottom="1440" w:gutter="0" w:footer="0" w:header="0"/>
        </w:sectPr>
      </w:pPr>
    </w:p>
    <w:bookmarkStart w:id="32" w:name="page33"/>
    <w:bookmarkEnd w:id="32"/>
    <w:p>
      <w:pPr>
        <w:jc w:val="right"/>
        <w:spacing w:after="0"/>
        <w:rPr>
          <w:sz w:val="20"/>
          <w:szCs w:val="20"/>
          <w:color w:val="auto"/>
        </w:rPr>
      </w:pPr>
      <w:r>
        <w:rPr>
          <w:rFonts w:ascii="Arial" w:cs="Arial" w:eastAsia="Arial" w:hAnsi="Arial"/>
          <w:sz w:val="15"/>
          <w:szCs w:val="15"/>
          <w:b w:val="1"/>
          <w:bCs w:val="1"/>
          <w:color w:val="auto"/>
        </w:rPr>
        <w:t>Exhibit 99</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REPORT OF INDEPENDENT REGISTERED PUBLIC ACCOUNTING FIRM</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color w:val="auto"/>
        </w:rPr>
        <w:t>The Board of Directors and Shareholders</w:t>
      </w:r>
    </w:p>
    <w:p>
      <w:pPr>
        <w:spacing w:after="0"/>
        <w:rPr>
          <w:sz w:val="20"/>
          <w:szCs w:val="20"/>
          <w:color w:val="auto"/>
        </w:rPr>
      </w:pPr>
      <w:r>
        <w:rPr>
          <w:rFonts w:ascii="Arial" w:cs="Arial" w:eastAsia="Arial" w:hAnsi="Arial"/>
          <w:sz w:val="15"/>
          <w:szCs w:val="15"/>
          <w:color w:val="auto"/>
        </w:rPr>
        <w:t>Foot Locker, Inc.:</w:t>
      </w:r>
    </w:p>
    <w:p>
      <w:pPr>
        <w:spacing w:after="0" w:line="290"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We have reviewed the accompanying condensed consolidated balance sheets of Foot Locker, Inc. and subsidiaries as of April 29, 2017 and April 30, 2016, and the related condensed consolidated statements of operations, comprehensive income, and cash flows for the thirteen week periods ended April 29, 2017 and April 30, 2016. These condensed consolidated financial statements are the responsibility of the Company’s management.</w:t>
      </w:r>
    </w:p>
    <w:p>
      <w:pPr>
        <w:spacing w:after="0" w:line="119"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We conducted our review in accordance with the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financial statements taken as a whole. Accordingly, we do not express such an opinion.</w:t>
      </w:r>
    </w:p>
    <w:p>
      <w:pPr>
        <w:spacing w:after="0" w:line="107"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Based on our review, we are not aware of any material modifications that should be made to the condensed consolidated financial statements referred to above for them to be in conformity with U.S. generally accepted accounting principles.</w:t>
      </w:r>
    </w:p>
    <w:p>
      <w:pPr>
        <w:spacing w:after="0" w:line="109"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We have previously audited, in accordance with the standards of the Public Company Accounting Oversight Board (United States), the consolidated balance sheet of Foot Locker, Inc. and subsidiaries as of January 28, 2017, and the related consolidated statements of operations, comprehensive income, shareholders’ equity, and cash flows for the year then ended (not presented herein); and in our report dated March 23, 2017 we expressed an unqualified opinion on those consolidated financial statements. In our opinion, the information set forth in the accompanying condensed consolidated balance sheet as of January 28, 2017, is fairly stated, in all material respects, in relation to the consolidated balance sheet from which it has been derived.</w:t>
      </w:r>
    </w:p>
    <w:p>
      <w:pPr>
        <w:spacing w:after="0" w:line="322" w:lineRule="exact"/>
        <w:rPr>
          <w:sz w:val="20"/>
          <w:szCs w:val="20"/>
          <w:color w:val="auto"/>
        </w:rPr>
      </w:pPr>
    </w:p>
    <w:p>
      <w:pPr>
        <w:spacing w:after="0"/>
        <w:rPr>
          <w:sz w:val="20"/>
          <w:szCs w:val="20"/>
          <w:color w:val="auto"/>
        </w:rPr>
      </w:pPr>
      <w:r>
        <w:rPr>
          <w:rFonts w:ascii="Arial" w:cs="Arial" w:eastAsia="Arial" w:hAnsi="Arial"/>
          <w:sz w:val="15"/>
          <w:szCs w:val="15"/>
          <w:color w:val="auto"/>
        </w:rPr>
        <w:t>/s/ KPMG LLP</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New York, New York</w:t>
      </w:r>
    </w:p>
    <w:p>
      <w:pPr>
        <w:spacing w:after="0"/>
        <w:rPr>
          <w:sz w:val="20"/>
          <w:szCs w:val="20"/>
          <w:color w:val="auto"/>
        </w:rPr>
      </w:pPr>
      <w:r>
        <w:rPr>
          <w:rFonts w:ascii="Arial" w:cs="Arial" w:eastAsia="Arial" w:hAnsi="Arial"/>
          <w:sz w:val="15"/>
          <w:szCs w:val="15"/>
          <w:color w:val="auto"/>
        </w:rPr>
        <w:t>June 6,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638175</wp:posOffset>
            </wp:positionV>
            <wp:extent cx="5817870" cy="482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sectPr>
      <w:pgSz w:w="11900" w:h="16838" w:orient="portrait"/>
      <w:cols w:equalWidth="0" w:num="1">
        <w:col w:w="9100"/>
      </w:cols>
      <w:pgMar w:left="1400" w:top="115" w:right="1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lowerLetter"/>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2019-12-29T06:21:47Z</dcterms:created>
  <dcterms:modified xsi:type="dcterms:W3CDTF">2019-12-29T06:21:47Z</dcterms:modified>
</cp:coreProperties>
</file>