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t>UNITED STATES</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6" w:lineRule="exact"/>
        <w:rPr>
          <w:sz w:val="24"/>
          <w:szCs w:val="24"/>
          <w:color w:val="auto"/>
        </w:rPr>
      </w:pPr>
    </w:p>
    <w:p>
      <w:pPr>
        <w:ind w:left="3120"/>
        <w:spacing w:after="0"/>
        <w:rPr>
          <w:sz w:val="20"/>
          <w:szCs w:val="20"/>
          <w:color w:val="auto"/>
        </w:rPr>
      </w:pPr>
      <w:r>
        <w:rPr>
          <w:rFonts w:ascii="Arial" w:cs="Arial" w:eastAsia="Arial" w:hAnsi="Arial"/>
          <w:sz w:val="16"/>
          <w:szCs w:val="16"/>
          <w:b w:val="1"/>
          <w:bCs w:val="1"/>
          <w:color w:val="auto"/>
        </w:rPr>
        <w:t>______________________________________</w:t>
      </w:r>
    </w:p>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10-Q</w:t>
      </w:r>
    </w:p>
    <w:p>
      <w:pPr>
        <w:spacing w:after="0" w:line="190" w:lineRule="exact"/>
        <w:rPr>
          <w:sz w:val="24"/>
          <w:szCs w:val="24"/>
          <w:color w:val="auto"/>
        </w:rPr>
      </w:pPr>
    </w:p>
    <w:p>
      <w:pPr>
        <w:ind w:left="140"/>
        <w:spacing w:after="0"/>
        <w:rPr>
          <w:sz w:val="20"/>
          <w:szCs w:val="20"/>
          <w:color w:val="auto"/>
        </w:rPr>
      </w:pPr>
      <w:r>
        <w:rPr>
          <w:rFonts w:ascii="Arial" w:cs="Arial" w:eastAsia="Arial" w:hAnsi="Arial"/>
          <w:sz w:val="15"/>
          <w:szCs w:val="15"/>
          <w:color w:val="auto"/>
        </w:rPr>
        <w:t>(Mark One)</w:t>
      </w:r>
    </w:p>
    <w:p>
      <w:pPr>
        <w:spacing w:after="0" w:line="223" w:lineRule="exact"/>
        <w:rPr>
          <w:sz w:val="24"/>
          <w:szCs w:val="24"/>
          <w:color w:val="auto"/>
        </w:rPr>
      </w:pPr>
    </w:p>
    <w:p>
      <w:pPr>
        <w:ind w:left="520" w:hanging="338"/>
        <w:spacing w:after="0"/>
        <w:tabs>
          <w:tab w:leader="none" w:pos="52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182" w:lineRule="exact"/>
        <w:rPr>
          <w:rFonts w:ascii="MS PGothic" w:cs="MS PGothic" w:eastAsia="MS PGothic" w:hAnsi="MS PGothic"/>
          <w:sz w:val="15"/>
          <w:szCs w:val="15"/>
          <w:color w:val="auto"/>
          <w:highlight w:val="black"/>
        </w:rPr>
      </w:pPr>
    </w:p>
    <w:p>
      <w:pPr>
        <w:ind w:left="3160"/>
        <w:spacing w:after="0"/>
        <w:rPr>
          <w:rFonts w:ascii="MS PGothic" w:cs="MS PGothic" w:eastAsia="MS PGothic" w:hAnsi="MS PGothic"/>
          <w:sz w:val="15"/>
          <w:szCs w:val="15"/>
          <w:color w:val="auto"/>
          <w:highlight w:val="black"/>
        </w:rPr>
      </w:pPr>
      <w:r>
        <w:rPr>
          <w:rFonts w:ascii="Arial" w:cs="Arial" w:eastAsia="Arial" w:hAnsi="Arial"/>
          <w:sz w:val="16"/>
          <w:szCs w:val="16"/>
          <w:color w:val="auto"/>
        </w:rPr>
        <w:t>For the quarterly period ended: August 4, 2018</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129" w:lineRule="exact"/>
        <w:rPr>
          <w:sz w:val="24"/>
          <w:szCs w:val="24"/>
          <w:color w:val="auto"/>
        </w:rPr>
      </w:pPr>
    </w:p>
    <w:p>
      <w:pPr>
        <w:ind w:left="440" w:hanging="295"/>
        <w:spacing w:after="0"/>
        <w:tabs>
          <w:tab w:leader="none" w:pos="44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244"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For the transition period from __________ to __________</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Commission File Number: 1-10299</w:t>
      </w:r>
    </w:p>
    <w:p>
      <w:pPr>
        <w:spacing w:after="0" w:line="1"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1972945</wp:posOffset>
            </wp:positionH>
            <wp:positionV relativeFrom="paragraph">
              <wp:posOffset>90805</wp:posOffset>
            </wp:positionV>
            <wp:extent cx="2193290" cy="254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3290" cy="25463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(Exact name of registrant as specified in its charter)</w:t>
      </w:r>
    </w:p>
    <w:p>
      <w:pPr>
        <w:ind w:left="3300"/>
        <w:spacing w:after="0"/>
        <w:rPr>
          <w:sz w:val="20"/>
          <w:szCs w:val="20"/>
          <w:color w:val="auto"/>
        </w:rPr>
      </w:pPr>
      <w:r>
        <w:rPr>
          <w:rFonts w:ascii="Arial" w:cs="Arial" w:eastAsia="Arial" w:hAnsi="Arial"/>
          <w:sz w:val="16"/>
          <w:szCs w:val="16"/>
          <w:b w:val="1"/>
          <w:bCs w:val="1"/>
          <w:color w:val="auto"/>
        </w:rPr>
        <w:t>______________________________________</w:t>
      </w:r>
    </w:p>
    <w:p>
      <w:pPr>
        <w:sectPr>
          <w:pgSz w:w="11900" w:h="16838" w:orient="portrait"/>
          <w:cols w:equalWidth="0" w:num="1">
            <w:col w:w="9680"/>
          </w:cols>
          <w:pgMar w:left="1120" w:top="207" w:right="1099" w:bottom="1440" w:gutter="0" w:footer="0" w:header="0"/>
        </w:sectPr>
      </w:pPr>
    </w:p>
    <w:p>
      <w:pPr>
        <w:spacing w:after="0" w:line="192" w:lineRule="exact"/>
        <w:rPr>
          <w:sz w:val="24"/>
          <w:szCs w:val="24"/>
          <w:color w:val="auto"/>
        </w:rPr>
      </w:pPr>
    </w:p>
    <w:p>
      <w:pPr>
        <w:ind w:left="2060"/>
        <w:spacing w:after="0"/>
        <w:rPr>
          <w:sz w:val="20"/>
          <w:szCs w:val="20"/>
          <w:color w:val="auto"/>
        </w:rPr>
      </w:pPr>
      <w:r>
        <w:rPr>
          <w:rFonts w:ascii="Arial" w:cs="Arial" w:eastAsia="Arial" w:hAnsi="Arial"/>
          <w:sz w:val="15"/>
          <w:szCs w:val="15"/>
          <w:b w:val="1"/>
          <w:bCs w:val="1"/>
          <w:color w:val="auto"/>
        </w:rPr>
        <w:t>New York</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13-3513936</w:t>
      </w:r>
    </w:p>
    <w:p>
      <w:pPr>
        <w:spacing w:after="0" w:line="29" w:lineRule="exact"/>
        <w:rPr>
          <w:sz w:val="24"/>
          <w:szCs w:val="24"/>
          <w:color w:val="auto"/>
        </w:rPr>
      </w:pPr>
    </w:p>
    <w:p>
      <w:pPr>
        <w:sectPr>
          <w:pgSz w:w="11900" w:h="16838" w:orient="portrait"/>
          <w:cols w:equalWidth="0" w:num="2">
            <w:col w:w="6120" w:space="720"/>
            <w:col w:w="2840"/>
          </w:cols>
          <w:pgMar w:left="1120" w:top="207" w:right="1099" w:bottom="1440" w:gutter="0" w:footer="0" w:header="0"/>
          <w:type w:val="continuous"/>
        </w:sectPr>
      </w:pPr>
    </w:p>
    <w:p>
      <w:pPr>
        <w:ind w:left="4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01" w:lineRule="exact"/>
        <w:rPr>
          <w:sz w:val="24"/>
          <w:szCs w:val="24"/>
          <w:color w:val="auto"/>
        </w:rPr>
      </w:pPr>
    </w:p>
    <w:p>
      <w:pPr>
        <w:sectPr>
          <w:pgSz w:w="11900" w:h="16838" w:orient="portrait"/>
          <w:cols w:equalWidth="0" w:num="2">
            <w:col w:w="5340" w:space="720"/>
            <w:col w:w="3620"/>
          </w:cols>
          <w:pgMar w:left="1120" w:top="207" w:right="1099" w:bottom="1440" w:gutter="0" w:footer="0" w:header="0"/>
          <w:type w:val="continuous"/>
        </w:sectPr>
      </w:pPr>
    </w:p>
    <w:p>
      <w:pPr>
        <w:ind w:left="3100"/>
        <w:spacing w:after="0"/>
        <w:rPr>
          <w:sz w:val="20"/>
          <w:szCs w:val="20"/>
          <w:color w:val="auto"/>
        </w:rPr>
      </w:pPr>
      <w:r>
        <w:rPr>
          <w:rFonts w:ascii="Arial" w:cs="Arial" w:eastAsia="Arial" w:hAnsi="Arial"/>
          <w:sz w:val="15"/>
          <w:szCs w:val="15"/>
          <w:b w:val="1"/>
          <w:bCs w:val="1"/>
          <w:color w:val="auto"/>
        </w:rPr>
        <w:t>330 West 34</w:t>
      </w:r>
      <w:r>
        <w:rPr>
          <w:rFonts w:ascii="Arial" w:cs="Arial" w:eastAsia="Arial" w:hAnsi="Arial"/>
          <w:sz w:val="8"/>
          <w:szCs w:val="8"/>
          <w:b w:val="1"/>
          <w:bCs w:val="1"/>
          <w:color w:val="auto"/>
        </w:rPr>
        <w:t>th</w:t>
      </w:r>
      <w:r>
        <w:rPr>
          <w:rFonts w:ascii="Arial" w:cs="Arial" w:eastAsia="Arial" w:hAnsi="Arial"/>
          <w:sz w:val="15"/>
          <w:szCs w:val="15"/>
          <w:b w:val="1"/>
          <w:bCs w:val="1"/>
          <w:color w:val="auto"/>
        </w:rPr>
        <w:t xml:space="preserve"> Street, New York, New York 10001</w:t>
      </w:r>
    </w:p>
    <w:p>
      <w:pPr>
        <w:spacing w:after="0" w:line="14" w:lineRule="exact"/>
        <w:rPr>
          <w:sz w:val="24"/>
          <w:szCs w:val="24"/>
          <w:color w:val="auto"/>
        </w:rPr>
      </w:pPr>
    </w:p>
    <w:p>
      <w:pPr>
        <w:ind w:left="3160"/>
        <w:spacing w:after="0"/>
        <w:rPr>
          <w:sz w:val="20"/>
          <w:szCs w:val="20"/>
          <w:color w:val="auto"/>
        </w:rPr>
      </w:pPr>
      <w:r>
        <w:rPr>
          <w:rFonts w:ascii="Arial" w:cs="Arial" w:eastAsia="Arial" w:hAnsi="Arial"/>
          <w:sz w:val="15"/>
          <w:szCs w:val="15"/>
          <w:color w:val="auto"/>
        </w:rPr>
        <w:t>(Address of principal executive offices, Zip Code)</w:t>
      </w:r>
    </w:p>
    <w:p>
      <w:pPr>
        <w:jc w:val="center"/>
        <w:spacing w:after="0" w:line="236" w:lineRule="auto"/>
        <w:rPr>
          <w:sz w:val="20"/>
          <w:szCs w:val="20"/>
          <w:color w:val="auto"/>
        </w:rPr>
      </w:pPr>
      <w:r>
        <w:rPr>
          <w:rFonts w:ascii="Arial" w:cs="Arial" w:eastAsia="Arial" w:hAnsi="Arial"/>
          <w:sz w:val="15"/>
          <w:szCs w:val="15"/>
          <w:b w:val="1"/>
          <w:bCs w:val="1"/>
          <w:color w:val="auto"/>
        </w:rPr>
        <w:t>(212-720-3700)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224" w:lineRule="exact"/>
        <w:rPr>
          <w:sz w:val="24"/>
          <w:szCs w:val="24"/>
          <w:color w:val="auto"/>
        </w:rPr>
      </w:pPr>
    </w:p>
    <w:p>
      <w:pPr>
        <w:jc w:val="both"/>
        <w:spacing w:after="0" w:line="183"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76"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20"/>
        <w:spacing w:after="0" w:line="24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p>
      <w:pPr>
        <w:ind w:right="400"/>
        <w:spacing w:after="0" w:line="237"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Non-accelerated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6"/>
          <w:szCs w:val="16"/>
          <w:color w:val="auto"/>
        </w:rPr>
        <w:t>☐</w:t>
      </w:r>
    </w:p>
    <w:p>
      <w:pPr>
        <w:spacing w:after="0" w:line="348" w:lineRule="exact"/>
        <w:rPr>
          <w:sz w:val="24"/>
          <w:szCs w:val="24"/>
          <w:color w:val="auto"/>
        </w:rPr>
      </w:pPr>
    </w:p>
    <w:p>
      <w:pPr>
        <w:spacing w:after="0" w:line="19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7" w:lineRule="exact"/>
        <w:rPr>
          <w:sz w:val="24"/>
          <w:szCs w:val="24"/>
          <w:color w:val="auto"/>
        </w:rPr>
      </w:pPr>
    </w:p>
    <w:p>
      <w:pPr>
        <w:ind w:right="760"/>
        <w:spacing w:after="0" w:line="288"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Number of shares of Common Stock outstanding as of August 31, 2018: 114,896,024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591820</wp:posOffset>
            </wp:positionV>
            <wp:extent cx="6188710" cy="48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8710" cy="48260"/>
                    </a:xfrm>
                    <a:prstGeom prst="rect">
                      <a:avLst/>
                    </a:prstGeom>
                    <a:noFill/>
                  </pic:spPr>
                </pic:pic>
              </a:graphicData>
            </a:graphic>
          </wp:anchor>
        </w:drawing>
      </w:r>
    </w:p>
    <w:p>
      <w:pPr>
        <w:sectPr>
          <w:pgSz w:w="11900" w:h="16838" w:orient="portrait"/>
          <w:cols w:equalWidth="0" w:num="1">
            <w:col w:w="9680"/>
          </w:cols>
          <w:pgMar w:left="1120" w:top="207" w:right="109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TABLE OF CONTENTS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Page</w:t>
            </w:r>
          </w:p>
        </w:tc>
      </w:tr>
      <w:tr>
        <w:trPr>
          <w:trHeight w:val="153"/>
        </w:trPr>
        <w:tc>
          <w:tcPr>
            <w:tcW w:w="100" w:type="dxa"/>
            <w:vAlign w:val="bottom"/>
            <w:shd w:val="clear" w:color="auto" w:fill="CCEEFF"/>
          </w:tcPr>
          <w:p>
            <w:pPr>
              <w:spacing w:after="0"/>
              <w:rPr>
                <w:sz w:val="13"/>
                <w:szCs w:val="13"/>
                <w:color w:val="auto"/>
              </w:rPr>
            </w:pPr>
          </w:p>
        </w:tc>
        <w:tc>
          <w:tcPr>
            <w:tcW w:w="1040" w:type="dxa"/>
            <w:vAlign w:val="bottom"/>
            <w:gridSpan w:val="5"/>
            <w:shd w:val="clear" w:color="auto" w:fill="CCEEFF"/>
          </w:tcPr>
          <w:p>
            <w:pPr>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PART I</w:t>
              </w:r>
            </w:hyperlink>
          </w:p>
        </w:tc>
        <w:tc>
          <w:tcPr>
            <w:tcW w:w="7480" w:type="dxa"/>
            <w:vAlign w:val="bottom"/>
            <w:gridSpan w:val="20"/>
            <w:shd w:val="clear" w:color="auto" w:fill="CCEEFF"/>
          </w:tcPr>
          <w:p>
            <w:pPr>
              <w:ind w:left="180"/>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FINANCIAL INFORMATION</w:t>
              </w:r>
            </w:hyperlink>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3">
              <w:r>
                <w:rPr>
                  <w:rFonts w:ascii="Arial" w:cs="Arial" w:eastAsia="Arial" w:hAnsi="Arial"/>
                  <w:sz w:val="15"/>
                  <w:szCs w:val="15"/>
                  <w:color w:val="0000EE"/>
                </w:rPr>
                <w:t>Item 1.</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3">
              <w:r>
                <w:rPr>
                  <w:rFonts w:ascii="Arial" w:cs="Arial" w:eastAsia="Arial" w:hAnsi="Arial"/>
                  <w:sz w:val="15"/>
                  <w:szCs w:val="15"/>
                  <w:color w:val="0000EE"/>
                </w:rPr>
                <w:t>Financial Statements</w:t>
              </w:r>
            </w:hyperlink>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8"/>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83"/>
        </w:trPr>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880" w:type="dxa"/>
            <w:vAlign w:val="bottom"/>
            <w:tcBorders>
              <w:bottom w:val="single" w:sz="8" w:color="0000EE"/>
            </w:tcBorders>
            <w:gridSpan w:val="8"/>
            <w:shd w:val="clear" w:color="auto" w:fill="CCEEFF"/>
          </w:tcPr>
          <w:p>
            <w:pPr>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Condensed Consolidated Balance Sheets</w:t>
              </w:r>
            </w:hyperlink>
          </w:p>
        </w:tc>
        <w:tc>
          <w:tcPr>
            <w:tcW w:w="3200" w:type="dxa"/>
            <w:vAlign w:val="bottom"/>
            <w:tcBorders>
              <w:bottom w:val="single" w:sz="8" w:color="CCEEFF"/>
            </w:tcBorders>
            <w:gridSpan w:val="6"/>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40"/>
              <w:spacing w:after="0" w:line="154" w:lineRule="exact"/>
              <w:rPr>
                <w:sz w:val="20"/>
                <w:szCs w:val="20"/>
                <w:color w:val="auto"/>
              </w:rPr>
            </w:pPr>
            <w:r>
              <w:rPr>
                <w:rFonts w:ascii="Arial" w:cs="Arial" w:eastAsia="Arial" w:hAnsi="Arial"/>
                <w:sz w:val="15"/>
                <w:szCs w:val="15"/>
                <w:color w:val="auto"/>
              </w:rPr>
              <w:t>1</w:t>
            </w: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80" w:type="dxa"/>
            <w:vAlign w:val="bottom"/>
            <w:gridSpan w:val="14"/>
          </w:tcPr>
          <w:p>
            <w:pPr>
              <w:spacing w:after="0" w:line="146" w:lineRule="exact"/>
              <w:rPr>
                <w:rFonts w:ascii="Arial" w:cs="Arial" w:eastAsia="Arial" w:hAnsi="Arial"/>
                <w:sz w:val="15"/>
                <w:szCs w:val="15"/>
                <w:color w:val="0000EE"/>
              </w:rPr>
            </w:pPr>
            <w:hyperlink w:anchor="page4">
              <w:r>
                <w:rPr>
                  <w:rFonts w:ascii="Arial" w:cs="Arial" w:eastAsia="Arial" w:hAnsi="Arial"/>
                  <w:sz w:val="15"/>
                  <w:szCs w:val="15"/>
                  <w:color w:val="0000EE"/>
                </w:rPr>
                <w:t>Condensed Consolidated Statements of Operations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5">
              <w:r>
                <w:rPr>
                  <w:rFonts w:ascii="Arial" w:cs="Arial" w:eastAsia="Arial" w:hAnsi="Arial"/>
                  <w:sz w:val="15"/>
                  <w:szCs w:val="15"/>
                  <w:color w:val="0000EE"/>
                </w:rPr>
                <w:t>Condensed Consolidated Statements of Comprehensive Income</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3</w:t>
            </w:r>
          </w:p>
        </w:tc>
      </w:tr>
      <w:tr>
        <w:trPr>
          <w:trHeight w:val="146"/>
        </w:trPr>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4380" w:type="dxa"/>
            <w:vAlign w:val="bottom"/>
            <w:tcBorders>
              <w:top w:val="single" w:sz="8" w:color="0000EE"/>
            </w:tcBorders>
            <w:gridSpan w:val="13"/>
          </w:tcPr>
          <w:p>
            <w:pPr>
              <w:spacing w:after="0" w:line="146" w:lineRule="exact"/>
              <w:rPr>
                <w:rFonts w:ascii="Arial" w:cs="Arial" w:eastAsia="Arial" w:hAnsi="Arial"/>
                <w:sz w:val="15"/>
                <w:szCs w:val="15"/>
                <w:color w:val="0000EE"/>
              </w:rPr>
            </w:pPr>
            <w:hyperlink w:anchor="page6">
              <w:r>
                <w:rPr>
                  <w:rFonts w:ascii="Arial" w:cs="Arial" w:eastAsia="Arial" w:hAnsi="Arial"/>
                  <w:sz w:val="15"/>
                  <w:szCs w:val="15"/>
                  <w:color w:val="0000EE"/>
                </w:rPr>
                <w:t>Condensed Consolidated Statements of Cash Flows</w:t>
              </w:r>
            </w:hyperlink>
          </w:p>
        </w:tc>
        <w:tc>
          <w:tcPr>
            <w:tcW w:w="170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gridSpan w:val="2"/>
          </w:tcPr>
          <w:p>
            <w:pPr>
              <w:jc w:val="right"/>
              <w:ind w:right="40"/>
              <w:spacing w:after="0" w:line="146" w:lineRule="exact"/>
              <w:rPr>
                <w:sz w:val="20"/>
                <w:szCs w:val="20"/>
                <w:color w:val="auto"/>
              </w:rPr>
            </w:pPr>
            <w:r>
              <w:rPr>
                <w:rFonts w:ascii="Arial" w:cs="Arial" w:eastAsia="Arial" w:hAnsi="Arial"/>
                <w:sz w:val="15"/>
                <w:szCs w:val="15"/>
                <w:color w:val="auto"/>
              </w:rPr>
              <w:t>4</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860" w:type="dxa"/>
            <w:vAlign w:val="bottom"/>
            <w:tcBorders>
              <w:bottom w:val="single" w:sz="8" w:color="0000EE"/>
            </w:tcBorders>
            <w:gridSpan w:val="11"/>
            <w:shd w:val="clear" w:color="auto" w:fill="CCEEFF"/>
          </w:tcPr>
          <w:p>
            <w:pPr>
              <w:spacing w:after="0" w:line="146" w:lineRule="exact"/>
              <w:rPr>
                <w:rFonts w:ascii="Arial" w:cs="Arial" w:eastAsia="Arial" w:hAnsi="Arial"/>
                <w:sz w:val="15"/>
                <w:szCs w:val="15"/>
                <w:color w:val="0000EE"/>
              </w:rPr>
            </w:pPr>
            <w:hyperlink w:anchor="page7">
              <w:r>
                <w:rPr>
                  <w:rFonts w:ascii="Arial" w:cs="Arial" w:eastAsia="Arial" w:hAnsi="Arial"/>
                  <w:sz w:val="15"/>
                  <w:szCs w:val="15"/>
                  <w:color w:val="0000EE"/>
                </w:rPr>
                <w:t>Notes to Condensed Consolidated Financial Statements</w:t>
              </w:r>
            </w:hyperlink>
          </w:p>
        </w:tc>
        <w:tc>
          <w:tcPr>
            <w:tcW w:w="2220" w:type="dxa"/>
            <w:vAlign w:val="bottom"/>
            <w:tcBorders>
              <w:bottom w:val="single" w:sz="8" w:color="CCEEFF"/>
            </w:tcBorders>
            <w:gridSpan w:val="3"/>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5</w:t>
            </w: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18">
              <w:r>
                <w:rPr>
                  <w:rFonts w:ascii="Arial" w:cs="Arial" w:eastAsia="Arial" w:hAnsi="Arial"/>
                  <w:sz w:val="15"/>
                  <w:szCs w:val="15"/>
                  <w:color w:val="0000EE"/>
                </w:rPr>
                <w:t>Item 2.</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18">
              <w:r>
                <w:rPr>
                  <w:rFonts w:ascii="Arial" w:cs="Arial" w:eastAsia="Arial" w:hAnsi="Arial"/>
                  <w:sz w:val="15"/>
                  <w:szCs w:val="15"/>
                  <w:color w:val="0000EE"/>
                </w:rPr>
                <w:t>Management’s Discussion and Analysis of Financial Condition and Results of Operations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16</w:t>
            </w:r>
          </w:p>
        </w:tc>
      </w:tr>
      <w:tr>
        <w:trPr>
          <w:trHeight w:val="235"/>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700" w:type="dxa"/>
            <w:vAlign w:val="bottom"/>
            <w:tcBorders>
              <w:top w:val="single" w:sz="8" w:color="0000EE"/>
            </w:tcBorders>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7">
              <w:r>
                <w:rPr>
                  <w:rFonts w:ascii="Arial" w:cs="Arial" w:eastAsia="Arial" w:hAnsi="Arial"/>
                  <w:sz w:val="15"/>
                  <w:szCs w:val="15"/>
                  <w:color w:val="0000EE"/>
                </w:rPr>
                <w:t>Item 4.</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7">
              <w:r>
                <w:rPr>
                  <w:rFonts w:ascii="Arial" w:cs="Arial" w:eastAsia="Arial" w:hAnsi="Arial"/>
                  <w:sz w:val="15"/>
                  <w:szCs w:val="15"/>
                  <w:color w:val="0000EE"/>
                </w:rPr>
                <w:t>Controls and Procedures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25</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46"/>
        </w:trPr>
        <w:tc>
          <w:tcPr>
            <w:tcW w:w="10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PART II</w:t>
              </w:r>
            </w:hyperlink>
          </w:p>
        </w:tc>
        <w:tc>
          <w:tcPr>
            <w:tcW w:w="7480" w:type="dxa"/>
            <w:vAlign w:val="bottom"/>
            <w:gridSpan w:val="20"/>
            <w:shd w:val="clear" w:color="auto" w:fill="CCEEFF"/>
          </w:tcPr>
          <w:p>
            <w:pPr>
              <w:ind w:left="180"/>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OTHER INFORMATION</w:t>
              </w:r>
            </w:hyperlink>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Item 1.</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Legal Proceedings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26</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46"/>
        </w:trPr>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Item 1A.</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Risk Factors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26</w:t>
            </w: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Item 2.</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Unregistered Sales of Equity Securities and Use of Proceeds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26</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6"/>
            <w:shd w:val="clear" w:color="auto" w:fill="CCEEFF"/>
          </w:tcPr>
          <w:p>
            <w:pPr>
              <w:ind w:left="180"/>
              <w:spacing w:after="0" w:line="146" w:lineRule="exact"/>
              <w:rPr>
                <w:sz w:val="20"/>
                <w:szCs w:val="20"/>
                <w:color w:val="auto"/>
              </w:rPr>
            </w:pPr>
            <w:r>
              <w:rPr>
                <w:rFonts w:ascii="Arial" w:cs="Arial" w:eastAsia="Arial" w:hAnsi="Arial"/>
                <w:sz w:val="15"/>
                <w:szCs w:val="15"/>
                <w:color w:val="0000EE"/>
              </w:rPr>
              <w:t>Item 6.</w:t>
            </w:r>
          </w:p>
        </w:tc>
        <w:tc>
          <w:tcPr>
            <w:tcW w:w="6080" w:type="dxa"/>
            <w:vAlign w:val="bottom"/>
            <w:gridSpan w:val="14"/>
            <w:shd w:val="clear" w:color="auto" w:fill="CCEEFF"/>
          </w:tcPr>
          <w:p>
            <w:pPr>
              <w:spacing w:after="0" w:line="146" w:lineRule="exact"/>
              <w:rPr>
                <w:sz w:val="20"/>
                <w:szCs w:val="20"/>
                <w:color w:val="auto"/>
              </w:rPr>
            </w:pPr>
            <w:r>
              <w:rPr>
                <w:rFonts w:ascii="Arial" w:cs="Arial" w:eastAsia="Arial" w:hAnsi="Arial"/>
                <w:sz w:val="15"/>
                <w:szCs w:val="15"/>
                <w:color w:val="0000EE"/>
              </w:rPr>
              <w:t>Exhibits</w:t>
            </w:r>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26</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75"/>
        </w:trPr>
        <w:tc>
          <w:tcPr>
            <w:tcW w:w="100" w:type="dxa"/>
            <w:vAlign w:val="bottom"/>
            <w:shd w:val="clear" w:color="auto" w:fill="CCEEFF"/>
          </w:tcPr>
          <w:p>
            <w:pPr>
              <w:spacing w:after="0"/>
              <w:rPr>
                <w:sz w:val="15"/>
                <w:szCs w:val="15"/>
                <w:color w:val="auto"/>
              </w:rPr>
            </w:pPr>
          </w:p>
        </w:tc>
        <w:tc>
          <w:tcPr>
            <w:tcW w:w="1040" w:type="dxa"/>
            <w:vAlign w:val="bottom"/>
            <w:gridSpan w:val="5"/>
            <w:shd w:val="clear" w:color="auto" w:fill="CCEEFF"/>
          </w:tcPr>
          <w:p>
            <w:pPr>
              <w:spacing w:after="0" w:line="146" w:lineRule="exact"/>
              <w:rPr>
                <w:rFonts w:ascii="Arial" w:cs="Arial" w:eastAsia="Arial" w:hAnsi="Arial"/>
                <w:sz w:val="15"/>
                <w:szCs w:val="15"/>
                <w:color w:val="0000EE"/>
              </w:rPr>
            </w:pPr>
            <w:hyperlink w:anchor="page29">
              <w:r>
                <w:rPr>
                  <w:rFonts w:ascii="Arial" w:cs="Arial" w:eastAsia="Arial" w:hAnsi="Arial"/>
                  <w:sz w:val="15"/>
                  <w:szCs w:val="15"/>
                  <w:color w:val="0000EE"/>
                </w:rPr>
                <w:t>SIGNATURE</w:t>
              </w:r>
            </w:hyperlink>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27</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gridSpan w:val="2"/>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75"/>
        </w:trPr>
        <w:tc>
          <w:tcPr>
            <w:tcW w:w="100" w:type="dxa"/>
            <w:vAlign w:val="bottom"/>
            <w:shd w:val="clear" w:color="auto" w:fill="CCEEFF"/>
          </w:tcPr>
          <w:p>
            <w:pPr>
              <w:spacing w:after="0"/>
              <w:rPr>
                <w:sz w:val="15"/>
                <w:szCs w:val="15"/>
                <w:color w:val="auto"/>
              </w:rPr>
            </w:pPr>
          </w:p>
        </w:tc>
        <w:tc>
          <w:tcPr>
            <w:tcW w:w="2440" w:type="dxa"/>
            <w:vAlign w:val="bottom"/>
            <w:gridSpan w:val="11"/>
            <w:shd w:val="clear" w:color="auto" w:fill="CCEEFF"/>
          </w:tcPr>
          <w:p>
            <w:pPr>
              <w:spacing w:after="0" w:line="146" w:lineRule="exact"/>
              <w:rPr>
                <w:rFonts w:ascii="Arial" w:cs="Arial" w:eastAsia="Arial" w:hAnsi="Arial"/>
                <w:sz w:val="15"/>
                <w:szCs w:val="15"/>
                <w:color w:val="0000EE"/>
              </w:rPr>
            </w:pPr>
            <w:hyperlink w:anchor="page30">
              <w:r>
                <w:rPr>
                  <w:rFonts w:ascii="Arial" w:cs="Arial" w:eastAsia="Arial" w:hAnsi="Arial"/>
                  <w:sz w:val="15"/>
                  <w:szCs w:val="15"/>
                  <w:color w:val="0000EE"/>
                </w:rPr>
                <w:t>INDEX OF EXHIBITS</w:t>
              </w:r>
            </w:hyperlink>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28</w:t>
            </w:r>
          </w:p>
        </w:tc>
      </w:tr>
      <w:tr>
        <w:trPr>
          <w:trHeight w:val="1545"/>
        </w:trPr>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114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70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5953125</wp:posOffset>
            </wp:positionH>
            <wp:positionV relativeFrom="paragraph">
              <wp:posOffset>-34925</wp:posOffset>
            </wp:positionV>
            <wp:extent cx="33020" cy="48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-34925</wp:posOffset>
            </wp:positionV>
            <wp:extent cx="33020" cy="48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680"/>
          </w:cols>
          <w:pgMar w:left="1120" w:top="115" w:right="109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PART I - FINANCIAL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jc w:val="center"/>
        <w:spacing w:after="0"/>
        <w:rPr>
          <w:sz w:val="20"/>
          <w:szCs w:val="20"/>
          <w:color w:val="auto"/>
        </w:rPr>
      </w:pPr>
      <w:r>
        <w:rPr>
          <w:rFonts w:ascii="Arial" w:cs="Arial" w:eastAsia="Arial" w:hAnsi="Arial"/>
          <w:sz w:val="15"/>
          <w:szCs w:val="15"/>
          <w:color w:val="auto"/>
        </w:rPr>
        <w:t>($ in millions, except shares)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80" w:type="dxa"/>
            <w:vAlign w:val="bottom"/>
          </w:tcPr>
          <w:p>
            <w:pPr>
              <w:jc w:val="center"/>
              <w:ind w:right="363"/>
              <w:spacing w:after="0"/>
              <w:rPr>
                <w:sz w:val="20"/>
                <w:szCs w:val="20"/>
                <w:color w:val="auto"/>
              </w:rPr>
            </w:pPr>
            <w:r>
              <w:rPr>
                <w:rFonts w:ascii="Arial" w:cs="Arial" w:eastAsia="Arial" w:hAnsi="Arial"/>
                <w:sz w:val="15"/>
                <w:szCs w:val="15"/>
                <w:b w:val="1"/>
                <w:bCs w:val="1"/>
                <w:color w:val="auto"/>
              </w:rPr>
              <w:t>August 4,</w:t>
            </w:r>
          </w:p>
        </w:tc>
        <w:tc>
          <w:tcPr>
            <w:tcW w:w="320" w:type="dxa"/>
            <w:vAlign w:val="bottom"/>
          </w:tcPr>
          <w:p>
            <w:pPr>
              <w:spacing w:after="0"/>
              <w:rPr>
                <w:sz w:val="15"/>
                <w:szCs w:val="15"/>
                <w:color w:val="auto"/>
              </w:rPr>
            </w:pPr>
          </w:p>
        </w:tc>
        <w:tc>
          <w:tcPr>
            <w:tcW w:w="1120" w:type="dxa"/>
            <w:vAlign w:val="bottom"/>
          </w:tcPr>
          <w:p>
            <w:pPr>
              <w:jc w:val="center"/>
              <w:ind w:right="403"/>
              <w:spacing w:after="0"/>
              <w:rPr>
                <w:sz w:val="20"/>
                <w:szCs w:val="20"/>
                <w:color w:val="auto"/>
              </w:rPr>
            </w:pPr>
            <w:r>
              <w:rPr>
                <w:rFonts w:ascii="Arial" w:cs="Arial" w:eastAsia="Arial" w:hAnsi="Arial"/>
                <w:sz w:val="15"/>
                <w:szCs w:val="15"/>
                <w:b w:val="1"/>
                <w:bCs w:val="1"/>
                <w:color w:val="auto"/>
              </w:rPr>
              <w:t>July 29,</w:t>
            </w:r>
          </w:p>
        </w:tc>
        <w:tc>
          <w:tcPr>
            <w:tcW w:w="126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February 3,</w:t>
            </w:r>
          </w:p>
        </w:tc>
        <w:tc>
          <w:tcPr>
            <w:tcW w:w="0" w:type="dxa"/>
            <w:vAlign w:val="bottom"/>
          </w:tcPr>
          <w:p>
            <w:pPr>
              <w:spacing w:after="0"/>
              <w:rPr>
                <w:sz w:val="1"/>
                <w:szCs w:val="1"/>
                <w:color w:val="auto"/>
              </w:rPr>
            </w:pPr>
          </w:p>
        </w:tc>
      </w:tr>
      <w:tr>
        <w:trPr>
          <w:trHeight w:val="194"/>
        </w:trPr>
        <w:tc>
          <w:tcPr>
            <w:tcW w:w="3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63"/>
              <w:spacing w:after="0"/>
              <w:rPr>
                <w:sz w:val="20"/>
                <w:szCs w:val="20"/>
                <w:color w:val="auto"/>
              </w:rPr>
            </w:pPr>
            <w:r>
              <w:rPr>
                <w:rFonts w:ascii="Arial" w:cs="Arial" w:eastAsia="Arial" w:hAnsi="Arial"/>
                <w:sz w:val="15"/>
                <w:szCs w:val="15"/>
                <w:b w:val="1"/>
                <w:bCs w:val="1"/>
                <w:color w:val="auto"/>
              </w:rPr>
              <w:t>2018</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83"/>
              <w:spacing w:after="0"/>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2960" w:type="dxa"/>
            <w:vAlign w:val="bottom"/>
            <w:gridSpan w:val="2"/>
          </w:tcPr>
          <w:p>
            <w:pPr>
              <w:jc w:val="center"/>
              <w:ind w:left="1263"/>
              <w:spacing w:after="0"/>
              <w:rPr>
                <w:sz w:val="20"/>
                <w:szCs w:val="20"/>
                <w:color w:val="auto"/>
              </w:rPr>
            </w:pPr>
            <w:r>
              <w:rPr>
                <w:rFonts w:ascii="Arial" w:cs="Arial" w:eastAsia="Arial" w:hAnsi="Arial"/>
                <w:sz w:val="15"/>
                <w:szCs w:val="15"/>
                <w:b w:val="1"/>
                <w:bCs w:val="1"/>
                <w:color w:val="auto"/>
              </w:rPr>
              <w:t>(Unaudited)</w:t>
            </w:r>
          </w:p>
        </w:tc>
        <w:tc>
          <w:tcPr>
            <w:tcW w:w="1440" w:type="dxa"/>
            <w:vAlign w:val="bottom"/>
            <w:gridSpan w:val="2"/>
          </w:tcPr>
          <w:p>
            <w:pPr>
              <w:jc w:val="center"/>
              <w:ind w:right="63"/>
              <w:spacing w:after="0"/>
              <w:rPr>
                <w:sz w:val="20"/>
                <w:szCs w:val="20"/>
                <w:color w:val="auto"/>
              </w:rPr>
            </w:pPr>
            <w:r>
              <w:rPr>
                <w:rFonts w:ascii="Arial" w:cs="Arial" w:eastAsia="Arial" w:hAnsi="Arial"/>
                <w:sz w:val="15"/>
                <w:szCs w:val="15"/>
                <w:b w:val="1"/>
                <w:bCs w:val="1"/>
                <w:color w:val="auto"/>
              </w:rPr>
              <w:t>(Unaudited)</w:t>
            </w:r>
          </w:p>
        </w:tc>
        <w:tc>
          <w:tcPr>
            <w:tcW w:w="360" w:type="dxa"/>
            <w:vAlign w:val="bottom"/>
          </w:tcPr>
          <w:p>
            <w:pPr>
              <w:spacing w:after="0"/>
              <w:rPr>
                <w:sz w:val="16"/>
                <w:szCs w:val="16"/>
                <w:color w:val="auto"/>
              </w:rPr>
            </w:pPr>
          </w:p>
        </w:tc>
        <w:tc>
          <w:tcPr>
            <w:tcW w:w="900" w:type="dxa"/>
            <w:vAlign w:val="bottom"/>
          </w:tcPr>
          <w:p>
            <w:pPr>
              <w:jc w:val="right"/>
              <w:ind w:right="50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Current assets:</w:t>
            </w:r>
          </w:p>
        </w:tc>
        <w:tc>
          <w:tcPr>
            <w:tcW w:w="1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ind w:left="100"/>
              <w:spacing w:after="0"/>
              <w:rPr>
                <w:sz w:val="20"/>
                <w:szCs w:val="20"/>
                <w:color w:val="auto"/>
              </w:rPr>
            </w:pPr>
            <w:r>
              <w:rPr>
                <w:rFonts w:ascii="Arial" w:cs="Arial" w:eastAsia="Arial" w:hAnsi="Arial"/>
                <w:sz w:val="15"/>
                <w:szCs w:val="15"/>
                <w:color w:val="auto"/>
              </w:rPr>
              <w:t>Cash and cash equivalents</w:t>
            </w:r>
          </w:p>
        </w:tc>
        <w:tc>
          <w:tcPr>
            <w:tcW w:w="1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jc w:val="right"/>
              <w:ind w:right="143"/>
              <w:spacing w:after="0"/>
              <w:rPr>
                <w:sz w:val="20"/>
                <w:szCs w:val="20"/>
                <w:color w:val="auto"/>
              </w:rPr>
            </w:pPr>
            <w:r>
              <w:rPr>
                <w:rFonts w:ascii="Arial" w:cs="Arial" w:eastAsia="Arial" w:hAnsi="Arial"/>
                <w:sz w:val="15"/>
                <w:szCs w:val="15"/>
                <w:b w:val="1"/>
                <w:bCs w:val="1"/>
                <w:color w:val="auto"/>
              </w:rPr>
              <w:t>950</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1,043</w:t>
            </w:r>
          </w:p>
        </w:tc>
        <w:tc>
          <w:tcPr>
            <w:tcW w:w="3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849</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Merchandise inventories</w:t>
            </w:r>
          </w:p>
        </w:tc>
        <w:tc>
          <w:tcPr>
            <w:tcW w:w="17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1,254</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1,290</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1,278</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Other current assets</w:t>
            </w:r>
          </w:p>
        </w:tc>
        <w:tc>
          <w:tcPr>
            <w:tcW w:w="17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320</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311</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2,524</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2,644</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1780" w:type="dxa"/>
            <w:vAlign w:val="bottom"/>
          </w:tcPr>
          <w:p>
            <w:pPr>
              <w:spacing w:after="0"/>
              <w:rPr>
                <w:sz w:val="17"/>
                <w:szCs w:val="17"/>
                <w:color w:val="auto"/>
              </w:rPr>
            </w:pPr>
          </w:p>
        </w:tc>
        <w:tc>
          <w:tcPr>
            <w:tcW w:w="1180" w:type="dxa"/>
            <w:vAlign w:val="bottom"/>
          </w:tcPr>
          <w:p>
            <w:pPr>
              <w:jc w:val="right"/>
              <w:ind w:right="143"/>
              <w:spacing w:after="0"/>
              <w:rPr>
                <w:sz w:val="20"/>
                <w:szCs w:val="20"/>
                <w:color w:val="auto"/>
              </w:rPr>
            </w:pPr>
            <w:r>
              <w:rPr>
                <w:rFonts w:ascii="Arial" w:cs="Arial" w:eastAsia="Arial" w:hAnsi="Arial"/>
                <w:sz w:val="15"/>
                <w:szCs w:val="15"/>
                <w:b w:val="1"/>
                <w:bCs w:val="1"/>
                <w:color w:val="auto"/>
              </w:rPr>
              <w:t>842</w:t>
            </w:r>
          </w:p>
        </w:tc>
        <w:tc>
          <w:tcPr>
            <w:tcW w:w="32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821</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866</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Deferred taxes</w:t>
            </w:r>
          </w:p>
        </w:tc>
        <w:tc>
          <w:tcPr>
            <w:tcW w:w="17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108</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167</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5"/>
                <w:szCs w:val="15"/>
                <w:color w:val="auto"/>
              </w:rPr>
              <w:t>Goodwill</w:t>
            </w:r>
          </w:p>
        </w:tc>
        <w:tc>
          <w:tcPr>
            <w:tcW w:w="1780" w:type="dxa"/>
            <w:vAlign w:val="bottom"/>
          </w:tcPr>
          <w:p>
            <w:pPr>
              <w:spacing w:after="0"/>
              <w:rPr>
                <w:sz w:val="17"/>
                <w:szCs w:val="17"/>
                <w:color w:val="auto"/>
              </w:rPr>
            </w:pPr>
          </w:p>
        </w:tc>
        <w:tc>
          <w:tcPr>
            <w:tcW w:w="1180" w:type="dxa"/>
            <w:vAlign w:val="bottom"/>
          </w:tcPr>
          <w:p>
            <w:pPr>
              <w:jc w:val="right"/>
              <w:ind w:right="143"/>
              <w:spacing w:after="0"/>
              <w:rPr>
                <w:sz w:val="20"/>
                <w:szCs w:val="20"/>
                <w:color w:val="auto"/>
              </w:rPr>
            </w:pPr>
            <w:r>
              <w:rPr>
                <w:rFonts w:ascii="Arial" w:cs="Arial" w:eastAsia="Arial" w:hAnsi="Arial"/>
                <w:sz w:val="15"/>
                <w:szCs w:val="15"/>
                <w:b w:val="1"/>
                <w:bCs w:val="1"/>
                <w:color w:val="auto"/>
              </w:rPr>
              <w:t>158</w:t>
            </w:r>
          </w:p>
        </w:tc>
        <w:tc>
          <w:tcPr>
            <w:tcW w:w="32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158</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Other intangible assets, net</w:t>
            </w:r>
          </w:p>
        </w:tc>
        <w:tc>
          <w:tcPr>
            <w:tcW w:w="17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41</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45</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assets</w:t>
            </w:r>
          </w:p>
        </w:tc>
        <w:tc>
          <w:tcPr>
            <w:tcW w:w="17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159</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111</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179"/>
        </w:trPr>
        <w:tc>
          <w:tcPr>
            <w:tcW w:w="344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3,832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3,946</w:t>
            </w:r>
          </w:p>
        </w:tc>
        <w:tc>
          <w:tcPr>
            <w:tcW w:w="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3,961</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1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ind w:left="100"/>
              <w:spacing w:after="0"/>
              <w:rPr>
                <w:sz w:val="20"/>
                <w:szCs w:val="20"/>
                <w:color w:val="auto"/>
              </w:rPr>
            </w:pPr>
            <w:r>
              <w:rPr>
                <w:rFonts w:ascii="Arial" w:cs="Arial" w:eastAsia="Arial" w:hAnsi="Arial"/>
                <w:sz w:val="15"/>
                <w:szCs w:val="15"/>
                <w:color w:val="auto"/>
              </w:rPr>
              <w:t>Accounts payable</w:t>
            </w:r>
          </w:p>
        </w:tc>
        <w:tc>
          <w:tcPr>
            <w:tcW w:w="1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jc w:val="right"/>
              <w:ind w:right="143"/>
              <w:spacing w:after="0"/>
              <w:rPr>
                <w:sz w:val="20"/>
                <w:szCs w:val="20"/>
                <w:color w:val="auto"/>
              </w:rPr>
            </w:pPr>
            <w:r>
              <w:rPr>
                <w:rFonts w:ascii="Arial" w:cs="Arial" w:eastAsia="Arial" w:hAnsi="Arial"/>
                <w:sz w:val="15"/>
                <w:szCs w:val="15"/>
                <w:b w:val="1"/>
                <w:bCs w:val="1"/>
                <w:color w:val="auto"/>
              </w:rPr>
              <w:t>408</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162</w:t>
            </w:r>
          </w:p>
        </w:tc>
        <w:tc>
          <w:tcPr>
            <w:tcW w:w="3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Accrued and other liabilities</w:t>
            </w:r>
          </w:p>
        </w:tc>
        <w:tc>
          <w:tcPr>
            <w:tcW w:w="17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313</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308</w:t>
            </w: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80" w:type="dxa"/>
            <w:vAlign w:val="bottom"/>
          </w:tcPr>
          <w:p>
            <w:pPr>
              <w:jc w:val="right"/>
              <w:ind w:right="143"/>
              <w:spacing w:after="0"/>
              <w:rPr>
                <w:sz w:val="20"/>
                <w:szCs w:val="20"/>
                <w:color w:val="auto"/>
              </w:rPr>
            </w:pPr>
            <w:r>
              <w:rPr>
                <w:rFonts w:ascii="Arial" w:cs="Arial" w:eastAsia="Arial" w:hAnsi="Arial"/>
                <w:sz w:val="15"/>
                <w:szCs w:val="15"/>
                <w:b w:val="1"/>
                <w:bCs w:val="1"/>
                <w:color w:val="auto"/>
              </w:rPr>
              <w:t>721</w:t>
            </w:r>
          </w:p>
        </w:tc>
        <w:tc>
          <w:tcPr>
            <w:tcW w:w="320" w:type="dxa"/>
            <w:vAlign w:val="bottom"/>
          </w:tcPr>
          <w:p>
            <w:pPr>
              <w:spacing w:after="0"/>
              <w:rPr>
                <w:sz w:val="16"/>
                <w:szCs w:val="16"/>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470</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616</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Long-term debt</w:t>
            </w:r>
          </w:p>
        </w:tc>
        <w:tc>
          <w:tcPr>
            <w:tcW w:w="17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124</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126</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liabilities</w:t>
            </w:r>
          </w:p>
        </w:tc>
        <w:tc>
          <w:tcPr>
            <w:tcW w:w="17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505</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456</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701</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17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1,350</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1,052</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1,442</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5"/>
                <w:szCs w:val="15"/>
                <w:color w:val="auto"/>
              </w:rPr>
              <w:t>Shareholders’ equity:</w:t>
            </w: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3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Common stock and paid-in capital: 121,497,470;</w:t>
            </w:r>
          </w:p>
        </w:tc>
        <w:tc>
          <w:tcPr>
            <w:tcW w:w="178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rPr>
              <w:t>133,134,411; and</w:t>
            </w:r>
          </w:p>
        </w:tc>
        <w:tc>
          <w:tcPr>
            <w:tcW w:w="118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857</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121,262,456 shares outstanding, respectively</w:t>
            </w:r>
          </w:p>
        </w:tc>
        <w:tc>
          <w:tcPr>
            <w:tcW w:w="17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916</w:t>
            </w: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842</w:t>
            </w:r>
          </w:p>
        </w:tc>
        <w:tc>
          <w:tcPr>
            <w:tcW w:w="0" w:type="dxa"/>
            <w:vAlign w:val="bottom"/>
          </w:tcPr>
          <w:p>
            <w:pPr>
              <w:spacing w:after="0"/>
              <w:rPr>
                <w:sz w:val="1"/>
                <w:szCs w:val="1"/>
                <w:color w:val="auto"/>
              </w:rPr>
            </w:pPr>
          </w:p>
        </w:tc>
      </w:tr>
      <w:tr>
        <w:trPr>
          <w:trHeight w:val="207"/>
        </w:trPr>
        <w:tc>
          <w:tcPr>
            <w:tcW w:w="3440" w:type="dxa"/>
            <w:vAlign w:val="bottom"/>
          </w:tcPr>
          <w:p>
            <w:pPr>
              <w:ind w:left="100"/>
              <w:spacing w:after="0"/>
              <w:rPr>
                <w:sz w:val="20"/>
                <w:szCs w:val="20"/>
                <w:color w:val="auto"/>
              </w:rPr>
            </w:pPr>
            <w:r>
              <w:rPr>
                <w:rFonts w:ascii="Arial" w:cs="Arial" w:eastAsia="Arial" w:hAnsi="Arial"/>
                <w:sz w:val="15"/>
                <w:szCs w:val="15"/>
                <w:color w:val="auto"/>
              </w:rPr>
              <w:t>Retained earnings</w:t>
            </w:r>
          </w:p>
        </w:tc>
        <w:tc>
          <w:tcPr>
            <w:tcW w:w="1780" w:type="dxa"/>
            <w:vAlign w:val="bottom"/>
          </w:tcPr>
          <w:p>
            <w:pPr>
              <w:spacing w:after="0"/>
              <w:rPr>
                <w:sz w:val="17"/>
                <w:szCs w:val="17"/>
                <w:color w:val="auto"/>
              </w:rPr>
            </w:pPr>
          </w:p>
        </w:tc>
        <w:tc>
          <w:tcPr>
            <w:tcW w:w="1180" w:type="dxa"/>
            <w:vAlign w:val="bottom"/>
          </w:tcPr>
          <w:p>
            <w:pPr>
              <w:jc w:val="right"/>
              <w:ind w:right="143"/>
              <w:spacing w:after="0"/>
              <w:rPr>
                <w:sz w:val="20"/>
                <w:szCs w:val="20"/>
                <w:color w:val="auto"/>
              </w:rPr>
            </w:pPr>
            <w:r>
              <w:rPr>
                <w:rFonts w:ascii="Arial" w:cs="Arial" w:eastAsia="Arial" w:hAnsi="Arial"/>
                <w:sz w:val="15"/>
                <w:szCs w:val="15"/>
                <w:b w:val="1"/>
                <w:bCs w:val="1"/>
                <w:color w:val="auto"/>
              </w:rPr>
              <w:t>2,232</w:t>
            </w:r>
          </w:p>
        </w:tc>
        <w:tc>
          <w:tcPr>
            <w:tcW w:w="32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2,403</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Accumulated other comprehensive loss</w:t>
            </w:r>
          </w:p>
        </w:tc>
        <w:tc>
          <w:tcPr>
            <w:tcW w:w="17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(340)</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(284)</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w:t>
            </w:r>
          </w:p>
        </w:tc>
        <w:tc>
          <w:tcPr>
            <w:tcW w:w="0" w:type="dxa"/>
            <w:vAlign w:val="bottom"/>
          </w:tcPr>
          <w:p>
            <w:pPr>
              <w:spacing w:after="0"/>
              <w:rPr>
                <w:sz w:val="1"/>
                <w:szCs w:val="1"/>
                <w:color w:val="auto"/>
              </w:rPr>
            </w:pPr>
          </w:p>
        </w:tc>
      </w:tr>
      <w:tr>
        <w:trPr>
          <w:trHeight w:val="226"/>
        </w:trPr>
        <w:tc>
          <w:tcPr>
            <w:tcW w:w="5220" w:type="dxa"/>
            <w:vAlign w:val="bottom"/>
            <w:gridSpan w:val="2"/>
          </w:tcPr>
          <w:p>
            <w:pPr>
              <w:ind w:left="100"/>
              <w:spacing w:after="0"/>
              <w:rPr>
                <w:sz w:val="20"/>
                <w:szCs w:val="20"/>
                <w:color w:val="auto"/>
              </w:rPr>
            </w:pPr>
            <w:r>
              <w:rPr>
                <w:rFonts w:ascii="Arial" w:cs="Arial" w:eastAsia="Arial" w:hAnsi="Arial"/>
                <w:sz w:val="15"/>
                <w:szCs w:val="15"/>
                <w:color w:val="auto"/>
              </w:rPr>
              <w:t>Less: Treasury stock at cost: 5,869,122; 2,034,408; and 1,433,433</w:t>
            </w:r>
          </w:p>
        </w:tc>
        <w:tc>
          <w:tcPr>
            <w:tcW w:w="118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(267)</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shares, respectively</w:t>
            </w:r>
          </w:p>
        </w:tc>
        <w:tc>
          <w:tcPr>
            <w:tcW w:w="1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(141)</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87"/>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shareholders' equity</w:t>
            </w:r>
          </w:p>
        </w:tc>
        <w:tc>
          <w:tcPr>
            <w:tcW w:w="17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2,482</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2,894</w:t>
            </w: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2,519</w:t>
            </w:r>
          </w:p>
        </w:tc>
        <w:tc>
          <w:tcPr>
            <w:tcW w:w="0" w:type="dxa"/>
            <w:vAlign w:val="bottom"/>
          </w:tcPr>
          <w:p>
            <w:pPr>
              <w:spacing w:after="0"/>
              <w:rPr>
                <w:sz w:val="1"/>
                <w:szCs w:val="1"/>
                <w:color w:val="auto"/>
              </w:rPr>
            </w:pPr>
          </w:p>
        </w:tc>
      </w:tr>
      <w:tr>
        <w:trPr>
          <w:trHeight w:val="179"/>
        </w:trPr>
        <w:tc>
          <w:tcPr>
            <w:tcW w:w="34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3,832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3,946</w:t>
            </w: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3,961</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173" w:lineRule="exact"/>
        <w:rPr>
          <w:sz w:val="20"/>
          <w:szCs w:val="20"/>
          <w:color w:val="auto"/>
        </w:rPr>
      </w:pPr>
    </w:p>
    <w:p>
      <w:pPr>
        <w:jc w:val="both"/>
        <w:ind w:firstLine="5"/>
        <w:spacing w:after="0" w:line="239" w:lineRule="auto"/>
        <w:tabs>
          <w:tab w:leader="none" w:pos="102"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balance sheet at February 3, 2018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February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per share amounts)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gridSpan w:val="3"/>
          </w:tcPr>
          <w:p>
            <w:pPr>
              <w:jc w:val="right"/>
              <w:ind w:right="463"/>
              <w:spacing w:after="0"/>
              <w:rPr>
                <w:sz w:val="20"/>
                <w:szCs w:val="20"/>
                <w:color w:val="auto"/>
              </w:rPr>
            </w:pPr>
            <w:r>
              <w:rPr>
                <w:rFonts w:ascii="Arial" w:cs="Arial" w:eastAsia="Arial" w:hAnsi="Arial"/>
                <w:sz w:val="15"/>
                <w:szCs w:val="15"/>
                <w:b w:val="1"/>
                <w:bCs w:val="1"/>
                <w:color w:val="auto"/>
              </w:rPr>
              <w:t>Thirteen weeks ended</w:t>
            </w:r>
          </w:p>
        </w:tc>
        <w:tc>
          <w:tcPr>
            <w:tcW w:w="240" w:type="dxa"/>
            <w:vAlign w:val="bottom"/>
          </w:tcPr>
          <w:p>
            <w:pPr>
              <w:spacing w:after="0"/>
              <w:rPr>
                <w:sz w:val="16"/>
                <w:szCs w:val="16"/>
                <w:color w:val="auto"/>
              </w:rPr>
            </w:pPr>
          </w:p>
        </w:tc>
        <w:tc>
          <w:tcPr>
            <w:tcW w:w="2200" w:type="dxa"/>
            <w:vAlign w:val="bottom"/>
            <w:gridSpan w:val="4"/>
          </w:tcPr>
          <w:p>
            <w:pPr>
              <w:jc w:val="right"/>
              <w:ind w:right="320"/>
              <w:spacing w:after="0"/>
              <w:rPr>
                <w:sz w:val="20"/>
                <w:szCs w:val="20"/>
                <w:color w:val="auto"/>
              </w:rPr>
            </w:pPr>
            <w:r>
              <w:rPr>
                <w:rFonts w:ascii="Arial" w:cs="Arial" w:eastAsia="Arial" w:hAnsi="Arial"/>
                <w:sz w:val="15"/>
                <w:szCs w:val="15"/>
                <w:b w:val="1"/>
                <w:bCs w:val="1"/>
                <w:color w:val="auto"/>
              </w:rPr>
              <w:t>Twenty-six weeks ended</w:t>
            </w:r>
          </w:p>
        </w:tc>
      </w:tr>
      <w:tr>
        <w:trPr>
          <w:trHeight w:val="151"/>
        </w:trPr>
        <w:tc>
          <w:tcPr>
            <w:tcW w:w="4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263"/>
              <w:spacing w:after="0" w:line="151" w:lineRule="exact"/>
              <w:rPr>
                <w:sz w:val="20"/>
                <w:szCs w:val="20"/>
                <w:color w:val="auto"/>
              </w:rPr>
            </w:pPr>
            <w:r>
              <w:rPr>
                <w:rFonts w:ascii="Arial" w:cs="Arial" w:eastAsia="Arial" w:hAnsi="Arial"/>
                <w:sz w:val="15"/>
                <w:szCs w:val="15"/>
                <w:b w:val="1"/>
                <w:bCs w:val="1"/>
                <w:color w:val="auto"/>
              </w:rPr>
              <w:t>August 4,</w:t>
            </w: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43"/>
              <w:spacing w:after="0" w:line="151" w:lineRule="exact"/>
              <w:rPr>
                <w:sz w:val="20"/>
                <w:szCs w:val="20"/>
                <w:color w:val="auto"/>
              </w:rPr>
            </w:pPr>
            <w:r>
              <w:rPr>
                <w:rFonts w:ascii="Arial" w:cs="Arial" w:eastAsia="Arial" w:hAnsi="Arial"/>
                <w:sz w:val="15"/>
                <w:szCs w:val="15"/>
                <w:b w:val="1"/>
                <w:bCs w:val="1"/>
                <w:color w:val="auto"/>
              </w:rPr>
              <w:t>July 29,</w:t>
            </w: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63"/>
              <w:spacing w:after="0" w:line="151" w:lineRule="exact"/>
              <w:rPr>
                <w:sz w:val="20"/>
                <w:szCs w:val="20"/>
                <w:color w:val="auto"/>
              </w:rPr>
            </w:pPr>
            <w:r>
              <w:rPr>
                <w:rFonts w:ascii="Arial" w:cs="Arial" w:eastAsia="Arial" w:hAnsi="Arial"/>
                <w:sz w:val="15"/>
                <w:szCs w:val="15"/>
                <w:b w:val="1"/>
                <w:bCs w:val="1"/>
                <w:color w:val="auto"/>
                <w:w w:val="99"/>
              </w:rPr>
              <w:t>August 4,</w:t>
            </w: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83"/>
              <w:spacing w:after="0" w:line="151" w:lineRule="exact"/>
              <w:rPr>
                <w:sz w:val="20"/>
                <w:szCs w:val="20"/>
                <w:color w:val="auto"/>
              </w:rPr>
            </w:pPr>
            <w:r>
              <w:rPr>
                <w:rFonts w:ascii="Arial" w:cs="Arial" w:eastAsia="Arial" w:hAnsi="Arial"/>
                <w:sz w:val="15"/>
                <w:szCs w:val="15"/>
                <w:b w:val="1"/>
                <w:bCs w:val="1"/>
                <w:color w:val="auto"/>
              </w:rPr>
              <w:t>July 29,</w:t>
            </w:r>
          </w:p>
        </w:tc>
        <w:tc>
          <w:tcPr>
            <w:tcW w:w="20" w:type="dxa"/>
            <w:vAlign w:val="bottom"/>
          </w:tcPr>
          <w:p>
            <w:pPr>
              <w:spacing w:after="0"/>
              <w:rPr>
                <w:sz w:val="13"/>
                <w:szCs w:val="13"/>
                <w:color w:val="auto"/>
              </w:rPr>
            </w:pPr>
          </w:p>
        </w:tc>
      </w:tr>
      <w:tr>
        <w:trPr>
          <w:trHeight w:val="194"/>
        </w:trPr>
        <w:tc>
          <w:tcPr>
            <w:tcW w:w="4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6"/>
                <w:szCs w:val="16"/>
                <w:color w:val="auto"/>
              </w:rPr>
            </w:pPr>
          </w:p>
        </w:tc>
      </w:tr>
      <w:tr>
        <w:trPr>
          <w:trHeight w:val="187"/>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Sales</w:t>
            </w:r>
          </w:p>
        </w:tc>
        <w:tc>
          <w:tcPr>
            <w:tcW w:w="3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1,782</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1,701</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3,807</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3,702</w:t>
            </w:r>
          </w:p>
        </w:tc>
        <w:tc>
          <w:tcPr>
            <w:tcW w:w="20" w:type="dxa"/>
            <w:vAlign w:val="bottom"/>
          </w:tcPr>
          <w:p>
            <w:pPr>
              <w:spacing w:after="0"/>
              <w:rPr>
                <w:sz w:val="17"/>
                <w:szCs w:val="17"/>
                <w:color w:val="auto"/>
              </w:rPr>
            </w:pPr>
          </w:p>
        </w:tc>
      </w:tr>
      <w:tr>
        <w:trPr>
          <w:trHeight w:val="207"/>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Cost of sales</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1,243</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1,198</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2,602</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2,519</w:t>
            </w:r>
          </w:p>
        </w:tc>
        <w:tc>
          <w:tcPr>
            <w:tcW w:w="20" w:type="dxa"/>
            <w:vAlign w:val="bottom"/>
          </w:tcPr>
          <w:p>
            <w:pPr>
              <w:spacing w:after="0"/>
              <w:rPr>
                <w:sz w:val="17"/>
                <w:szCs w:val="17"/>
                <w:color w:val="auto"/>
              </w:rPr>
            </w:pPr>
          </w:p>
        </w:tc>
      </w:tr>
      <w:tr>
        <w:trPr>
          <w:trHeight w:val="207"/>
        </w:trPr>
        <w:tc>
          <w:tcPr>
            <w:tcW w:w="4120" w:type="dxa"/>
            <w:vAlign w:val="bottom"/>
          </w:tcPr>
          <w:p>
            <w:pPr>
              <w:spacing w:after="0"/>
              <w:rPr>
                <w:sz w:val="20"/>
                <w:szCs w:val="20"/>
                <w:color w:val="auto"/>
              </w:rPr>
            </w:pPr>
            <w:r>
              <w:rPr>
                <w:rFonts w:ascii="Arial" w:cs="Arial" w:eastAsia="Arial" w:hAnsi="Arial"/>
                <w:sz w:val="15"/>
                <w:szCs w:val="15"/>
                <w:color w:val="auto"/>
              </w:rPr>
              <w:t>Selling, general and administrative expenses</w:t>
            </w:r>
          </w:p>
        </w:tc>
        <w:tc>
          <w:tcPr>
            <w:tcW w:w="320" w:type="dxa"/>
            <w:vAlign w:val="bottom"/>
          </w:tcPr>
          <w:p>
            <w:pPr>
              <w:spacing w:after="0"/>
              <w:rPr>
                <w:sz w:val="17"/>
                <w:szCs w:val="17"/>
                <w:color w:val="auto"/>
              </w:rPr>
            </w:pPr>
          </w:p>
        </w:tc>
        <w:tc>
          <w:tcPr>
            <w:tcW w:w="960" w:type="dxa"/>
            <w:vAlign w:val="bottom"/>
          </w:tcPr>
          <w:p>
            <w:pPr>
              <w:jc w:val="right"/>
              <w:ind w:right="123"/>
              <w:spacing w:after="0"/>
              <w:rPr>
                <w:sz w:val="20"/>
                <w:szCs w:val="20"/>
                <w:color w:val="auto"/>
              </w:rPr>
            </w:pPr>
            <w:r>
              <w:rPr>
                <w:rFonts w:ascii="Arial" w:cs="Arial" w:eastAsia="Arial" w:hAnsi="Arial"/>
                <w:sz w:val="15"/>
                <w:szCs w:val="15"/>
                <w:b w:val="1"/>
                <w:bCs w:val="1"/>
                <w:color w:val="auto"/>
              </w:rPr>
              <w:t>380</w:t>
            </w:r>
          </w:p>
        </w:tc>
        <w:tc>
          <w:tcPr>
            <w:tcW w:w="260" w:type="dxa"/>
            <w:vAlign w:val="bottom"/>
          </w:tcPr>
          <w:p>
            <w:pPr>
              <w:spacing w:after="0"/>
              <w:rPr>
                <w:sz w:val="17"/>
                <w:szCs w:val="17"/>
                <w:color w:val="auto"/>
              </w:rPr>
            </w:pP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339</w:t>
            </w:r>
          </w:p>
        </w:tc>
        <w:tc>
          <w:tcPr>
            <w:tcW w:w="240" w:type="dxa"/>
            <w:vAlign w:val="bottom"/>
          </w:tcPr>
          <w:p>
            <w:pPr>
              <w:spacing w:after="0"/>
              <w:rPr>
                <w:sz w:val="17"/>
                <w:szCs w:val="17"/>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b w:val="1"/>
                <w:bCs w:val="1"/>
                <w:color w:val="auto"/>
              </w:rPr>
              <w:t>765</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710</w:t>
            </w:r>
          </w:p>
        </w:tc>
        <w:tc>
          <w:tcPr>
            <w:tcW w:w="20" w:type="dxa"/>
            <w:vAlign w:val="bottom"/>
          </w:tcPr>
          <w:p>
            <w:pPr>
              <w:spacing w:after="0"/>
              <w:rPr>
                <w:sz w:val="17"/>
                <w:szCs w:val="17"/>
                <w:color w:val="auto"/>
              </w:rPr>
            </w:pPr>
          </w:p>
        </w:tc>
      </w:tr>
      <w:tr>
        <w:trPr>
          <w:trHeight w:val="207"/>
        </w:trPr>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44</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42</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89</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20" w:type="dxa"/>
            <w:vAlign w:val="bottom"/>
          </w:tcPr>
          <w:p>
            <w:pPr>
              <w:spacing w:after="0"/>
              <w:rPr>
                <w:sz w:val="17"/>
                <w:szCs w:val="17"/>
                <w:color w:val="auto"/>
              </w:rPr>
            </w:pPr>
          </w:p>
        </w:tc>
      </w:tr>
      <w:tr>
        <w:trPr>
          <w:trHeight w:val="207"/>
        </w:trPr>
        <w:tc>
          <w:tcPr>
            <w:tcW w:w="4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Litigation and other charges</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3</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50</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15</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7"/>
                <w:szCs w:val="17"/>
                <w:color w:val="auto"/>
              </w:rPr>
            </w:pPr>
          </w:p>
        </w:tc>
      </w:tr>
      <w:tr>
        <w:trPr>
          <w:trHeight w:val="187"/>
        </w:trPr>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112</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72</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336</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20" w:type="dxa"/>
            <w:vAlign w:val="bottom"/>
          </w:tcPr>
          <w:p>
            <w:pPr>
              <w:spacing w:after="0"/>
              <w:rPr>
                <w:sz w:val="16"/>
                <w:szCs w:val="16"/>
                <w:color w:val="auto"/>
              </w:rPr>
            </w:pPr>
          </w:p>
        </w:tc>
      </w:tr>
      <w:tr>
        <w:trPr>
          <w:trHeight w:val="207"/>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r>
      <w:tr>
        <w:trPr>
          <w:trHeight w:val="207"/>
        </w:trPr>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net</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(3)</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r>
      <w:tr>
        <w:trPr>
          <w:trHeight w:val="207"/>
        </w:trPr>
        <w:tc>
          <w:tcPr>
            <w:tcW w:w="4120" w:type="dxa"/>
            <w:vAlign w:val="bottom"/>
          </w:tcPr>
          <w:p>
            <w:pPr>
              <w:spacing w:after="0"/>
              <w:rPr>
                <w:sz w:val="20"/>
                <w:szCs w:val="20"/>
                <w:color w:val="auto"/>
              </w:rPr>
            </w:pPr>
            <w:r>
              <w:rPr>
                <w:rFonts w:ascii="Arial" w:cs="Arial" w:eastAsia="Arial" w:hAnsi="Arial"/>
                <w:sz w:val="15"/>
                <w:szCs w:val="15"/>
                <w:color w:val="auto"/>
              </w:rPr>
              <w:t>Other income</w:t>
            </w:r>
          </w:p>
        </w:tc>
        <w:tc>
          <w:tcPr>
            <w:tcW w:w="32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b w:val="1"/>
                <w:bCs w:val="1"/>
                <w:color w:val="auto"/>
              </w:rPr>
              <w:t>(2)</w:t>
            </w:r>
          </w:p>
        </w:tc>
        <w:tc>
          <w:tcPr>
            <w:tcW w:w="260" w:type="dxa"/>
            <w:vAlign w:val="bottom"/>
          </w:tcPr>
          <w:p>
            <w:pPr>
              <w:spacing w:after="0"/>
              <w:rPr>
                <w:sz w:val="17"/>
                <w:szCs w:val="17"/>
                <w:color w:val="auto"/>
              </w:rPr>
            </w:pP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b w:val="1"/>
                <w:bCs w:val="1"/>
                <w:color w:val="auto"/>
              </w:rPr>
              <w:t>(5)</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r>
      <w:tr>
        <w:trPr>
          <w:trHeight w:val="187"/>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before income taxes</w:t>
            </w:r>
          </w:p>
        </w:tc>
        <w:tc>
          <w:tcPr>
            <w:tcW w:w="3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115</w:t>
            </w:r>
          </w:p>
        </w:tc>
        <w:tc>
          <w:tcPr>
            <w:tcW w:w="2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73</w:t>
            </w:r>
          </w:p>
        </w:tc>
        <w:tc>
          <w:tcPr>
            <w:tcW w:w="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344</w:t>
            </w: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20" w:type="dxa"/>
            <w:vAlign w:val="bottom"/>
          </w:tcPr>
          <w:p>
            <w:pPr>
              <w:spacing w:after="0"/>
              <w:rPr>
                <w:sz w:val="16"/>
                <w:szCs w:val="16"/>
                <w:color w:val="auto"/>
              </w:rPr>
            </w:pPr>
          </w:p>
        </w:tc>
      </w:tr>
      <w:tr>
        <w:trPr>
          <w:trHeight w:val="207"/>
        </w:trPr>
        <w:tc>
          <w:tcPr>
            <w:tcW w:w="4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Income tax expense</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27</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22</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91</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w:t>
            </w:r>
          </w:p>
        </w:tc>
        <w:tc>
          <w:tcPr>
            <w:tcW w:w="20" w:type="dxa"/>
            <w:vAlign w:val="bottom"/>
          </w:tcPr>
          <w:p>
            <w:pPr>
              <w:spacing w:after="0"/>
              <w:rPr>
                <w:sz w:val="17"/>
                <w:szCs w:val="17"/>
                <w:color w:val="auto"/>
              </w:rPr>
            </w:pPr>
          </w:p>
        </w:tc>
      </w:tr>
      <w:tr>
        <w:trPr>
          <w:trHeight w:val="179"/>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88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51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253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20" w:type="dxa"/>
            <w:vAlign w:val="bottom"/>
          </w:tcPr>
          <w:p>
            <w:pPr>
              <w:spacing w:after="0"/>
              <w:rPr>
                <w:sz w:val="15"/>
                <w:szCs w:val="15"/>
                <w:color w:val="auto"/>
              </w:rPr>
            </w:pPr>
          </w:p>
        </w:tc>
      </w:tr>
      <w:tr>
        <w:trPr>
          <w:trHeight w:val="195"/>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1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Basic earnings per share</w:t>
            </w:r>
          </w:p>
        </w:tc>
        <w:tc>
          <w:tcPr>
            <w:tcW w:w="3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0.76</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0.39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2.15</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20" w:type="dxa"/>
            <w:vAlign w:val="bottom"/>
          </w:tcPr>
          <w:p>
            <w:pPr>
              <w:spacing w:after="0"/>
              <w:rPr>
                <w:sz w:val="17"/>
                <w:szCs w:val="17"/>
                <w:color w:val="auto"/>
              </w:rPr>
            </w:pPr>
          </w:p>
        </w:tc>
      </w:tr>
      <w:tr>
        <w:trPr>
          <w:trHeight w:val="207"/>
        </w:trPr>
        <w:tc>
          <w:tcPr>
            <w:tcW w:w="4120" w:type="dxa"/>
            <w:vAlign w:val="bottom"/>
          </w:tcPr>
          <w:p>
            <w:pPr>
              <w:ind w:left="100"/>
              <w:spacing w:after="0"/>
              <w:rPr>
                <w:sz w:val="20"/>
                <w:szCs w:val="20"/>
                <w:color w:val="auto"/>
              </w:rPr>
            </w:pPr>
            <w:r>
              <w:rPr>
                <w:rFonts w:ascii="Arial" w:cs="Arial" w:eastAsia="Arial" w:hAnsi="Arial"/>
                <w:sz w:val="15"/>
                <w:szCs w:val="15"/>
                <w:color w:val="auto"/>
              </w:rPr>
              <w:t>Weighted-average shares outstanding</w:t>
            </w:r>
          </w:p>
        </w:tc>
        <w:tc>
          <w:tcPr>
            <w:tcW w:w="320" w:type="dxa"/>
            <w:vAlign w:val="bottom"/>
          </w:tcPr>
          <w:p>
            <w:pPr>
              <w:spacing w:after="0"/>
              <w:rPr>
                <w:sz w:val="17"/>
                <w:szCs w:val="17"/>
                <w:color w:val="auto"/>
              </w:rPr>
            </w:pPr>
          </w:p>
        </w:tc>
        <w:tc>
          <w:tcPr>
            <w:tcW w:w="960" w:type="dxa"/>
            <w:vAlign w:val="bottom"/>
          </w:tcPr>
          <w:p>
            <w:pPr>
              <w:jc w:val="right"/>
              <w:ind w:right="123"/>
              <w:spacing w:after="0"/>
              <w:rPr>
                <w:sz w:val="20"/>
                <w:szCs w:val="20"/>
                <w:color w:val="auto"/>
              </w:rPr>
            </w:pPr>
            <w:r>
              <w:rPr>
                <w:rFonts w:ascii="Arial" w:cs="Arial" w:eastAsia="Arial" w:hAnsi="Arial"/>
                <w:sz w:val="15"/>
                <w:szCs w:val="15"/>
                <w:b w:val="1"/>
                <w:bCs w:val="1"/>
                <w:color w:val="auto"/>
              </w:rPr>
              <w:t>116.6</w:t>
            </w:r>
          </w:p>
        </w:tc>
        <w:tc>
          <w:tcPr>
            <w:tcW w:w="260" w:type="dxa"/>
            <w:vAlign w:val="bottom"/>
          </w:tcPr>
          <w:p>
            <w:pPr>
              <w:spacing w:after="0"/>
              <w:rPr>
                <w:sz w:val="17"/>
                <w:szCs w:val="17"/>
                <w:color w:val="auto"/>
              </w:rPr>
            </w:pP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131.3</w:t>
            </w:r>
          </w:p>
        </w:tc>
        <w:tc>
          <w:tcPr>
            <w:tcW w:w="240" w:type="dxa"/>
            <w:vAlign w:val="bottom"/>
          </w:tcPr>
          <w:p>
            <w:pPr>
              <w:spacing w:after="0"/>
              <w:rPr>
                <w:sz w:val="17"/>
                <w:szCs w:val="17"/>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b w:val="1"/>
                <w:bCs w:val="1"/>
                <w:color w:val="auto"/>
              </w:rPr>
              <w:t>117.7</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131.3</w:t>
            </w:r>
          </w:p>
        </w:tc>
        <w:tc>
          <w:tcPr>
            <w:tcW w:w="20" w:type="dxa"/>
            <w:vAlign w:val="bottom"/>
          </w:tcPr>
          <w:p>
            <w:pPr>
              <w:spacing w:after="0"/>
              <w:rPr>
                <w:sz w:val="17"/>
                <w:szCs w:val="17"/>
                <w:color w:val="auto"/>
              </w:rPr>
            </w:pPr>
          </w:p>
        </w:tc>
      </w:tr>
      <w:tr>
        <w:trPr>
          <w:trHeight w:val="207"/>
        </w:trPr>
        <w:tc>
          <w:tcPr>
            <w:tcW w:w="4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120" w:type="dxa"/>
            <w:vAlign w:val="bottom"/>
          </w:tcPr>
          <w:p>
            <w:pPr>
              <w:ind w:left="100"/>
              <w:spacing w:after="0"/>
              <w:rPr>
                <w:sz w:val="20"/>
                <w:szCs w:val="20"/>
                <w:color w:val="auto"/>
              </w:rPr>
            </w:pPr>
            <w:r>
              <w:rPr>
                <w:rFonts w:ascii="Arial" w:cs="Arial" w:eastAsia="Arial" w:hAnsi="Arial"/>
                <w:sz w:val="15"/>
                <w:szCs w:val="15"/>
                <w:color w:val="auto"/>
              </w:rPr>
              <w:t>Diluted earnings per share</w:t>
            </w:r>
          </w:p>
        </w:tc>
        <w:tc>
          <w:tcPr>
            <w:tcW w:w="32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123"/>
              <w:spacing w:after="0"/>
              <w:rPr>
                <w:sz w:val="20"/>
                <w:szCs w:val="20"/>
                <w:color w:val="auto"/>
              </w:rPr>
            </w:pPr>
            <w:r>
              <w:rPr>
                <w:rFonts w:ascii="Arial" w:cs="Arial" w:eastAsia="Arial" w:hAnsi="Arial"/>
                <w:sz w:val="15"/>
                <w:szCs w:val="15"/>
                <w:b w:val="1"/>
                <w:bCs w:val="1"/>
                <w:color w:val="auto"/>
              </w:rPr>
              <w:t>0.75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0.39</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103"/>
              <w:spacing w:after="0"/>
              <w:rPr>
                <w:sz w:val="20"/>
                <w:szCs w:val="20"/>
                <w:color w:val="auto"/>
              </w:rPr>
            </w:pPr>
            <w:r>
              <w:rPr>
                <w:rFonts w:ascii="Arial" w:cs="Arial" w:eastAsia="Arial" w:hAnsi="Arial"/>
                <w:sz w:val="15"/>
                <w:szCs w:val="15"/>
                <w:b w:val="1"/>
                <w:bCs w:val="1"/>
                <w:color w:val="auto"/>
              </w:rPr>
              <w:t>2.14</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1.74</w:t>
            </w:r>
          </w:p>
        </w:tc>
        <w:tc>
          <w:tcPr>
            <w:tcW w:w="20" w:type="dxa"/>
            <w:vAlign w:val="bottom"/>
          </w:tcPr>
          <w:p>
            <w:pPr>
              <w:spacing w:after="0"/>
              <w:rPr>
                <w:sz w:val="17"/>
                <w:szCs w:val="17"/>
                <w:color w:val="auto"/>
              </w:rPr>
            </w:pPr>
          </w:p>
        </w:tc>
      </w:tr>
      <w:tr>
        <w:trPr>
          <w:trHeight w:val="401"/>
        </w:trPr>
        <w:tc>
          <w:tcPr>
            <w:tcW w:w="41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Weighted-average shares outstanding, assuming dilution</w:t>
            </w:r>
          </w:p>
        </w:tc>
        <w:tc>
          <w:tcPr>
            <w:tcW w:w="3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117.1</w:t>
            </w:r>
          </w:p>
        </w:tc>
        <w:tc>
          <w:tcPr>
            <w:tcW w:w="2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132.0</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118.1</w:t>
            </w: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132.3</w:t>
            </w:r>
          </w:p>
        </w:tc>
        <w:tc>
          <w:tcPr>
            <w:tcW w:w="20" w:type="dxa"/>
            <w:vAlign w:val="bottom"/>
          </w:tcPr>
          <w:p>
            <w:pPr>
              <w:spacing w:after="0"/>
              <w:rPr>
                <w:sz w:val="24"/>
                <w:szCs w:val="24"/>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COMPREHENSIVE INCOME</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5"/>
                <w:szCs w:val="15"/>
                <w:b w:val="1"/>
                <w:bCs w:val="1"/>
                <w:color w:val="auto"/>
              </w:rPr>
              <w:t>Thirteen weeks ended</w:t>
            </w: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5"/>
                <w:szCs w:val="15"/>
                <w:b w:val="1"/>
                <w:bCs w:val="1"/>
                <w:color w:val="auto"/>
              </w:rPr>
              <w:t>Twenty-six weeks ended</w:t>
            </w:r>
          </w:p>
        </w:tc>
        <w:tc>
          <w:tcPr>
            <w:tcW w:w="0" w:type="dxa"/>
            <w:vAlign w:val="bottom"/>
          </w:tcPr>
          <w:p>
            <w:pPr>
              <w:spacing w:after="0"/>
              <w:rPr>
                <w:sz w:val="1"/>
                <w:szCs w:val="1"/>
                <w:color w:val="auto"/>
              </w:rPr>
            </w:pPr>
          </w:p>
        </w:tc>
      </w:tr>
      <w:tr>
        <w:trPr>
          <w:trHeight w:val="151"/>
        </w:trPr>
        <w:tc>
          <w:tcPr>
            <w:tcW w:w="4420" w:type="dxa"/>
            <w:vAlign w:val="bottom"/>
          </w:tcPr>
          <w:p>
            <w:pPr>
              <w:spacing w:after="0"/>
              <w:rPr>
                <w:sz w:val="13"/>
                <w:szCs w:val="13"/>
                <w:color w:val="auto"/>
              </w:rPr>
            </w:pPr>
          </w:p>
        </w:tc>
        <w:tc>
          <w:tcPr>
            <w:tcW w:w="1200" w:type="dxa"/>
            <w:vAlign w:val="bottom"/>
            <w:gridSpan w:val="2"/>
          </w:tcPr>
          <w:p>
            <w:pPr>
              <w:jc w:val="right"/>
              <w:ind w:right="223"/>
              <w:spacing w:after="0" w:line="151" w:lineRule="exact"/>
              <w:rPr>
                <w:sz w:val="20"/>
                <w:szCs w:val="20"/>
                <w:color w:val="auto"/>
              </w:rPr>
            </w:pPr>
            <w:r>
              <w:rPr>
                <w:rFonts w:ascii="Arial" w:cs="Arial" w:eastAsia="Arial" w:hAnsi="Arial"/>
                <w:sz w:val="15"/>
                <w:szCs w:val="15"/>
                <w:b w:val="1"/>
                <w:bCs w:val="1"/>
                <w:color w:val="auto"/>
              </w:rPr>
              <w:t>August 4,</w:t>
            </w:r>
          </w:p>
        </w:tc>
        <w:tc>
          <w:tcPr>
            <w:tcW w:w="240" w:type="dxa"/>
            <w:vAlign w:val="bottom"/>
          </w:tcPr>
          <w:p>
            <w:pPr>
              <w:spacing w:after="0"/>
              <w:rPr>
                <w:sz w:val="13"/>
                <w:szCs w:val="13"/>
                <w:color w:val="auto"/>
              </w:rPr>
            </w:pPr>
          </w:p>
        </w:tc>
        <w:tc>
          <w:tcPr>
            <w:tcW w:w="960" w:type="dxa"/>
            <w:vAlign w:val="bottom"/>
          </w:tcPr>
          <w:p>
            <w:pPr>
              <w:jc w:val="right"/>
              <w:ind w:right="283"/>
              <w:spacing w:after="0" w:line="151" w:lineRule="exact"/>
              <w:rPr>
                <w:sz w:val="20"/>
                <w:szCs w:val="20"/>
                <w:color w:val="auto"/>
              </w:rPr>
            </w:pPr>
            <w:r>
              <w:rPr>
                <w:rFonts w:ascii="Arial" w:cs="Arial" w:eastAsia="Arial" w:hAnsi="Arial"/>
                <w:sz w:val="15"/>
                <w:szCs w:val="15"/>
                <w:b w:val="1"/>
                <w:bCs w:val="1"/>
                <w:color w:val="auto"/>
              </w:rPr>
              <w:t>July 29,</w:t>
            </w:r>
          </w:p>
        </w:tc>
        <w:tc>
          <w:tcPr>
            <w:tcW w:w="1200" w:type="dxa"/>
            <w:vAlign w:val="bottom"/>
            <w:gridSpan w:val="2"/>
          </w:tcPr>
          <w:p>
            <w:pPr>
              <w:jc w:val="right"/>
              <w:ind w:right="223"/>
              <w:spacing w:after="0" w:line="151" w:lineRule="exact"/>
              <w:rPr>
                <w:sz w:val="20"/>
                <w:szCs w:val="20"/>
                <w:color w:val="auto"/>
              </w:rPr>
            </w:pPr>
            <w:r>
              <w:rPr>
                <w:rFonts w:ascii="Arial" w:cs="Arial" w:eastAsia="Arial" w:hAnsi="Arial"/>
                <w:sz w:val="15"/>
                <w:szCs w:val="15"/>
                <w:b w:val="1"/>
                <w:bCs w:val="1"/>
                <w:color w:val="auto"/>
              </w:rPr>
              <w:t>August 4,</w:t>
            </w:r>
          </w:p>
        </w:tc>
        <w:tc>
          <w:tcPr>
            <w:tcW w:w="260" w:type="dxa"/>
            <w:vAlign w:val="bottom"/>
          </w:tcPr>
          <w:p>
            <w:pPr>
              <w:spacing w:after="0"/>
              <w:rPr>
                <w:sz w:val="13"/>
                <w:szCs w:val="13"/>
                <w:color w:val="auto"/>
              </w:rPr>
            </w:pPr>
          </w:p>
        </w:tc>
        <w:tc>
          <w:tcPr>
            <w:tcW w:w="820" w:type="dxa"/>
            <w:vAlign w:val="bottom"/>
          </w:tcPr>
          <w:p>
            <w:pPr>
              <w:jc w:val="right"/>
              <w:ind w:right="163"/>
              <w:spacing w:after="0" w:line="151" w:lineRule="exact"/>
              <w:rPr>
                <w:sz w:val="20"/>
                <w:szCs w:val="20"/>
                <w:color w:val="auto"/>
              </w:rPr>
            </w:pPr>
            <w:r>
              <w:rPr>
                <w:rFonts w:ascii="Arial" w:cs="Arial" w:eastAsia="Arial" w:hAnsi="Arial"/>
                <w:sz w:val="15"/>
                <w:szCs w:val="15"/>
                <w:b w:val="1"/>
                <w:bCs w:val="1"/>
                <w:color w:val="auto"/>
              </w:rPr>
              <w:t>July 29,</w:t>
            </w:r>
          </w:p>
        </w:tc>
        <w:tc>
          <w:tcPr>
            <w:tcW w:w="0" w:type="dxa"/>
            <w:vAlign w:val="bottom"/>
          </w:tcPr>
          <w:p>
            <w:pPr>
              <w:spacing w:after="0"/>
              <w:rPr>
                <w:sz w:val="1"/>
                <w:szCs w:val="1"/>
                <w:color w:val="auto"/>
              </w:rPr>
            </w:pPr>
          </w:p>
        </w:tc>
      </w:tr>
      <w:tr>
        <w:trPr>
          <w:trHeight w:val="194"/>
        </w:trPr>
        <w:tc>
          <w:tcPr>
            <w:tcW w:w="4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187"/>
        </w:trPr>
        <w:tc>
          <w:tcPr>
            <w:tcW w:w="44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88</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51</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253</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207"/>
        </w:trPr>
        <w:tc>
          <w:tcPr>
            <w:tcW w:w="4420" w:type="dxa"/>
            <w:vAlign w:val="bottom"/>
          </w:tcPr>
          <w:p>
            <w:pPr>
              <w:spacing w:after="0"/>
              <w:rPr>
                <w:sz w:val="20"/>
                <w:szCs w:val="20"/>
                <w:color w:val="auto"/>
              </w:rPr>
            </w:pPr>
            <w:r>
              <w:rPr>
                <w:rFonts w:ascii="Arial" w:cs="Arial" w:eastAsia="Arial" w:hAnsi="Arial"/>
                <w:sz w:val="15"/>
                <w:szCs w:val="15"/>
                <w:color w:val="auto"/>
              </w:rPr>
              <w:t>Other comprehensive income, net of income tax:</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20" w:type="dxa"/>
            <w:vAlign w:val="bottom"/>
          </w:tcPr>
          <w:p>
            <w:pPr>
              <w:ind w:left="100"/>
              <w:spacing w:after="0"/>
              <w:rPr>
                <w:sz w:val="20"/>
                <w:szCs w:val="20"/>
                <w:color w:val="auto"/>
              </w:rPr>
            </w:pPr>
            <w:r>
              <w:rPr>
                <w:rFonts w:ascii="Arial" w:cs="Arial" w:eastAsia="Arial" w:hAnsi="Arial"/>
                <w:sz w:val="15"/>
                <w:szCs w:val="15"/>
                <w:i w:val="1"/>
                <w:iCs w:val="1"/>
                <w:color w:val="auto"/>
              </w:rPr>
              <w:t>Foreign currency translation adjustment:</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Translation adjustment arising during the period, net of</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420" w:type="dxa"/>
            <w:vAlign w:val="bottom"/>
            <w:shd w:val="clear" w:color="auto" w:fill="CCEEFF"/>
          </w:tcPr>
          <w:p>
            <w:pPr>
              <w:ind w:left="300"/>
              <w:spacing w:after="0" w:line="170" w:lineRule="exact"/>
              <w:rPr>
                <w:sz w:val="20"/>
                <w:szCs w:val="20"/>
                <w:color w:val="auto"/>
              </w:rPr>
            </w:pPr>
            <w:r>
              <w:rPr>
                <w:rFonts w:ascii="Arial" w:cs="Arial" w:eastAsia="Arial" w:hAnsi="Arial"/>
                <w:sz w:val="15"/>
                <w:szCs w:val="15"/>
                <w:color w:val="auto"/>
              </w:rPr>
              <w:t>income tax (benefit)/expense of $1, $5, $(7), and $5</w:t>
            </w:r>
          </w:p>
        </w:tc>
        <w:tc>
          <w:tcPr>
            <w:tcW w:w="3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(20)</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(58)</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million, respectively</w:t>
            </w:r>
          </w:p>
        </w:tc>
        <w:tc>
          <w:tcPr>
            <w:tcW w:w="3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70</w:t>
            </w:r>
          </w:p>
        </w:tc>
        <w:tc>
          <w:tcPr>
            <w:tcW w:w="2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207"/>
        </w:trPr>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ind w:left="100"/>
              <w:spacing w:after="0"/>
              <w:rPr>
                <w:sz w:val="20"/>
                <w:szCs w:val="20"/>
                <w:color w:val="auto"/>
              </w:rPr>
            </w:pPr>
            <w:r>
              <w:rPr>
                <w:rFonts w:ascii="Arial" w:cs="Arial" w:eastAsia="Arial" w:hAnsi="Arial"/>
                <w:sz w:val="15"/>
                <w:szCs w:val="15"/>
                <w:i w:val="1"/>
                <w:iCs w:val="1"/>
                <w:color w:val="auto"/>
              </w:rPr>
              <w:t>Cash flow hedges:</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4420" w:type="dxa"/>
            <w:vAlign w:val="bottom"/>
          </w:tcPr>
          <w:p>
            <w:pPr>
              <w:ind w:left="200"/>
              <w:spacing w:after="0"/>
              <w:rPr>
                <w:sz w:val="20"/>
                <w:szCs w:val="20"/>
                <w:color w:val="auto"/>
              </w:rPr>
            </w:pPr>
            <w:r>
              <w:rPr>
                <w:rFonts w:ascii="Arial" w:cs="Arial" w:eastAsia="Arial" w:hAnsi="Arial"/>
                <w:sz w:val="15"/>
                <w:szCs w:val="15"/>
                <w:color w:val="auto"/>
              </w:rPr>
              <w:t>Change in fair value of derivatives, net of income tax</w:t>
            </w:r>
          </w:p>
        </w:tc>
        <w:tc>
          <w:tcPr>
            <w:tcW w:w="300" w:type="dxa"/>
            <w:vAlign w:val="bottom"/>
          </w:tcPr>
          <w:p>
            <w:pPr>
              <w:spacing w:after="0"/>
              <w:rPr>
                <w:sz w:val="24"/>
                <w:szCs w:val="24"/>
                <w:color w:val="auto"/>
              </w:rPr>
            </w:pPr>
          </w:p>
        </w:tc>
        <w:tc>
          <w:tcPr>
            <w:tcW w:w="90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24"/>
                <w:szCs w:val="24"/>
                <w:color w:val="auto"/>
              </w:rPr>
            </w:pPr>
          </w:p>
        </w:tc>
        <w:tc>
          <w:tcPr>
            <w:tcW w:w="960" w:type="dxa"/>
            <w:vAlign w:val="bottom"/>
          </w:tcPr>
          <w:p>
            <w:pPr>
              <w:jc w:val="right"/>
              <w:ind w:right="103"/>
              <w:spacing w:after="0"/>
              <w:rPr>
                <w:sz w:val="20"/>
                <w:szCs w:val="20"/>
                <w:color w:val="auto"/>
              </w:rPr>
            </w:pPr>
            <w:r>
              <w:rPr>
                <w:rFonts w:ascii="Arial" w:cs="Arial" w:eastAsia="Arial" w:hAnsi="Arial"/>
                <w:sz w:val="15"/>
                <w:szCs w:val="15"/>
                <w:color w:val="auto"/>
              </w:rPr>
              <w:t>2</w:t>
            </w:r>
          </w:p>
        </w:tc>
        <w:tc>
          <w:tcPr>
            <w:tcW w:w="240" w:type="dxa"/>
            <w:vAlign w:val="bottom"/>
          </w:tcPr>
          <w:p>
            <w:pPr>
              <w:spacing w:after="0"/>
              <w:rPr>
                <w:sz w:val="24"/>
                <w:szCs w:val="24"/>
                <w:color w:val="auto"/>
              </w:rPr>
            </w:pPr>
          </w:p>
        </w:tc>
        <w:tc>
          <w:tcPr>
            <w:tcW w:w="960" w:type="dxa"/>
            <w:vAlign w:val="bottom"/>
          </w:tcPr>
          <w:p>
            <w:pPr>
              <w:jc w:val="right"/>
              <w:ind w:right="103"/>
              <w:spacing w:after="0"/>
              <w:rPr>
                <w:sz w:val="20"/>
                <w:szCs w:val="20"/>
                <w:color w:val="auto"/>
              </w:rPr>
            </w:pPr>
            <w:r>
              <w:rPr>
                <w:rFonts w:ascii="Arial" w:cs="Arial" w:eastAsia="Arial" w:hAnsi="Arial"/>
                <w:sz w:val="15"/>
                <w:szCs w:val="15"/>
                <w:b w:val="1"/>
                <w:bCs w:val="1"/>
                <w:color w:val="auto"/>
              </w:rPr>
              <w:t>1</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20" w:type="dxa"/>
            <w:vAlign w:val="bottom"/>
          </w:tcPr>
          <w:p>
            <w:pPr>
              <w:ind w:left="100"/>
              <w:spacing w:after="0"/>
              <w:rPr>
                <w:sz w:val="20"/>
                <w:szCs w:val="20"/>
                <w:color w:val="auto"/>
              </w:rPr>
            </w:pPr>
            <w:r>
              <w:rPr>
                <w:rFonts w:ascii="Arial" w:cs="Arial" w:eastAsia="Arial" w:hAnsi="Arial"/>
                <w:sz w:val="15"/>
                <w:szCs w:val="15"/>
                <w:i w:val="1"/>
                <w:iCs w:val="1"/>
                <w:color w:val="auto"/>
              </w:rPr>
              <w:t>Available for sale securities: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Unrealized gain on available for sale securities</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20" w:type="dxa"/>
            <w:vAlign w:val="bottom"/>
            <w:shd w:val="clear" w:color="auto" w:fill="CCEEFF"/>
          </w:tcPr>
          <w:p>
            <w:pPr>
              <w:ind w:left="100"/>
              <w:spacing w:after="0"/>
              <w:rPr>
                <w:sz w:val="20"/>
                <w:szCs w:val="20"/>
                <w:color w:val="auto"/>
              </w:rPr>
            </w:pPr>
            <w:r>
              <w:rPr>
                <w:rFonts w:ascii="Arial" w:cs="Arial" w:eastAsia="Arial" w:hAnsi="Arial"/>
                <w:sz w:val="15"/>
                <w:szCs w:val="15"/>
                <w:i w:val="1"/>
                <w:iCs w:val="1"/>
                <w:color w:val="auto"/>
              </w:rPr>
              <w:t>Pension and postretirement adjustments:</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4420" w:type="dxa"/>
            <w:vAlign w:val="bottom"/>
          </w:tcPr>
          <w:p>
            <w:pPr>
              <w:ind w:left="200"/>
              <w:spacing w:after="0"/>
              <w:rPr>
                <w:sz w:val="20"/>
                <w:szCs w:val="20"/>
                <w:color w:val="auto"/>
              </w:rPr>
            </w:pPr>
            <w:r>
              <w:rPr>
                <w:rFonts w:ascii="Arial" w:cs="Arial" w:eastAsia="Arial" w:hAnsi="Arial"/>
                <w:sz w:val="15"/>
                <w:szCs w:val="15"/>
                <w:color w:val="auto"/>
              </w:rPr>
              <w:t>Amortization of net actuarial gain/loss and prior service cost</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420" w:type="dxa"/>
            <w:vAlign w:val="bottom"/>
          </w:tcPr>
          <w:p>
            <w:pPr>
              <w:ind w:left="300"/>
              <w:spacing w:after="0" w:line="170" w:lineRule="exact"/>
              <w:rPr>
                <w:sz w:val="20"/>
                <w:szCs w:val="20"/>
                <w:color w:val="auto"/>
              </w:rPr>
            </w:pPr>
            <w:r>
              <w:rPr>
                <w:rFonts w:ascii="Arial" w:cs="Arial" w:eastAsia="Arial" w:hAnsi="Arial"/>
                <w:sz w:val="15"/>
                <w:szCs w:val="15"/>
                <w:color w:val="auto"/>
              </w:rPr>
              <w:t>included in net periodic benefit costs, net of income tax</w:t>
            </w:r>
          </w:p>
        </w:tc>
        <w:tc>
          <w:tcPr>
            <w:tcW w:w="300" w:type="dxa"/>
            <w:vAlign w:val="bottom"/>
          </w:tcPr>
          <w:p>
            <w:pPr>
              <w:spacing w:after="0"/>
              <w:rPr>
                <w:sz w:val="14"/>
                <w:szCs w:val="14"/>
                <w:color w:val="auto"/>
              </w:rPr>
            </w:pPr>
          </w:p>
        </w:tc>
        <w:tc>
          <w:tcPr>
            <w:tcW w:w="9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2</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300"/>
              <w:spacing w:after="0"/>
              <w:rPr>
                <w:sz w:val="20"/>
                <w:szCs w:val="20"/>
                <w:color w:val="auto"/>
              </w:rPr>
            </w:pPr>
            <w:r>
              <w:rPr>
                <w:rFonts w:ascii="Arial" w:cs="Arial" w:eastAsia="Arial" w:hAnsi="Arial"/>
                <w:sz w:val="15"/>
                <w:szCs w:val="15"/>
                <w:color w:val="auto"/>
              </w:rPr>
              <w:t>expense of $-, $1, $1, and $2 million, respectively</w:t>
            </w:r>
          </w:p>
        </w:tc>
        <w:tc>
          <w:tcPr>
            <w:tcW w:w="3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384"/>
        </w:trPr>
        <w:tc>
          <w:tcPr>
            <w:tcW w:w="4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Pension remeasurement and foreign currency fluctuations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420" w:type="dxa"/>
            <w:vAlign w:val="bottom"/>
            <w:shd w:val="clear" w:color="auto" w:fill="CCEEFF"/>
          </w:tcPr>
          <w:p>
            <w:pPr>
              <w:ind w:left="300"/>
              <w:spacing w:after="0" w:line="170" w:lineRule="exact"/>
              <w:rPr>
                <w:sz w:val="20"/>
                <w:szCs w:val="20"/>
                <w:color w:val="auto"/>
              </w:rPr>
            </w:pPr>
            <w:r>
              <w:rPr>
                <w:rFonts w:ascii="Arial" w:cs="Arial" w:eastAsia="Arial" w:hAnsi="Arial"/>
                <w:sz w:val="15"/>
                <w:szCs w:val="15"/>
                <w:color w:val="auto"/>
              </w:rPr>
              <w:t>arising during the year, net of income tax benefit of $3, $-,</w:t>
            </w:r>
          </w:p>
        </w:tc>
        <w:tc>
          <w:tcPr>
            <w:tcW w:w="3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(9)</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(8)</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$3, and $- million, respectively</w:t>
            </w:r>
          </w:p>
        </w:tc>
        <w:tc>
          <w:tcPr>
            <w:tcW w:w="3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44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Comprehensive income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61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124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192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in millions)</w:t>
      </w:r>
    </w:p>
    <w:p>
      <w:pPr>
        <w:spacing w:after="0" w:line="200" w:lineRule="exact"/>
        <w:rPr>
          <w:sz w:val="20"/>
          <w:szCs w:val="20"/>
          <w:color w:val="auto"/>
        </w:rPr>
      </w:pPr>
    </w:p>
    <w:p>
      <w:pPr>
        <w:spacing w:after="0" w:line="278" w:lineRule="exact"/>
        <w:rPr>
          <w:sz w:val="20"/>
          <w:szCs w:val="20"/>
          <w:color w:val="auto"/>
        </w:rPr>
      </w:pPr>
    </w:p>
    <w:p>
      <w:pPr>
        <w:ind w:left="6600"/>
        <w:spacing w:after="0"/>
        <w:rPr>
          <w:sz w:val="20"/>
          <w:szCs w:val="20"/>
          <w:color w:val="auto"/>
        </w:rPr>
      </w:pPr>
      <w:r>
        <w:rPr>
          <w:rFonts w:ascii="Arial" w:cs="Arial" w:eastAsia="Arial" w:hAnsi="Arial"/>
          <w:sz w:val="15"/>
          <w:szCs w:val="15"/>
          <w:b w:val="1"/>
          <w:bCs w:val="1"/>
          <w:color w:val="auto"/>
        </w:rPr>
        <w:t>Twenty-six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August 4,</w:t>
            </w:r>
          </w:p>
        </w:tc>
        <w:tc>
          <w:tcPr>
            <w:tcW w:w="4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July 29,</w:t>
            </w:r>
          </w:p>
        </w:tc>
      </w:tr>
      <w:tr>
        <w:trPr>
          <w:trHeight w:val="194"/>
        </w:trPr>
        <w:tc>
          <w:tcPr>
            <w:tcW w:w="58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3"/>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r>
      <w:tr>
        <w:trPr>
          <w:trHeight w:val="187"/>
        </w:trPr>
        <w:tc>
          <w:tcPr>
            <w:tcW w:w="5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From operating activities:</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38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1440" w:type="dxa"/>
            <w:vAlign w:val="bottom"/>
          </w:tcPr>
          <w:p>
            <w:pPr>
              <w:jc w:val="right"/>
              <w:ind w:right="183"/>
              <w:spacing w:after="0"/>
              <w:rPr>
                <w:sz w:val="20"/>
                <w:szCs w:val="20"/>
                <w:color w:val="auto"/>
              </w:rPr>
            </w:pPr>
            <w:r>
              <w:rPr>
                <w:rFonts w:ascii="Arial" w:cs="Arial" w:eastAsia="Arial" w:hAnsi="Arial"/>
                <w:sz w:val="15"/>
                <w:szCs w:val="15"/>
                <w:b w:val="1"/>
                <w:bCs w:val="1"/>
                <w:color w:val="auto"/>
              </w:rPr>
              <w:t>253</w:t>
            </w:r>
          </w:p>
        </w:tc>
        <w:tc>
          <w:tcPr>
            <w:tcW w:w="4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231</w:t>
            </w:r>
          </w:p>
        </w:tc>
      </w:tr>
      <w:tr>
        <w:trPr>
          <w:trHeight w:val="353"/>
        </w:trPr>
        <w:tc>
          <w:tcPr>
            <w:tcW w:w="5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7"/>
        </w:trPr>
        <w:tc>
          <w:tcPr>
            <w:tcW w:w="580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380" w:type="dxa"/>
            <w:vAlign w:val="bottom"/>
          </w:tcPr>
          <w:p>
            <w:pPr>
              <w:spacing w:after="0"/>
              <w:rPr>
                <w:sz w:val="17"/>
                <w:szCs w:val="17"/>
                <w:color w:val="auto"/>
              </w:rPr>
            </w:pPr>
          </w:p>
        </w:tc>
        <w:tc>
          <w:tcPr>
            <w:tcW w:w="1440" w:type="dxa"/>
            <w:vAlign w:val="bottom"/>
          </w:tcPr>
          <w:p>
            <w:pPr>
              <w:jc w:val="right"/>
              <w:ind w:right="183"/>
              <w:spacing w:after="0"/>
              <w:rPr>
                <w:sz w:val="20"/>
                <w:szCs w:val="20"/>
                <w:color w:val="auto"/>
              </w:rPr>
            </w:pPr>
            <w:r>
              <w:rPr>
                <w:rFonts w:ascii="Arial" w:cs="Arial" w:eastAsia="Arial" w:hAnsi="Arial"/>
                <w:sz w:val="15"/>
                <w:szCs w:val="15"/>
                <w:b w:val="1"/>
                <w:bCs w:val="1"/>
                <w:color w:val="auto"/>
              </w:rPr>
              <w:t>89</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207"/>
        </w:trPr>
        <w:tc>
          <w:tcPr>
            <w:tcW w:w="5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Share-based compensation expense</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9</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r>
      <w:tr>
        <w:trPr>
          <w:trHeight w:val="207"/>
        </w:trPr>
        <w:tc>
          <w:tcPr>
            <w:tcW w:w="5800" w:type="dxa"/>
            <w:vAlign w:val="bottom"/>
          </w:tcPr>
          <w:p>
            <w:pPr>
              <w:ind w:left="260"/>
              <w:spacing w:after="0"/>
              <w:rPr>
                <w:sz w:val="20"/>
                <w:szCs w:val="20"/>
                <w:color w:val="auto"/>
              </w:rPr>
            </w:pPr>
            <w:r>
              <w:rPr>
                <w:rFonts w:ascii="Arial" w:cs="Arial" w:eastAsia="Arial" w:hAnsi="Arial"/>
                <w:sz w:val="15"/>
                <w:szCs w:val="15"/>
                <w:color w:val="auto"/>
              </w:rPr>
              <w:t>Qualified pension plan contributions</w:t>
            </w:r>
          </w:p>
        </w:tc>
        <w:tc>
          <w:tcPr>
            <w:tcW w:w="380" w:type="dxa"/>
            <w:vAlign w:val="bottom"/>
          </w:tcPr>
          <w:p>
            <w:pPr>
              <w:spacing w:after="0"/>
              <w:rPr>
                <w:sz w:val="17"/>
                <w:szCs w:val="17"/>
                <w:color w:val="auto"/>
              </w:rPr>
            </w:pPr>
          </w:p>
        </w:tc>
        <w:tc>
          <w:tcPr>
            <w:tcW w:w="1440" w:type="dxa"/>
            <w:vAlign w:val="bottom"/>
          </w:tcPr>
          <w:p>
            <w:pPr>
              <w:jc w:val="right"/>
              <w:ind w:right="143"/>
              <w:spacing w:after="0"/>
              <w:rPr>
                <w:sz w:val="20"/>
                <w:szCs w:val="20"/>
                <w:color w:val="auto"/>
              </w:rPr>
            </w:pPr>
            <w:r>
              <w:rPr>
                <w:rFonts w:ascii="Arial" w:cs="Arial" w:eastAsia="Arial" w:hAnsi="Arial"/>
                <w:sz w:val="15"/>
                <w:szCs w:val="15"/>
                <w:b w:val="1"/>
                <w:bCs w:val="1"/>
                <w:color w:val="auto"/>
              </w:rPr>
              <w:t>(30)</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07"/>
        </w:trPr>
        <w:tc>
          <w:tcPr>
            <w:tcW w:w="5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Change in assets and liabilities:</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7"/>
        </w:trPr>
        <w:tc>
          <w:tcPr>
            <w:tcW w:w="5800" w:type="dxa"/>
            <w:vAlign w:val="bottom"/>
          </w:tcPr>
          <w:p>
            <w:pPr>
              <w:ind w:left="380"/>
              <w:spacing w:after="0"/>
              <w:rPr>
                <w:sz w:val="20"/>
                <w:szCs w:val="20"/>
                <w:color w:val="auto"/>
              </w:rPr>
            </w:pPr>
            <w:r>
              <w:rPr>
                <w:rFonts w:ascii="Arial" w:cs="Arial" w:eastAsia="Arial" w:hAnsi="Arial"/>
                <w:sz w:val="15"/>
                <w:szCs w:val="15"/>
                <w:color w:val="auto"/>
              </w:rPr>
              <w:t>Merchandise inventories</w:t>
            </w:r>
          </w:p>
        </w:tc>
        <w:tc>
          <w:tcPr>
            <w:tcW w:w="380" w:type="dxa"/>
            <w:vAlign w:val="bottom"/>
          </w:tcPr>
          <w:p>
            <w:pPr>
              <w:spacing w:after="0"/>
              <w:rPr>
                <w:sz w:val="17"/>
                <w:szCs w:val="17"/>
                <w:color w:val="auto"/>
              </w:rPr>
            </w:pPr>
          </w:p>
        </w:tc>
        <w:tc>
          <w:tcPr>
            <w:tcW w:w="1440" w:type="dxa"/>
            <w:vAlign w:val="bottom"/>
          </w:tcPr>
          <w:p>
            <w:pPr>
              <w:jc w:val="right"/>
              <w:ind w:right="183"/>
              <w:spacing w:after="0"/>
              <w:rPr>
                <w:sz w:val="20"/>
                <w:szCs w:val="20"/>
                <w:color w:val="auto"/>
              </w:rPr>
            </w:pPr>
            <w:r>
              <w:rPr>
                <w:rFonts w:ascii="Arial" w:cs="Arial" w:eastAsia="Arial" w:hAnsi="Arial"/>
                <w:sz w:val="15"/>
                <w:szCs w:val="15"/>
                <w:b w:val="1"/>
                <w:bCs w:val="1"/>
                <w:color w:val="auto"/>
              </w:rPr>
              <w:t>3</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07"/>
        </w:trPr>
        <w:tc>
          <w:tcPr>
            <w:tcW w:w="58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155</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r>
      <w:tr>
        <w:trPr>
          <w:trHeight w:val="207"/>
        </w:trPr>
        <w:tc>
          <w:tcPr>
            <w:tcW w:w="5800" w:type="dxa"/>
            <w:vAlign w:val="bottom"/>
          </w:tcPr>
          <w:p>
            <w:pPr>
              <w:ind w:left="380"/>
              <w:spacing w:after="0"/>
              <w:rPr>
                <w:sz w:val="20"/>
                <w:szCs w:val="20"/>
                <w:color w:val="auto"/>
              </w:rPr>
            </w:pPr>
            <w:r>
              <w:rPr>
                <w:rFonts w:ascii="Arial" w:cs="Arial" w:eastAsia="Arial" w:hAnsi="Arial"/>
                <w:sz w:val="15"/>
                <w:szCs w:val="15"/>
                <w:color w:val="auto"/>
              </w:rPr>
              <w:t>Accrued and other liabilities</w:t>
            </w:r>
          </w:p>
        </w:tc>
        <w:tc>
          <w:tcPr>
            <w:tcW w:w="380" w:type="dxa"/>
            <w:vAlign w:val="bottom"/>
          </w:tcPr>
          <w:p>
            <w:pPr>
              <w:spacing w:after="0"/>
              <w:rPr>
                <w:sz w:val="17"/>
                <w:szCs w:val="17"/>
                <w:color w:val="auto"/>
              </w:rPr>
            </w:pPr>
          </w:p>
        </w:tc>
        <w:tc>
          <w:tcPr>
            <w:tcW w:w="144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07"/>
        </w:trPr>
        <w:tc>
          <w:tcPr>
            <w:tcW w:w="58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Pension litigation accrual</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15</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207"/>
        </w:trPr>
        <w:tc>
          <w:tcPr>
            <w:tcW w:w="5800" w:type="dxa"/>
            <w:vAlign w:val="bottom"/>
          </w:tcPr>
          <w:p>
            <w:pPr>
              <w:ind w:left="380"/>
              <w:spacing w:after="0"/>
              <w:rPr>
                <w:sz w:val="20"/>
                <w:szCs w:val="20"/>
                <w:color w:val="auto"/>
              </w:rPr>
            </w:pPr>
            <w:r>
              <w:rPr>
                <w:rFonts w:ascii="Arial" w:cs="Arial" w:eastAsia="Arial" w:hAnsi="Arial"/>
                <w:sz w:val="15"/>
                <w:szCs w:val="15"/>
                <w:color w:val="auto"/>
              </w:rPr>
              <w:t>Class counsel fees paid in connection with pension litigation</w:t>
            </w:r>
          </w:p>
        </w:tc>
        <w:tc>
          <w:tcPr>
            <w:tcW w:w="380" w:type="dxa"/>
            <w:vAlign w:val="bottom"/>
          </w:tcPr>
          <w:p>
            <w:pPr>
              <w:spacing w:after="0"/>
              <w:rPr>
                <w:sz w:val="17"/>
                <w:szCs w:val="17"/>
                <w:color w:val="auto"/>
              </w:rPr>
            </w:pPr>
          </w:p>
        </w:tc>
        <w:tc>
          <w:tcPr>
            <w:tcW w:w="1440" w:type="dxa"/>
            <w:vAlign w:val="bottom"/>
          </w:tcPr>
          <w:p>
            <w:pPr>
              <w:jc w:val="right"/>
              <w:ind w:right="143"/>
              <w:spacing w:after="0"/>
              <w:rPr>
                <w:sz w:val="20"/>
                <w:szCs w:val="20"/>
                <w:color w:val="auto"/>
              </w:rPr>
            </w:pPr>
            <w:r>
              <w:rPr>
                <w:rFonts w:ascii="Arial" w:cs="Arial" w:eastAsia="Arial" w:hAnsi="Arial"/>
                <w:sz w:val="15"/>
                <w:szCs w:val="15"/>
                <w:b w:val="1"/>
                <w:bCs w:val="1"/>
                <w:color w:val="auto"/>
              </w:rPr>
              <w:t>(97)</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8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30</w:t>
            </w: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r>
      <w:tr>
        <w:trPr>
          <w:trHeight w:val="187"/>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cash provided by operating activities</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427</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w:t>
            </w:r>
          </w:p>
        </w:tc>
      </w:tr>
      <w:tr>
        <w:trPr>
          <w:trHeight w:val="187"/>
        </w:trPr>
        <w:tc>
          <w:tcPr>
            <w:tcW w:w="5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5"/>
                <w:szCs w:val="15"/>
                <w:b w:val="1"/>
                <w:bCs w:val="1"/>
                <w:color w:val="auto"/>
              </w:rPr>
              <w:t>From investing activities:</w:t>
            </w: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Capital expenditures</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(115)</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r>
      <w:tr>
        <w:trPr>
          <w:trHeight w:val="207"/>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Insurance proceeds related to loss on property and equipment</w:t>
            </w: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87"/>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cash used in investing activities</w:t>
            </w:r>
          </w:p>
        </w:tc>
        <w:tc>
          <w:tcPr>
            <w:tcW w:w="3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(113)</w:t>
            </w:r>
          </w:p>
        </w:tc>
        <w:tc>
          <w:tcPr>
            <w:tcW w:w="4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w:t>
            </w:r>
          </w:p>
        </w:tc>
      </w:tr>
      <w:tr>
        <w:trPr>
          <w:trHeight w:val="187"/>
        </w:trPr>
        <w:tc>
          <w:tcPr>
            <w:tcW w:w="5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From financing activities:</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Purchase of treasury shares</w:t>
            </w:r>
          </w:p>
        </w:tc>
        <w:tc>
          <w:tcPr>
            <w:tcW w:w="380" w:type="dxa"/>
            <w:vAlign w:val="bottom"/>
          </w:tcPr>
          <w:p>
            <w:pPr>
              <w:spacing w:after="0"/>
              <w:rPr>
                <w:sz w:val="17"/>
                <w:szCs w:val="17"/>
                <w:color w:val="auto"/>
              </w:rPr>
            </w:pPr>
          </w:p>
        </w:tc>
        <w:tc>
          <w:tcPr>
            <w:tcW w:w="1440" w:type="dxa"/>
            <w:vAlign w:val="bottom"/>
          </w:tcPr>
          <w:p>
            <w:pPr>
              <w:jc w:val="right"/>
              <w:ind w:right="143"/>
              <w:spacing w:after="0"/>
              <w:rPr>
                <w:sz w:val="20"/>
                <w:szCs w:val="20"/>
                <w:color w:val="auto"/>
              </w:rPr>
            </w:pPr>
            <w:r>
              <w:rPr>
                <w:rFonts w:ascii="Arial" w:cs="Arial" w:eastAsia="Arial" w:hAnsi="Arial"/>
                <w:sz w:val="15"/>
                <w:szCs w:val="15"/>
                <w:b w:val="1"/>
                <w:bCs w:val="1"/>
                <w:color w:val="auto"/>
              </w:rPr>
              <w:t>(205)</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Dividends paid on common stock</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(81)</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Proceeds from exercise of stock options</w:t>
            </w:r>
          </w:p>
        </w:tc>
        <w:tc>
          <w:tcPr>
            <w:tcW w:w="380" w:type="dxa"/>
            <w:vAlign w:val="bottom"/>
          </w:tcPr>
          <w:p>
            <w:pPr>
              <w:spacing w:after="0"/>
              <w:rPr>
                <w:sz w:val="17"/>
                <w:szCs w:val="17"/>
                <w:color w:val="auto"/>
              </w:rPr>
            </w:pPr>
          </w:p>
        </w:tc>
        <w:tc>
          <w:tcPr>
            <w:tcW w:w="1440" w:type="dxa"/>
            <w:vAlign w:val="bottom"/>
          </w:tcPr>
          <w:p>
            <w:pPr>
              <w:jc w:val="right"/>
              <w:ind w:right="183"/>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Treasury stock reissued under employee stock plan</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353"/>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Shares of common stock repurchased to satisfy tax withholding obligations</w:t>
            </w: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r>
      <w:tr>
        <w:trPr>
          <w:trHeight w:val="187"/>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cash used in financing activities</w:t>
            </w:r>
          </w:p>
        </w:tc>
        <w:tc>
          <w:tcPr>
            <w:tcW w:w="3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(281)</w:t>
            </w:r>
          </w:p>
        </w:tc>
        <w:tc>
          <w:tcPr>
            <w:tcW w:w="4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w:t>
            </w:r>
          </w:p>
        </w:tc>
      </w:tr>
      <w:tr>
        <w:trPr>
          <w:trHeight w:val="187"/>
        </w:trPr>
        <w:tc>
          <w:tcPr>
            <w:tcW w:w="5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65"/>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Effect of exchange rate fluctuations on cash, cash equivalents, and restricted cash</w:t>
            </w:r>
          </w:p>
        </w:tc>
        <w:tc>
          <w:tcPr>
            <w:tcW w:w="3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(25)</w:t>
            </w: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w:t>
            </w:r>
          </w:p>
        </w:tc>
      </w:tr>
      <w:tr>
        <w:trPr>
          <w:trHeight w:val="187"/>
        </w:trPr>
        <w:tc>
          <w:tcPr>
            <w:tcW w:w="5800" w:type="dxa"/>
            <w:vAlign w:val="bottom"/>
          </w:tcPr>
          <w:p>
            <w:pPr>
              <w:spacing w:after="0"/>
              <w:rPr>
                <w:sz w:val="20"/>
                <w:szCs w:val="20"/>
                <w:color w:val="auto"/>
              </w:rPr>
            </w:pPr>
            <w:r>
              <w:rPr>
                <w:rFonts w:ascii="Arial" w:cs="Arial" w:eastAsia="Arial" w:hAnsi="Arial"/>
                <w:sz w:val="15"/>
                <w:szCs w:val="15"/>
                <w:color w:val="auto"/>
              </w:rPr>
              <w:t>Net change in cash, cash equivalents, and restricted cash</w:t>
            </w:r>
          </w:p>
        </w:tc>
        <w:tc>
          <w:tcPr>
            <w:tcW w:w="380" w:type="dxa"/>
            <w:vAlign w:val="bottom"/>
          </w:tcPr>
          <w:p>
            <w:pPr>
              <w:spacing w:after="0"/>
              <w:rPr>
                <w:sz w:val="16"/>
                <w:szCs w:val="16"/>
                <w:color w:val="auto"/>
              </w:rPr>
            </w:pPr>
          </w:p>
        </w:tc>
        <w:tc>
          <w:tcPr>
            <w:tcW w:w="1440" w:type="dxa"/>
            <w:vAlign w:val="bottom"/>
          </w:tcPr>
          <w:p>
            <w:pPr>
              <w:jc w:val="right"/>
              <w:ind w:right="183"/>
              <w:spacing w:after="0"/>
              <w:rPr>
                <w:sz w:val="20"/>
                <w:szCs w:val="20"/>
                <w:color w:val="auto"/>
              </w:rPr>
            </w:pPr>
            <w:r>
              <w:rPr>
                <w:rFonts w:ascii="Arial" w:cs="Arial" w:eastAsia="Arial" w:hAnsi="Arial"/>
                <w:sz w:val="15"/>
                <w:szCs w:val="15"/>
                <w:b w:val="1"/>
                <w:bCs w:val="1"/>
                <w:color w:val="auto"/>
              </w:rPr>
              <w:t>8</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1,031</w:t>
            </w: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1,073</w:t>
            </w:r>
          </w:p>
        </w:tc>
      </w:tr>
      <w:tr>
        <w:trPr>
          <w:trHeight w:val="179"/>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Cash, cash equivalents, and restricted cash at end of period</w:t>
            </w:r>
          </w:p>
        </w:tc>
        <w:tc>
          <w:tcPr>
            <w:tcW w:w="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14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1,039</w:t>
            </w: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1,073</w:t>
            </w:r>
          </w:p>
        </w:tc>
      </w:tr>
      <w:tr>
        <w:trPr>
          <w:trHeight w:val="195"/>
        </w:trPr>
        <w:tc>
          <w:tcPr>
            <w:tcW w:w="5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5"/>
                <w:szCs w:val="15"/>
                <w:b w:val="1"/>
                <w:bCs w:val="1"/>
                <w:color w:val="auto"/>
              </w:rPr>
              <w:t>Cash paid during the period:</w:t>
            </w: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w:t>
            </w:r>
          </w:p>
        </w:tc>
        <w:tc>
          <w:tcPr>
            <w:tcW w:w="38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44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5</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r>
      <w:tr>
        <w:trPr>
          <w:trHeight w:val="207"/>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Income taxes</w:t>
            </w:r>
          </w:p>
        </w:tc>
        <w:tc>
          <w:tcPr>
            <w:tcW w:w="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14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129</w:t>
            </w: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ind w:right="2040" w:firstLine="2045"/>
        <w:spacing w:after="0" w:line="254" w:lineRule="auto"/>
        <w:rPr>
          <w:sz w:val="20"/>
          <w:szCs w:val="20"/>
          <w:color w:val="auto"/>
        </w:rPr>
      </w:pPr>
      <w:r>
        <w:rPr>
          <w:rFonts w:ascii="Arial" w:cs="Arial" w:eastAsia="Arial" w:hAnsi="Arial"/>
          <w:sz w:val="15"/>
          <w:szCs w:val="15"/>
          <w:b w:val="1"/>
          <w:bCs w:val="1"/>
          <w:color w:val="auto"/>
        </w:rPr>
        <w:t>NOTES TO CONDENSED CONSOLIDATED FINANCIAL STATEMENTS 1. Summary of Significant Accounting Policies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Basis of Presentation</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of the fiscal year ending February 2, 2019 and of the fiscal year ended February 3, 2018.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Foot Locker, Inc.’s (the “Company”) Form 10-K for the year ended February 3, 2018, as filed with the U.S. Securities and Exchange Commission (the “SEC”) on March 29, 2018.</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Other than the changes to the </w:t>
      </w:r>
      <w:r>
        <w:rPr>
          <w:rFonts w:ascii="Arial" w:cs="Arial" w:eastAsia="Arial" w:hAnsi="Arial"/>
          <w:sz w:val="15"/>
          <w:szCs w:val="15"/>
          <w:i w:val="1"/>
          <w:iCs w:val="1"/>
          <w:color w:val="auto"/>
        </w:rPr>
        <w:t>Revenue Recognition</w:t>
      </w:r>
      <w:r>
        <w:rPr>
          <w:rFonts w:ascii="Arial" w:cs="Arial" w:eastAsia="Arial" w:hAnsi="Arial"/>
          <w:sz w:val="15"/>
          <w:szCs w:val="15"/>
          <w:color w:val="auto"/>
        </w:rPr>
        <w:t xml:space="preserve"> policies as a result of the recently adopted accounting standards discussed below, there were no significant changes to our significant accounting policies disclosed in Note 1, </w:t>
      </w:r>
      <w:r>
        <w:rPr>
          <w:rFonts w:ascii="Arial" w:cs="Arial" w:eastAsia="Arial" w:hAnsi="Arial"/>
          <w:sz w:val="15"/>
          <w:szCs w:val="15"/>
          <w:i w:val="1"/>
          <w:iCs w:val="1"/>
          <w:color w:val="auto"/>
        </w:rPr>
        <w:t>Summary of Significant 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Policies </w:t>
      </w:r>
      <w:r>
        <w:rPr>
          <w:rFonts w:ascii="Arial" w:cs="Arial" w:eastAsia="Arial" w:hAnsi="Arial"/>
          <w:sz w:val="15"/>
          <w:szCs w:val="15"/>
          <w:color w:val="auto"/>
        </w:rPr>
        <w:t>of our Annual Report on Form 10-K for the year ended February 3, 2018.</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Recently Adopted Accounting Pronouncements</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2014-09,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w:t>
      </w:r>
      <w:r>
        <w:rPr>
          <w:rFonts w:ascii="Arial" w:cs="Arial" w:eastAsia="Arial" w:hAnsi="Arial"/>
          <w:sz w:val="15"/>
          <w:szCs w:val="15"/>
          <w:i w:val="1"/>
          <w:iCs w:val="1"/>
          <w:color w:val="auto"/>
        </w:rPr>
        <w:t>from Contracts with Customers (Topic 606)</w:t>
      </w:r>
      <w:r>
        <w:rPr>
          <w:rFonts w:ascii="Arial" w:cs="Arial" w:eastAsia="Arial" w:hAnsi="Arial"/>
          <w:sz w:val="15"/>
          <w:szCs w:val="15"/>
          <w:color w:val="auto"/>
        </w:rPr>
        <w:t>. The core principle of Topic 606 is to recognize revenue to depict the transfer of promised</w:t>
      </w:r>
      <w:r>
        <w:rPr>
          <w:rFonts w:ascii="Arial" w:cs="Arial" w:eastAsia="Arial" w:hAnsi="Arial"/>
          <w:sz w:val="15"/>
          <w:szCs w:val="15"/>
          <w:i w:val="1"/>
          <w:iCs w:val="1"/>
          <w:color w:val="auto"/>
        </w:rPr>
        <w:t xml:space="preserve"> </w:t>
      </w:r>
      <w:r>
        <w:rPr>
          <w:rFonts w:ascii="Arial" w:cs="Arial" w:eastAsia="Arial" w:hAnsi="Arial"/>
          <w:sz w:val="15"/>
          <w:szCs w:val="15"/>
          <w:color w:val="auto"/>
        </w:rPr>
        <w:t>goods or services to customers in an amount that reflects the consideration to which the entity expects to be entitled in exchange for those goods or services. The Company adopted ASU 2014-09 during the first quarter of 2018 using the modified retrospective method. We recognized $5 million, or $4 million net of tax, as the cumulative effect of initially applying the new revenue standard as an increase to the opening balance of retained earnings.</w:t>
      </w:r>
    </w:p>
    <w:p>
      <w:pPr>
        <w:spacing w:after="0" w:line="140"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 xml:space="preserve">In October 2016, the FASB issued ASU 2016-16, </w:t>
      </w:r>
      <w:r>
        <w:rPr>
          <w:rFonts w:ascii="Arial" w:cs="Arial" w:eastAsia="Arial" w:hAnsi="Arial"/>
          <w:sz w:val="15"/>
          <w:szCs w:val="15"/>
          <w:i w:val="1"/>
          <w:iCs w:val="1"/>
          <w:color w:val="auto"/>
        </w:rPr>
        <w:t>Income Taxes (Topic 740): Intra-Entity Transfers of Assets Other Than Inventory</w:t>
      </w:r>
      <w:r>
        <w:rPr>
          <w:rFonts w:ascii="Arial" w:cs="Arial" w:eastAsia="Arial" w:hAnsi="Arial"/>
          <w:sz w:val="15"/>
          <w:szCs w:val="15"/>
          <w:color w:val="auto"/>
        </w:rPr>
        <w:t>. ASU 2016-16 requires recognition of income tax consequences of an intra-entity transfer of an asset other than inventory when the transfer occurs. The Company adopted this ASU during the first quarter of 2018 using the modified retrospective method, and as a result increased deferred income tax assets by $37 million. The Company recorded an adjustment to opening retained earnings to write off the income tax effects that had been deferred from past intercompany transactions involving non-inventory assets. The Company also recorded deferred tax assets with an offset to opening retained earnings for amounts that were not previously recognized under the previous guidance but are recognized under this ASU.</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Other recently adopted ASUs are discussed within the applicable disclosures on the following pages.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 Accounting Pronouncements Not Yet Adopted</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This ASU requires lessees to recognize a lease liability, on a discounted basis, and a right-of-use asset for all leases, as well as additional disclosure regarding leasing arrangements. In July 2018, the FASB issued ASU 2018-11, </w:t>
      </w:r>
      <w:r>
        <w:rPr>
          <w:rFonts w:ascii="Arial" w:cs="Arial" w:eastAsia="Arial" w:hAnsi="Arial"/>
          <w:sz w:val="15"/>
          <w:szCs w:val="15"/>
          <w:i w:val="1"/>
          <w:iCs w:val="1"/>
          <w:color w:val="auto"/>
        </w:rPr>
        <w:t>Leases (Topic 842): Targeted Improvements,</w:t>
      </w:r>
      <w:r>
        <w:rPr>
          <w:rFonts w:ascii="Arial" w:cs="Arial" w:eastAsia="Arial" w:hAnsi="Arial"/>
          <w:sz w:val="15"/>
          <w:szCs w:val="15"/>
          <w:color w:val="auto"/>
        </w:rPr>
        <w:t xml:space="preserve"> which provides an optional transition method of applying the new lease standard. Topic 842 can be applied using either a modified retrospective approach at the beginning of the earliest period presented, or as permitted by ASU 2018-11, at the beginning of the period in which it is adopted. These new leasing standards are effective for fiscal years beginning after December 15, 2018, including interim periods therein. The Company intends to adopt Topic 842 during the first quarter of 2019 using the optional transition method provided by ASU 2018-11. The Company has historically presented a non-GAAP measure to adjust its balance sheet to present operating leases as if they were capital leases. Based upon that analysis and our current evaluation of the standard, we estimate the adoption will result in the addition of $3 billion to $4 billion of assets and liabilities to our consolidated balance sheet, with no significant change to our consolidated statements of operations or cash flows.</w:t>
      </w:r>
    </w:p>
    <w:p>
      <w:pPr>
        <w:spacing w:after="0" w:line="33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Other recently issued accounting pronouncements did not, or are not believed by management to, have a material effect on the Company’s present or future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190500</wp:posOffset>
            </wp:positionV>
            <wp:extent cx="5817870" cy="48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 Recognition</w:t>
      </w:r>
    </w:p>
    <w:p>
      <w:pPr>
        <w:spacing w:after="0" w:line="184"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Store revenue is recognized at the point of sale and includes merchandise, net of returns, and excludes taxes. Revenue from layaway sales is recognized when the customer receives the product, rather than when the initial deposit is paid.</w:t>
      </w:r>
    </w:p>
    <w:p>
      <w:pPr>
        <w:spacing w:after="0" w:line="146"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In conjunction with the adoption of Topic 606 during the first quarter of 2018, we have determined that revenue for merchandise that is shipped to our customers from our distribution centers and stores will be recognized upon shipment date. Total revenue recognized includes shipping and handling fees. We have determined that control of the promised good is passed to the customer upon shipment date since the customer has legal title, the rewards of ownership, and paid for the merchandise as of the shipment date. This reflects a change in timing in how we previously recognized revenue for our direct-to-customer sales. Prior to the adoption of Topic 606, the Company recognized such revenue upon date of delivery. As a result of this change, the Company recorded $1 million, net of tax, as an increase to opening retained earnings to reflect the cumulative effect of adopting this change. We have elected to account for shipping and handling as a fulfillment activity. The Company accrues the cost and recognized revenue for these activities upon shipment date.</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Gift Cards</w:t>
      </w:r>
    </w:p>
    <w:p>
      <w:pPr>
        <w:spacing w:after="0" w:line="184" w:lineRule="exact"/>
        <w:rPr>
          <w:sz w:val="20"/>
          <w:szCs w:val="20"/>
          <w:color w:val="auto"/>
        </w:rPr>
      </w:pPr>
    </w:p>
    <w:p>
      <w:pPr>
        <w:jc w:val="both"/>
        <w:ind w:right="20"/>
        <w:spacing w:after="0" w:line="243" w:lineRule="auto"/>
        <w:rPr>
          <w:sz w:val="20"/>
          <w:szCs w:val="20"/>
          <w:color w:val="auto"/>
        </w:rPr>
      </w:pPr>
      <w:r>
        <w:rPr>
          <w:rFonts w:ascii="Arial" w:cs="Arial" w:eastAsia="Arial" w:hAnsi="Arial"/>
          <w:sz w:val="15"/>
          <w:szCs w:val="15"/>
          <w:color w:val="auto"/>
        </w:rPr>
        <w:t>The Company sells gift cards, which do not have expiration dates to its customers. Revenue from gift card sales is recorded when the gift cards are redeemed. Effective as of the first quarter of 2018 with the adoption of Topic 606, gift card breakage is recognized as revenue in proportion to the pattern of rights exercised by the customer, unless there is a legal obligation to remit the value of unredeemed gift cards to the relevant jurisdictions. This reflects a change in our accounting for gift card breakage from the remote method to the proportional method. As a result of adopting Topic 606, the Company recorded $4 million, or $3 million net of tax, as an increase to opening retained earnings to reflect the cumulative effect of this change based upon historical redemption patterns. Additionally, breakage income was previously recorded within selling, general and administrative expenses; however, with the adoption of this standard in the first quarter of 2018, this income is reported as part of sales. This change in classification is not considered significant.</w:t>
      </w: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Revenue</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Sales disaggregated based upon sales channel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5"/>
                <w:szCs w:val="15"/>
                <w:b w:val="1"/>
                <w:bCs w:val="1"/>
                <w:color w:val="auto"/>
              </w:rPr>
              <w:t>Thirteen weeks ended</w:t>
            </w: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5"/>
                <w:szCs w:val="15"/>
                <w:b w:val="1"/>
                <w:bCs w:val="1"/>
                <w:color w:val="auto"/>
              </w:rPr>
              <w:t>Twenty-six weeks ended</w:t>
            </w:r>
          </w:p>
        </w:tc>
      </w:tr>
      <w:tr>
        <w:trPr>
          <w:trHeight w:val="196"/>
        </w:trPr>
        <w:tc>
          <w:tcPr>
            <w:tcW w:w="2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40" w:type="dxa"/>
            <w:vAlign w:val="bottom"/>
          </w:tcPr>
          <w:p>
            <w:pPr>
              <w:jc w:val="right"/>
              <w:ind w:right="343"/>
              <w:spacing w:after="0"/>
              <w:rPr>
                <w:sz w:val="20"/>
                <w:szCs w:val="20"/>
                <w:color w:val="auto"/>
              </w:rPr>
            </w:pPr>
            <w:r>
              <w:rPr>
                <w:rFonts w:ascii="Arial" w:cs="Arial" w:eastAsia="Arial" w:hAnsi="Arial"/>
                <w:sz w:val="15"/>
                <w:szCs w:val="15"/>
                <w:b w:val="1"/>
                <w:bCs w:val="1"/>
                <w:color w:val="auto"/>
              </w:rPr>
              <w:t>August 4,</w:t>
            </w:r>
          </w:p>
        </w:tc>
        <w:tc>
          <w:tcPr>
            <w:tcW w:w="32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Arial" w:cs="Arial" w:eastAsia="Arial" w:hAnsi="Arial"/>
                <w:sz w:val="15"/>
                <w:szCs w:val="15"/>
                <w:b w:val="1"/>
                <w:bCs w:val="1"/>
                <w:color w:val="auto"/>
              </w:rPr>
              <w:t>July 29,</w:t>
            </w:r>
          </w:p>
        </w:tc>
        <w:tc>
          <w:tcPr>
            <w:tcW w:w="300" w:type="dxa"/>
            <w:vAlign w:val="bottom"/>
          </w:tcPr>
          <w:p>
            <w:pPr>
              <w:spacing w:after="0"/>
              <w:rPr>
                <w:sz w:val="17"/>
                <w:szCs w:val="17"/>
                <w:color w:val="auto"/>
              </w:rPr>
            </w:pPr>
          </w:p>
        </w:tc>
        <w:tc>
          <w:tcPr>
            <w:tcW w:w="1060" w:type="dxa"/>
            <w:vAlign w:val="bottom"/>
          </w:tcPr>
          <w:p>
            <w:pPr>
              <w:jc w:val="right"/>
              <w:ind w:right="263"/>
              <w:spacing w:after="0"/>
              <w:rPr>
                <w:sz w:val="20"/>
                <w:szCs w:val="20"/>
                <w:color w:val="auto"/>
              </w:rPr>
            </w:pPr>
            <w:r>
              <w:rPr>
                <w:rFonts w:ascii="Arial" w:cs="Arial" w:eastAsia="Arial" w:hAnsi="Arial"/>
                <w:sz w:val="15"/>
                <w:szCs w:val="15"/>
                <w:b w:val="1"/>
                <w:bCs w:val="1"/>
                <w:color w:val="auto"/>
              </w:rPr>
              <w:t>August 4,</w:t>
            </w:r>
          </w:p>
        </w:tc>
        <w:tc>
          <w:tcPr>
            <w:tcW w:w="340" w:type="dxa"/>
            <w:vAlign w:val="bottom"/>
          </w:tcPr>
          <w:p>
            <w:pPr>
              <w:spacing w:after="0"/>
              <w:rPr>
                <w:sz w:val="17"/>
                <w:szCs w:val="17"/>
                <w:color w:val="auto"/>
              </w:rPr>
            </w:pPr>
          </w:p>
        </w:tc>
        <w:tc>
          <w:tcPr>
            <w:tcW w:w="1040" w:type="dxa"/>
            <w:vAlign w:val="bottom"/>
          </w:tcPr>
          <w:p>
            <w:pPr>
              <w:jc w:val="right"/>
              <w:ind w:right="263"/>
              <w:spacing w:after="0"/>
              <w:rPr>
                <w:sz w:val="20"/>
                <w:szCs w:val="20"/>
                <w:color w:val="auto"/>
              </w:rPr>
            </w:pPr>
            <w:r>
              <w:rPr>
                <w:rFonts w:ascii="Arial" w:cs="Arial" w:eastAsia="Arial" w:hAnsi="Arial"/>
                <w:sz w:val="15"/>
                <w:szCs w:val="15"/>
                <w:b w:val="1"/>
                <w:bCs w:val="1"/>
                <w:color w:val="auto"/>
              </w:rPr>
              <w:t>July 29,</w:t>
            </w:r>
          </w:p>
        </w:tc>
      </w:tr>
      <w:tr>
        <w:trPr>
          <w:trHeight w:val="197"/>
        </w:trPr>
        <w:tc>
          <w:tcPr>
            <w:tcW w:w="25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2018</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2017</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2018</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2017</w:t>
            </w:r>
          </w:p>
        </w:tc>
      </w:tr>
      <w:tr>
        <w:trPr>
          <w:trHeight w:val="187"/>
        </w:trPr>
        <w:tc>
          <w:tcPr>
            <w:tcW w:w="2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3"/>
          </w:tcPr>
          <w:p>
            <w:pPr>
              <w:jc w:val="right"/>
              <w:ind w:right="863"/>
              <w:spacing w:after="0"/>
              <w:rPr>
                <w:sz w:val="20"/>
                <w:szCs w:val="20"/>
                <w:color w:val="auto"/>
              </w:rPr>
            </w:pPr>
            <w:r>
              <w:rPr>
                <w:rFonts w:ascii="Arial" w:cs="Arial" w:eastAsia="Arial" w:hAnsi="Arial"/>
                <w:sz w:val="15"/>
                <w:szCs w:val="15"/>
                <w:color w:val="auto"/>
              </w:rPr>
              <w:t>($ in millions)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7"/>
        </w:trPr>
        <w:tc>
          <w:tcPr>
            <w:tcW w:w="2500" w:type="dxa"/>
            <w:vAlign w:val="bottom"/>
            <w:shd w:val="clear" w:color="auto" w:fill="CCEEFF"/>
          </w:tcPr>
          <w:p>
            <w:pPr>
              <w:spacing w:after="0"/>
              <w:rPr>
                <w:sz w:val="20"/>
                <w:szCs w:val="20"/>
                <w:color w:val="auto"/>
              </w:rPr>
            </w:pPr>
            <w:r>
              <w:rPr>
                <w:rFonts w:ascii="Arial" w:cs="Arial" w:eastAsia="Arial" w:hAnsi="Arial"/>
                <w:sz w:val="15"/>
                <w:szCs w:val="15"/>
                <w:color w:val="auto"/>
              </w:rPr>
              <w:t>Stores</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1,542</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1,485</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3,285</w:t>
            </w:r>
          </w:p>
        </w:tc>
        <w:tc>
          <w:tcPr>
            <w:tcW w:w="3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3,207</w:t>
            </w:r>
          </w:p>
        </w:tc>
      </w:tr>
      <w:tr>
        <w:trPr>
          <w:trHeight w:val="207"/>
        </w:trPr>
        <w:tc>
          <w:tcPr>
            <w:tcW w:w="25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Direct-to-customers</w:t>
            </w:r>
          </w:p>
        </w:tc>
        <w:tc>
          <w:tcPr>
            <w:tcW w:w="1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240</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216</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522</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495</w:t>
            </w:r>
          </w:p>
        </w:tc>
      </w:tr>
      <w:tr>
        <w:trPr>
          <w:trHeight w:val="179"/>
        </w:trPr>
        <w:tc>
          <w:tcPr>
            <w:tcW w:w="2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sales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1,782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1,701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3,807</w:t>
            </w:r>
          </w:p>
        </w:tc>
        <w:tc>
          <w:tcPr>
            <w:tcW w:w="3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3,702</w:t>
            </w:r>
          </w:p>
        </w:tc>
      </w:tr>
    </w:tbl>
    <w:p>
      <w:pPr>
        <w:spacing w:after="0" w:line="165" w:lineRule="exact"/>
        <w:rPr>
          <w:sz w:val="20"/>
          <w:szCs w:val="20"/>
          <w:color w:val="auto"/>
        </w:rPr>
      </w:pPr>
    </w:p>
    <w:p>
      <w:pPr>
        <w:ind w:right="300"/>
        <w:spacing w:after="0" w:line="254" w:lineRule="auto"/>
        <w:rPr>
          <w:sz w:val="20"/>
          <w:szCs w:val="20"/>
          <w:color w:val="auto"/>
        </w:rPr>
      </w:pPr>
      <w:r>
        <w:rPr>
          <w:rFonts w:ascii="Arial" w:cs="Arial" w:eastAsia="Arial" w:hAnsi="Arial"/>
          <w:sz w:val="15"/>
          <w:szCs w:val="15"/>
          <w:color w:val="auto"/>
        </w:rPr>
        <w:t>Sales disaggregated based upon geographic area is presented in the below table. Sales are attributable to the geographic area in which the sales transaction is fulfilled.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5"/>
                <w:szCs w:val="15"/>
                <w:b w:val="1"/>
                <w:bCs w:val="1"/>
                <w:color w:val="auto"/>
              </w:rPr>
              <w:t>Thirteen weeks ended</w:t>
            </w: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5"/>
                <w:szCs w:val="15"/>
                <w:b w:val="1"/>
                <w:bCs w:val="1"/>
                <w:color w:val="auto"/>
              </w:rPr>
              <w:t>Twenty-six weeks ended</w:t>
            </w:r>
          </w:p>
        </w:tc>
        <w:tc>
          <w:tcPr>
            <w:tcW w:w="20" w:type="dxa"/>
            <w:vAlign w:val="bottom"/>
          </w:tcPr>
          <w:p>
            <w:pPr>
              <w:spacing w:after="0"/>
              <w:rPr>
                <w:sz w:val="16"/>
                <w:szCs w:val="16"/>
                <w:color w:val="auto"/>
              </w:rPr>
            </w:pPr>
          </w:p>
        </w:tc>
      </w:tr>
      <w:tr>
        <w:trPr>
          <w:trHeight w:val="196"/>
        </w:trPr>
        <w:tc>
          <w:tcPr>
            <w:tcW w:w="2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Pr>
          <w:p>
            <w:pPr>
              <w:jc w:val="right"/>
              <w:ind w:right="343"/>
              <w:spacing w:after="0"/>
              <w:rPr>
                <w:sz w:val="20"/>
                <w:szCs w:val="20"/>
                <w:color w:val="auto"/>
              </w:rPr>
            </w:pPr>
            <w:r>
              <w:rPr>
                <w:rFonts w:ascii="Arial" w:cs="Arial" w:eastAsia="Arial" w:hAnsi="Arial"/>
                <w:sz w:val="15"/>
                <w:szCs w:val="15"/>
                <w:b w:val="1"/>
                <w:bCs w:val="1"/>
                <w:color w:val="auto"/>
              </w:rPr>
              <w:t>August 4,</w:t>
            </w:r>
          </w:p>
        </w:tc>
        <w:tc>
          <w:tcPr>
            <w:tcW w:w="32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Arial" w:cs="Arial" w:eastAsia="Arial" w:hAnsi="Arial"/>
                <w:sz w:val="15"/>
                <w:szCs w:val="15"/>
                <w:b w:val="1"/>
                <w:bCs w:val="1"/>
                <w:color w:val="auto"/>
              </w:rPr>
              <w:t>July 29,</w:t>
            </w:r>
          </w:p>
        </w:tc>
        <w:tc>
          <w:tcPr>
            <w:tcW w:w="300" w:type="dxa"/>
            <w:vAlign w:val="bottom"/>
          </w:tcPr>
          <w:p>
            <w:pPr>
              <w:spacing w:after="0"/>
              <w:rPr>
                <w:sz w:val="17"/>
                <w:szCs w:val="17"/>
                <w:color w:val="auto"/>
              </w:rPr>
            </w:pPr>
          </w:p>
        </w:tc>
        <w:tc>
          <w:tcPr>
            <w:tcW w:w="1120" w:type="dxa"/>
            <w:vAlign w:val="bottom"/>
          </w:tcPr>
          <w:p>
            <w:pPr>
              <w:jc w:val="right"/>
              <w:ind w:right="323"/>
              <w:spacing w:after="0"/>
              <w:rPr>
                <w:sz w:val="20"/>
                <w:szCs w:val="20"/>
                <w:color w:val="auto"/>
              </w:rPr>
            </w:pPr>
            <w:r>
              <w:rPr>
                <w:rFonts w:ascii="Arial" w:cs="Arial" w:eastAsia="Arial" w:hAnsi="Arial"/>
                <w:sz w:val="15"/>
                <w:szCs w:val="15"/>
                <w:b w:val="1"/>
                <w:bCs w:val="1"/>
                <w:color w:val="auto"/>
              </w:rPr>
              <w:t>August 4,</w:t>
            </w:r>
          </w:p>
        </w:tc>
        <w:tc>
          <w:tcPr>
            <w:tcW w:w="340" w:type="dxa"/>
            <w:vAlign w:val="bottom"/>
          </w:tcPr>
          <w:p>
            <w:pPr>
              <w:spacing w:after="0"/>
              <w:rPr>
                <w:sz w:val="17"/>
                <w:szCs w:val="17"/>
                <w:color w:val="auto"/>
              </w:rPr>
            </w:pPr>
          </w:p>
        </w:tc>
        <w:tc>
          <w:tcPr>
            <w:tcW w:w="980" w:type="dxa"/>
            <w:vAlign w:val="bottom"/>
          </w:tcPr>
          <w:p>
            <w:pPr>
              <w:jc w:val="right"/>
              <w:ind w:right="263"/>
              <w:spacing w:after="0"/>
              <w:rPr>
                <w:sz w:val="20"/>
                <w:szCs w:val="20"/>
                <w:color w:val="auto"/>
              </w:rPr>
            </w:pPr>
            <w:r>
              <w:rPr>
                <w:rFonts w:ascii="Arial" w:cs="Arial" w:eastAsia="Arial" w:hAnsi="Arial"/>
                <w:sz w:val="15"/>
                <w:szCs w:val="15"/>
                <w:b w:val="1"/>
                <w:bCs w:val="1"/>
                <w:color w:val="auto"/>
              </w:rPr>
              <w:t>July 29,</w:t>
            </w:r>
          </w:p>
        </w:tc>
        <w:tc>
          <w:tcPr>
            <w:tcW w:w="20" w:type="dxa"/>
            <w:vAlign w:val="bottom"/>
          </w:tcPr>
          <w:p>
            <w:pPr>
              <w:spacing w:after="0"/>
              <w:rPr>
                <w:sz w:val="17"/>
                <w:szCs w:val="17"/>
                <w:color w:val="auto"/>
              </w:rPr>
            </w:pPr>
          </w:p>
        </w:tc>
      </w:tr>
      <w:tr>
        <w:trPr>
          <w:trHeight w:val="197"/>
        </w:trPr>
        <w:tc>
          <w:tcPr>
            <w:tcW w:w="2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2018</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2017</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2018</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7"/>
                <w:szCs w:val="17"/>
                <w:color w:val="auto"/>
              </w:rPr>
            </w:pPr>
          </w:p>
        </w:tc>
      </w:tr>
      <w:tr>
        <w:trPr>
          <w:trHeight w:val="187"/>
        </w:trPr>
        <w:tc>
          <w:tcPr>
            <w:tcW w:w="2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3"/>
          </w:tcPr>
          <w:p>
            <w:pPr>
              <w:jc w:val="right"/>
              <w:ind w:right="923"/>
              <w:spacing w:after="0"/>
              <w:rPr>
                <w:sz w:val="20"/>
                <w:szCs w:val="20"/>
                <w:color w:val="auto"/>
              </w:rPr>
            </w:pPr>
            <w:r>
              <w:rPr>
                <w:rFonts w:ascii="Arial" w:cs="Arial" w:eastAsia="Arial" w:hAnsi="Arial"/>
                <w:sz w:val="15"/>
                <w:szCs w:val="15"/>
                <w:color w:val="auto"/>
              </w:rPr>
              <w:t>($ in millions)</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1,220</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1,146</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2,721</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2,646</w:t>
            </w:r>
          </w:p>
        </w:tc>
        <w:tc>
          <w:tcPr>
            <w:tcW w:w="20" w:type="dxa"/>
            <w:vAlign w:val="bottom"/>
          </w:tcPr>
          <w:p>
            <w:pPr>
              <w:spacing w:after="0"/>
              <w:rPr>
                <w:sz w:val="17"/>
                <w:szCs w:val="17"/>
                <w:color w:val="auto"/>
              </w:rPr>
            </w:pPr>
          </w:p>
        </w:tc>
      </w:tr>
      <w:tr>
        <w:trPr>
          <w:trHeight w:val="207"/>
        </w:trPr>
        <w:tc>
          <w:tcPr>
            <w:tcW w:w="2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International</w:t>
            </w:r>
          </w:p>
        </w:tc>
        <w:tc>
          <w:tcPr>
            <w:tcW w:w="1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562</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555</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1,086</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1,056</w:t>
            </w:r>
          </w:p>
        </w:tc>
        <w:tc>
          <w:tcPr>
            <w:tcW w:w="20" w:type="dxa"/>
            <w:vAlign w:val="bottom"/>
          </w:tcPr>
          <w:p>
            <w:pPr>
              <w:spacing w:after="0"/>
              <w:rPr>
                <w:sz w:val="17"/>
                <w:szCs w:val="17"/>
                <w:color w:val="auto"/>
              </w:rPr>
            </w:pPr>
          </w:p>
        </w:tc>
      </w:tr>
      <w:tr>
        <w:trPr>
          <w:trHeight w:val="179"/>
        </w:trPr>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sales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1,782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1,701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3,807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3,702</w:t>
            </w:r>
          </w:p>
        </w:tc>
        <w:tc>
          <w:tcPr>
            <w:tcW w:w="20" w:type="dxa"/>
            <w:vAlign w:val="bottom"/>
          </w:tcPr>
          <w:p>
            <w:pPr>
              <w:spacing w:after="0"/>
              <w:rPr>
                <w:sz w:val="15"/>
                <w:szCs w:val="15"/>
                <w:color w:val="auto"/>
              </w:rPr>
            </w:pPr>
          </w:p>
        </w:tc>
      </w:tr>
      <w:tr>
        <w:trPr>
          <w:trHeight w:val="545"/>
        </w:trPr>
        <w:tc>
          <w:tcPr>
            <w:tcW w:w="2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jc w:val="right"/>
              <w:ind w:right="243"/>
              <w:spacing w:after="0"/>
              <w:rPr>
                <w:sz w:val="20"/>
                <w:szCs w:val="20"/>
                <w:color w:val="auto"/>
              </w:rPr>
            </w:pPr>
            <w:r>
              <w:rPr>
                <w:rFonts w:ascii="Arial" w:cs="Arial" w:eastAsia="Arial" w:hAnsi="Arial"/>
                <w:sz w:val="15"/>
                <w:szCs w:val="15"/>
                <w:color w:val="auto"/>
              </w:rPr>
              <w:t>6</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23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2300" w:type="dxa"/>
            <w:vAlign w:val="bottom"/>
            <w:tcBorders>
              <w:bottom w:val="single" w:sz="8" w:color="EEEEEE"/>
            </w:tcBorders>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860" w:type="dxa"/>
            <w:vAlign w:val="bottom"/>
          </w:tcPr>
          <w:p>
            <w:pPr>
              <w:spacing w:after="0"/>
              <w:rPr>
                <w:sz w:val="20"/>
                <w:szCs w:val="20"/>
                <w:color w:val="auto"/>
              </w:rPr>
            </w:pPr>
            <w:r>
              <w:rPr>
                <w:rFonts w:ascii="Arial" w:cs="Arial" w:eastAsia="Arial" w:hAnsi="Arial"/>
                <w:sz w:val="15"/>
                <w:szCs w:val="15"/>
                <w:i w:val="1"/>
                <w:iCs w:val="1"/>
                <w:color w:val="auto"/>
              </w:rPr>
              <w:t>Contract Liabilities</w:t>
            </w: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92"/>
        </w:trPr>
        <w:tc>
          <w:tcPr>
            <w:tcW w:w="6860" w:type="dxa"/>
            <w:vAlign w:val="bottom"/>
          </w:tcPr>
          <w:p>
            <w:pPr>
              <w:spacing w:after="0"/>
              <w:rPr>
                <w:sz w:val="20"/>
                <w:szCs w:val="20"/>
                <w:color w:val="auto"/>
              </w:rPr>
            </w:pPr>
            <w:r>
              <w:rPr>
                <w:rFonts w:ascii="Arial" w:cs="Arial" w:eastAsia="Arial" w:hAnsi="Arial"/>
                <w:sz w:val="15"/>
                <w:szCs w:val="15"/>
                <w:color w:val="auto"/>
              </w:rPr>
              <w:t>The table below presents the activity of our gift card liability balance:</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6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in millions)</w:t>
            </w:r>
          </w:p>
        </w:tc>
      </w:tr>
      <w:tr>
        <w:trPr>
          <w:trHeight w:val="162"/>
        </w:trPr>
        <w:tc>
          <w:tcPr>
            <w:tcW w:w="6860" w:type="dxa"/>
            <w:vAlign w:val="bottom"/>
          </w:tcPr>
          <w:p>
            <w:pPr>
              <w:spacing w:after="0" w:line="163" w:lineRule="exact"/>
              <w:rPr>
                <w:sz w:val="20"/>
                <w:szCs w:val="20"/>
                <w:color w:val="auto"/>
              </w:rPr>
            </w:pPr>
            <w:r>
              <w:rPr>
                <w:rFonts w:ascii="Arial" w:cs="Arial" w:eastAsia="Arial" w:hAnsi="Arial"/>
                <w:sz w:val="15"/>
                <w:szCs w:val="15"/>
                <w:color w:val="auto"/>
              </w:rPr>
              <w:t>Balance at February 4, 2018</w:t>
            </w:r>
          </w:p>
        </w:tc>
        <w:tc>
          <w:tcPr>
            <w:tcW w:w="1320" w:type="dxa"/>
            <w:vAlign w:val="bottom"/>
          </w:tcPr>
          <w:p>
            <w:pPr>
              <w:jc w:val="right"/>
              <w:ind w:right="223"/>
              <w:spacing w:after="0" w:line="163"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3" w:lineRule="exact"/>
              <w:rPr>
                <w:sz w:val="20"/>
                <w:szCs w:val="20"/>
                <w:color w:val="auto"/>
              </w:rPr>
            </w:pPr>
            <w:r>
              <w:rPr>
                <w:rFonts w:ascii="Arial" w:cs="Arial" w:eastAsia="Arial" w:hAnsi="Arial"/>
                <w:sz w:val="15"/>
                <w:szCs w:val="15"/>
                <w:color w:val="auto"/>
              </w:rPr>
              <w:t>38</w:t>
            </w:r>
          </w:p>
        </w:tc>
      </w:tr>
      <w:tr>
        <w:trPr>
          <w:trHeight w:val="182"/>
        </w:trPr>
        <w:tc>
          <w:tcPr>
            <w:tcW w:w="68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Redemptions</w:t>
            </w:r>
          </w:p>
        </w:tc>
        <w:tc>
          <w:tcPr>
            <w:tcW w:w="13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r>
      <w:tr>
        <w:trPr>
          <w:trHeight w:val="182"/>
        </w:trPr>
        <w:tc>
          <w:tcPr>
            <w:tcW w:w="6860" w:type="dxa"/>
            <w:vAlign w:val="bottom"/>
          </w:tcPr>
          <w:p>
            <w:pPr>
              <w:ind w:left="200"/>
              <w:spacing w:after="0"/>
              <w:rPr>
                <w:sz w:val="20"/>
                <w:szCs w:val="20"/>
                <w:color w:val="auto"/>
              </w:rPr>
            </w:pPr>
            <w:r>
              <w:rPr>
                <w:rFonts w:ascii="Arial" w:cs="Arial" w:eastAsia="Arial" w:hAnsi="Arial"/>
                <w:sz w:val="15"/>
                <w:szCs w:val="15"/>
                <w:color w:val="auto"/>
              </w:rPr>
              <w:t>Cumulative catch-up adjustment to retained earnings from the adoption of Topic 606</w:t>
            </w:r>
          </w:p>
        </w:tc>
        <w:tc>
          <w:tcPr>
            <w:tcW w:w="1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2"/>
        </w:trPr>
        <w:tc>
          <w:tcPr>
            <w:tcW w:w="68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Breakage recognized</w:t>
            </w:r>
          </w:p>
        </w:tc>
        <w:tc>
          <w:tcPr>
            <w:tcW w:w="13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182"/>
        </w:trPr>
        <w:tc>
          <w:tcPr>
            <w:tcW w:w="6860" w:type="dxa"/>
            <w:vAlign w:val="bottom"/>
          </w:tcPr>
          <w:p>
            <w:pPr>
              <w:ind w:left="200"/>
              <w:spacing w:after="0"/>
              <w:rPr>
                <w:sz w:val="20"/>
                <w:szCs w:val="20"/>
                <w:color w:val="auto"/>
              </w:rPr>
            </w:pPr>
            <w:r>
              <w:rPr>
                <w:rFonts w:ascii="Arial" w:cs="Arial" w:eastAsia="Arial" w:hAnsi="Arial"/>
                <w:sz w:val="15"/>
                <w:szCs w:val="15"/>
                <w:color w:val="auto"/>
              </w:rPr>
              <w:t>Activations</w:t>
            </w:r>
          </w:p>
        </w:tc>
        <w:tc>
          <w:tcPr>
            <w:tcW w:w="1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182"/>
        </w:trPr>
        <w:tc>
          <w:tcPr>
            <w:tcW w:w="6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Foreign currency fluctuations</w:t>
            </w:r>
          </w:p>
        </w:tc>
        <w:tc>
          <w:tcPr>
            <w:tcW w:w="13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167"/>
        </w:trPr>
        <w:tc>
          <w:tcPr>
            <w:tcW w:w="686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b w:val="1"/>
                <w:bCs w:val="1"/>
                <w:color w:val="auto"/>
              </w:rPr>
              <w:t>Balance at August 4, 2018</w:t>
            </w:r>
          </w:p>
        </w:tc>
        <w:tc>
          <w:tcPr>
            <w:tcW w:w="1320" w:type="dxa"/>
            <w:vAlign w:val="bottom"/>
            <w:tcBorders>
              <w:bottom w:val="single" w:sz="8" w:color="auto"/>
            </w:tcBorders>
          </w:tcPr>
          <w:p>
            <w:pPr>
              <w:jc w:val="right"/>
              <w:ind w:right="223"/>
              <w:spacing w:after="0" w:line="163"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26</w:t>
            </w:r>
          </w:p>
        </w:tc>
      </w:tr>
    </w:tbl>
    <w:p>
      <w:pPr>
        <w:spacing w:after="0" w:line="104"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Due to the fact that most gift cards are redeemed within 12 months, the Company elected not to disclose information about remaining performance obligations.</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Segment Information</w:t>
      </w:r>
    </w:p>
    <w:p>
      <w:pPr>
        <w:spacing w:after="0" w:line="125" w:lineRule="exact"/>
        <w:rPr>
          <w:sz w:val="20"/>
          <w:szCs w:val="20"/>
          <w:color w:val="auto"/>
        </w:rPr>
      </w:pPr>
    </w:p>
    <w:p>
      <w:pPr>
        <w:jc w:val="both"/>
        <w:ind w:left="20" w:right="40"/>
        <w:spacing w:after="0" w:line="241" w:lineRule="auto"/>
        <w:rPr>
          <w:sz w:val="20"/>
          <w:szCs w:val="20"/>
          <w:color w:val="auto"/>
        </w:rPr>
      </w:pPr>
      <w:r>
        <w:rPr>
          <w:rFonts w:ascii="Arial" w:cs="Arial" w:eastAsia="Arial" w:hAnsi="Arial"/>
          <w:sz w:val="15"/>
          <w:szCs w:val="15"/>
          <w:color w:val="auto"/>
        </w:rPr>
        <w:t>The Company has integrated all available shopping channels including stores, websites, and catalogs. Store sales are primarily fulfilled from the store’s inventory, but may also be shipped from any of our distribution centers or from a different store location if an item is not available at the original store. Direct-to-customer orders are primarily shipped to our customers through our distribution centers but may also be shipped from any store or a combination of our distribution centers and stores depending on the availability of particular items.</w:t>
      </w:r>
    </w:p>
    <w:p>
      <w:pPr>
        <w:spacing w:after="0" w:line="292" w:lineRule="exact"/>
        <w:rPr>
          <w:sz w:val="20"/>
          <w:szCs w:val="20"/>
          <w:color w:val="auto"/>
        </w:rPr>
      </w:pPr>
    </w:p>
    <w:p>
      <w:pPr>
        <w:jc w:val="both"/>
        <w:ind w:right="20"/>
        <w:spacing w:after="0" w:line="238" w:lineRule="auto"/>
        <w:rPr>
          <w:sz w:val="20"/>
          <w:szCs w:val="20"/>
          <w:color w:val="auto"/>
        </w:rPr>
      </w:pPr>
      <w:r>
        <w:rPr>
          <w:rFonts w:ascii="Arial" w:cs="Arial" w:eastAsia="Arial" w:hAnsi="Arial"/>
          <w:sz w:val="15"/>
          <w:szCs w:val="15"/>
          <w:color w:val="auto"/>
        </w:rPr>
        <w:t>Our operating segments are identified according to how our business activities are managed and evaluated by our chief operating decision maker, our CEO. Prior to fiscal 2018, the Company had two reportable segments: Athletic Stores and Direct-to-Customers. Beginning in fiscal 2018, the Company has changed its organizational and internal reporting structure in order to execute our omni-channel strategy. In light of these changes, the Company has re-evaluated its operating segments, which now reflect the combination of stores and direct-to-customer by geography. The Company has determined that it has two operating segments, North America and International. Our North America operating segment includes the results of the following banners operating in the U.S. and Canada: Foot Locker, Kids Foot Locker, Lady Foot Locker, Champs Sports, Footaction, and SIX:02, including each of their related e-commerce businesses, as well as our Eastbay business that includes internet, catalog, and team services and sales. Our International operating segment includes the results of the following banners operating in Europe, Australia, and New Zealand: Foot Locker, Runners Point, Sidestep, and Kids Foot Locker, including each of their related e-commerce businesses. We have further aggregated these operating segments into one reportable segment based upon their shared customer base and similar economic characteristics. Prior-year information has been restated to reflect this change.</w:t>
      </w:r>
    </w:p>
    <w:p>
      <w:pPr>
        <w:spacing w:after="0" w:line="137"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Company evaluates performance based on several factors, of which the primary financial measure is the banner’s financial results referred to as division profit. Division profit reflects income before income taxes, pension litigation charge, corporate expense, non-operating income, and net interest income. The following table summarizes our results: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360" w:type="dxa"/>
            <w:vAlign w:val="bottom"/>
            <w:gridSpan w:val="3"/>
          </w:tcPr>
          <w:p>
            <w:pPr>
              <w:jc w:val="right"/>
              <w:ind w:right="483"/>
              <w:spacing w:after="0"/>
              <w:rPr>
                <w:sz w:val="20"/>
                <w:szCs w:val="20"/>
                <w:color w:val="auto"/>
              </w:rPr>
            </w:pPr>
            <w:r>
              <w:rPr>
                <w:rFonts w:ascii="Arial" w:cs="Arial" w:eastAsia="Arial" w:hAnsi="Arial"/>
                <w:sz w:val="15"/>
                <w:szCs w:val="15"/>
                <w:b w:val="1"/>
                <w:bCs w:val="1"/>
                <w:color w:val="auto"/>
              </w:rPr>
              <w:t>Thirteen weeks ended</w:t>
            </w:r>
          </w:p>
        </w:tc>
        <w:tc>
          <w:tcPr>
            <w:tcW w:w="240" w:type="dxa"/>
            <w:vAlign w:val="bottom"/>
          </w:tcPr>
          <w:p>
            <w:pPr>
              <w:spacing w:after="0"/>
              <w:rPr>
                <w:sz w:val="16"/>
                <w:szCs w:val="16"/>
                <w:color w:val="auto"/>
              </w:rPr>
            </w:pPr>
          </w:p>
        </w:tc>
        <w:tc>
          <w:tcPr>
            <w:tcW w:w="2180" w:type="dxa"/>
            <w:vAlign w:val="bottom"/>
            <w:gridSpan w:val="4"/>
          </w:tcPr>
          <w:p>
            <w:pPr>
              <w:jc w:val="right"/>
              <w:ind w:right="300"/>
              <w:spacing w:after="0"/>
              <w:rPr>
                <w:sz w:val="20"/>
                <w:szCs w:val="20"/>
                <w:color w:val="auto"/>
              </w:rPr>
            </w:pPr>
            <w:r>
              <w:rPr>
                <w:rFonts w:ascii="Arial" w:cs="Arial" w:eastAsia="Arial" w:hAnsi="Arial"/>
                <w:sz w:val="15"/>
                <w:szCs w:val="15"/>
                <w:b w:val="1"/>
                <w:bCs w:val="1"/>
                <w:color w:val="auto"/>
              </w:rPr>
              <w:t>Twenty-six weeks ended</w:t>
            </w:r>
          </w:p>
        </w:tc>
      </w:tr>
      <w:tr>
        <w:trPr>
          <w:trHeight w:val="175"/>
        </w:trPr>
        <w:tc>
          <w:tcPr>
            <w:tcW w:w="3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b w:val="1"/>
                <w:bCs w:val="1"/>
                <w:color w:val="auto"/>
                <w:w w:val="99"/>
              </w:rPr>
              <w:t>August 4,</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July 29,</w:t>
            </w: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63"/>
              <w:spacing w:after="0"/>
              <w:rPr>
                <w:sz w:val="20"/>
                <w:szCs w:val="20"/>
                <w:color w:val="auto"/>
              </w:rPr>
            </w:pPr>
            <w:r>
              <w:rPr>
                <w:rFonts w:ascii="Arial" w:cs="Arial" w:eastAsia="Arial" w:hAnsi="Arial"/>
                <w:sz w:val="15"/>
                <w:szCs w:val="15"/>
                <w:b w:val="1"/>
                <w:bCs w:val="1"/>
                <w:color w:val="auto"/>
                <w:w w:val="99"/>
              </w:rPr>
              <w:t>August 4,</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July 29,</w:t>
            </w:r>
          </w:p>
        </w:tc>
        <w:tc>
          <w:tcPr>
            <w:tcW w:w="20" w:type="dxa"/>
            <w:vAlign w:val="bottom"/>
          </w:tcPr>
          <w:p>
            <w:pPr>
              <w:spacing w:after="0"/>
              <w:rPr>
                <w:sz w:val="15"/>
                <w:szCs w:val="15"/>
                <w:color w:val="auto"/>
              </w:rPr>
            </w:pPr>
          </w:p>
        </w:tc>
      </w:tr>
      <w:tr>
        <w:trPr>
          <w:trHeight w:val="194"/>
        </w:trPr>
        <w:tc>
          <w:tcPr>
            <w:tcW w:w="3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6"/>
                <w:szCs w:val="16"/>
                <w:color w:val="auto"/>
              </w:rPr>
            </w:pPr>
          </w:p>
        </w:tc>
      </w:tr>
      <w:tr>
        <w:trPr>
          <w:trHeight w:val="175"/>
        </w:trPr>
        <w:tc>
          <w:tcPr>
            <w:tcW w:w="3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3"/>
          </w:tcPr>
          <w:p>
            <w:pPr>
              <w:jc w:val="right"/>
              <w:ind w:right="823"/>
              <w:spacing w:after="0"/>
              <w:rPr>
                <w:sz w:val="20"/>
                <w:szCs w:val="20"/>
                <w:color w:val="auto"/>
              </w:rPr>
            </w:pPr>
            <w:r>
              <w:rPr>
                <w:rFonts w:ascii="Arial" w:cs="Arial" w:eastAsia="Arial" w:hAnsi="Arial"/>
                <w:sz w:val="15"/>
                <w:szCs w:val="15"/>
                <w:color w:val="auto"/>
              </w:rPr>
              <w:t>($ in millions)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3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Sales</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1,782</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1,701</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3,807</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3,702</w:t>
            </w:r>
          </w:p>
        </w:tc>
        <w:tc>
          <w:tcPr>
            <w:tcW w:w="20" w:type="dxa"/>
            <w:vAlign w:val="bottom"/>
          </w:tcPr>
          <w:p>
            <w:pPr>
              <w:spacing w:after="0"/>
              <w:rPr>
                <w:sz w:val="16"/>
                <w:szCs w:val="16"/>
                <w:color w:val="auto"/>
              </w:rPr>
            </w:pPr>
          </w:p>
        </w:tc>
      </w:tr>
      <w:tr>
        <w:trPr>
          <w:trHeight w:val="219"/>
        </w:trPr>
        <w:tc>
          <w:tcPr>
            <w:tcW w:w="3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3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Results</w:t>
            </w:r>
          </w:p>
        </w:tc>
        <w:tc>
          <w:tcPr>
            <w:tcW w:w="1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3100" w:type="dxa"/>
            <w:vAlign w:val="bottom"/>
          </w:tcPr>
          <w:p>
            <w:pPr>
              <w:spacing w:after="0"/>
              <w:rPr>
                <w:sz w:val="20"/>
                <w:szCs w:val="20"/>
                <w:color w:val="auto"/>
              </w:rPr>
            </w:pPr>
            <w:r>
              <w:rPr>
                <w:rFonts w:ascii="Arial" w:cs="Arial" w:eastAsia="Arial" w:hAnsi="Arial"/>
                <w:sz w:val="15"/>
                <w:szCs w:val="15"/>
                <w:color w:val="auto"/>
              </w:rPr>
              <w:t>Division profit</w:t>
            </w:r>
          </w:p>
        </w:tc>
        <w:tc>
          <w:tcPr>
            <w:tcW w:w="1240" w:type="dxa"/>
            <w:vAlign w:val="bottom"/>
          </w:tcPr>
          <w:p>
            <w:pPr>
              <w:spacing w:after="0"/>
              <w:rPr>
                <w:sz w:val="16"/>
                <w:szCs w:val="16"/>
                <w:color w:val="auto"/>
              </w:rPr>
            </w:pPr>
          </w:p>
        </w:tc>
        <w:tc>
          <w:tcPr>
            <w:tcW w:w="1060" w:type="dxa"/>
            <w:vAlign w:val="bottom"/>
          </w:tcPr>
          <w:p>
            <w:pPr>
              <w:jc w:val="right"/>
              <w:ind w:right="123"/>
              <w:spacing w:after="0"/>
              <w:rPr>
                <w:sz w:val="20"/>
                <w:szCs w:val="20"/>
                <w:color w:val="auto"/>
              </w:rPr>
            </w:pPr>
            <w:r>
              <w:rPr>
                <w:rFonts w:ascii="Arial" w:cs="Arial" w:eastAsia="Arial" w:hAnsi="Arial"/>
                <w:sz w:val="15"/>
                <w:szCs w:val="15"/>
                <w:b w:val="1"/>
                <w:bCs w:val="1"/>
                <w:color w:val="auto"/>
              </w:rPr>
              <w:t>131</w:t>
            </w:r>
          </w:p>
        </w:tc>
        <w:tc>
          <w:tcPr>
            <w:tcW w:w="280" w:type="dxa"/>
            <w:vAlign w:val="bottom"/>
          </w:tcPr>
          <w:p>
            <w:pPr>
              <w:spacing w:after="0"/>
              <w:rPr>
                <w:sz w:val="16"/>
                <w:szCs w:val="16"/>
                <w:color w:val="auto"/>
              </w:rPr>
            </w:pP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129</w:t>
            </w:r>
          </w:p>
        </w:tc>
        <w:tc>
          <w:tcPr>
            <w:tcW w:w="240" w:type="dxa"/>
            <w:vAlign w:val="bottom"/>
          </w:tcPr>
          <w:p>
            <w:pPr>
              <w:spacing w:after="0"/>
              <w:rPr>
                <w:sz w:val="16"/>
                <w:szCs w:val="16"/>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b w:val="1"/>
                <w:bCs w:val="1"/>
                <w:color w:val="auto"/>
              </w:rPr>
              <w:t>378</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412</w:t>
            </w:r>
          </w:p>
        </w:tc>
        <w:tc>
          <w:tcPr>
            <w:tcW w:w="20" w:type="dxa"/>
            <w:vAlign w:val="bottom"/>
          </w:tcPr>
          <w:p>
            <w:pPr>
              <w:spacing w:after="0"/>
              <w:rPr>
                <w:sz w:val="16"/>
                <w:szCs w:val="16"/>
                <w:color w:val="auto"/>
              </w:rPr>
            </w:pPr>
          </w:p>
        </w:tc>
      </w:tr>
      <w:tr>
        <w:trPr>
          <w:trHeight w:val="195"/>
        </w:trPr>
        <w:tc>
          <w:tcPr>
            <w:tcW w:w="310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Less: Pension litigation </w:t>
            </w:r>
            <w:r>
              <w:rPr>
                <w:rFonts w:ascii="Arial" w:cs="Arial" w:eastAsia="Arial" w:hAnsi="Arial"/>
                <w:sz w:val="8"/>
                <w:szCs w:val="8"/>
                <w:color w:val="auto"/>
              </w:rPr>
              <w:t>(1)</w:t>
            </w:r>
          </w:p>
        </w:tc>
        <w:tc>
          <w:tcPr>
            <w:tcW w:w="1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3</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50</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15</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6"/>
                <w:szCs w:val="16"/>
                <w:color w:val="auto"/>
              </w:rPr>
            </w:pPr>
          </w:p>
        </w:tc>
      </w:tr>
      <w:tr>
        <w:trPr>
          <w:trHeight w:val="195"/>
        </w:trPr>
        <w:tc>
          <w:tcPr>
            <w:tcW w:w="3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8"/>
                <w:szCs w:val="8"/>
                <w:color w:val="auto"/>
              </w:rPr>
              <w:t>(2)</w:t>
            </w:r>
          </w:p>
        </w:tc>
        <w:tc>
          <w:tcPr>
            <w:tcW w:w="1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16</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7</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27</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20" w:type="dxa"/>
            <w:vAlign w:val="bottom"/>
          </w:tcPr>
          <w:p>
            <w:pPr>
              <w:spacing w:after="0"/>
              <w:rPr>
                <w:sz w:val="16"/>
                <w:szCs w:val="16"/>
                <w:color w:val="auto"/>
              </w:rPr>
            </w:pPr>
          </w:p>
        </w:tc>
      </w:tr>
      <w:tr>
        <w:trPr>
          <w:trHeight w:val="175"/>
        </w:trPr>
        <w:tc>
          <w:tcPr>
            <w:tcW w:w="310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1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112</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72</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336</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20" w:type="dxa"/>
            <w:vAlign w:val="bottom"/>
          </w:tcPr>
          <w:p>
            <w:pPr>
              <w:spacing w:after="0"/>
              <w:rPr>
                <w:sz w:val="15"/>
                <w:szCs w:val="15"/>
                <w:color w:val="auto"/>
              </w:rPr>
            </w:pPr>
          </w:p>
        </w:tc>
      </w:tr>
      <w:tr>
        <w:trPr>
          <w:trHeight w:val="195"/>
        </w:trPr>
        <w:tc>
          <w:tcPr>
            <w:tcW w:w="3100" w:type="dxa"/>
            <w:vAlign w:val="bottom"/>
          </w:tcPr>
          <w:p>
            <w:pPr>
              <w:spacing w:after="0"/>
              <w:rPr>
                <w:sz w:val="20"/>
                <w:szCs w:val="20"/>
                <w:color w:val="auto"/>
              </w:rPr>
            </w:pPr>
            <w:r>
              <w:rPr>
                <w:rFonts w:ascii="Arial" w:cs="Arial" w:eastAsia="Arial" w:hAnsi="Arial"/>
                <w:sz w:val="15"/>
                <w:szCs w:val="15"/>
                <w:color w:val="auto"/>
              </w:rPr>
              <w:t>Interest income, net</w:t>
            </w:r>
          </w:p>
        </w:tc>
        <w:tc>
          <w:tcPr>
            <w:tcW w:w="1240" w:type="dxa"/>
            <w:vAlign w:val="bottom"/>
          </w:tcPr>
          <w:p>
            <w:pPr>
              <w:spacing w:after="0"/>
              <w:rPr>
                <w:sz w:val="16"/>
                <w:szCs w:val="16"/>
                <w:color w:val="auto"/>
              </w:rPr>
            </w:pPr>
          </w:p>
        </w:tc>
        <w:tc>
          <w:tcPr>
            <w:tcW w:w="1060" w:type="dxa"/>
            <w:vAlign w:val="bottom"/>
          </w:tcPr>
          <w:p>
            <w:pPr>
              <w:jc w:val="right"/>
              <w:ind w:right="83"/>
              <w:spacing w:after="0"/>
              <w:rPr>
                <w:sz w:val="20"/>
                <w:szCs w:val="20"/>
                <w:color w:val="auto"/>
              </w:rPr>
            </w:pPr>
            <w:r>
              <w:rPr>
                <w:rFonts w:ascii="Arial" w:cs="Arial" w:eastAsia="Arial" w:hAnsi="Arial"/>
                <w:sz w:val="15"/>
                <w:szCs w:val="15"/>
                <w:b w:val="1"/>
                <w:bCs w:val="1"/>
                <w:color w:val="auto"/>
              </w:rPr>
              <w:t>(1)</w:t>
            </w:r>
          </w:p>
        </w:tc>
        <w:tc>
          <w:tcPr>
            <w:tcW w:w="280" w:type="dxa"/>
            <w:vAlign w:val="bottom"/>
          </w:tcPr>
          <w:p>
            <w:pPr>
              <w:spacing w:after="0"/>
              <w:rPr>
                <w:sz w:val="16"/>
                <w:szCs w:val="16"/>
                <w:color w:val="auto"/>
              </w:rPr>
            </w:pP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6"/>
                <w:szCs w:val="16"/>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b w:val="1"/>
                <w:bCs w:val="1"/>
                <w:color w:val="auto"/>
              </w:rPr>
              <w:t>(3)</w:t>
            </w:r>
          </w:p>
        </w:tc>
        <w:tc>
          <w:tcPr>
            <w:tcW w:w="26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r>
      <w:tr>
        <w:trPr>
          <w:trHeight w:val="195"/>
        </w:trPr>
        <w:tc>
          <w:tcPr>
            <w:tcW w:w="3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 xml:space="preserve">Other income </w:t>
            </w:r>
            <w:r>
              <w:rPr>
                <w:rFonts w:ascii="Arial" w:cs="Arial" w:eastAsia="Arial" w:hAnsi="Arial"/>
                <w:sz w:val="8"/>
                <w:szCs w:val="8"/>
                <w:color w:val="auto"/>
              </w:rPr>
              <w:t>(3)</w:t>
            </w:r>
          </w:p>
        </w:tc>
        <w:tc>
          <w:tcPr>
            <w:tcW w:w="1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2</w:t>
            </w: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6"/>
                <w:szCs w:val="16"/>
                <w:color w:val="auto"/>
              </w:rPr>
            </w:pPr>
          </w:p>
        </w:tc>
      </w:tr>
      <w:tr>
        <w:trPr>
          <w:trHeight w:val="167"/>
        </w:trPr>
        <w:tc>
          <w:tcPr>
            <w:tcW w:w="310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color w:val="auto"/>
              </w:rPr>
              <w:t>Income before income taxes</w:t>
            </w:r>
          </w:p>
        </w:tc>
        <w:tc>
          <w:tcPr>
            <w:tcW w:w="12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b w:val="1"/>
                <w:bCs w:val="1"/>
                <w:color w:val="auto"/>
              </w:rPr>
              <w:t>115</w:t>
            </w:r>
          </w:p>
        </w:tc>
        <w:tc>
          <w:tcPr>
            <w:tcW w:w="2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color w:val="auto"/>
              </w:rPr>
              <w:t>73</w:t>
            </w:r>
          </w:p>
        </w:tc>
        <w:tc>
          <w:tcPr>
            <w:tcW w:w="2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103"/>
              <w:spacing w:after="0" w:line="163" w:lineRule="exact"/>
              <w:rPr>
                <w:sz w:val="20"/>
                <w:szCs w:val="20"/>
                <w:color w:val="auto"/>
              </w:rPr>
            </w:pPr>
            <w:r>
              <w:rPr>
                <w:rFonts w:ascii="Arial" w:cs="Arial" w:eastAsia="Arial" w:hAnsi="Arial"/>
                <w:sz w:val="15"/>
                <w:szCs w:val="15"/>
                <w:b w:val="1"/>
                <w:bCs w:val="1"/>
                <w:color w:val="auto"/>
              </w:rPr>
              <w:t>344</w:t>
            </w:r>
          </w:p>
        </w:tc>
        <w:tc>
          <w:tcPr>
            <w:tcW w:w="2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342</w:t>
            </w:r>
          </w:p>
        </w:tc>
        <w:tc>
          <w:tcPr>
            <w:tcW w:w="20" w:type="dxa"/>
            <w:vAlign w:val="bottom"/>
          </w:tcPr>
          <w:p>
            <w:pPr>
              <w:spacing w:after="0"/>
              <w:rPr>
                <w:sz w:val="14"/>
                <w:szCs w:val="14"/>
                <w:color w:val="auto"/>
              </w:rPr>
            </w:pPr>
          </w:p>
        </w:tc>
      </w:tr>
      <w:tr>
        <w:trPr>
          <w:trHeight w:val="581"/>
        </w:trPr>
        <w:tc>
          <w:tcPr>
            <w:tcW w:w="3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jc w:val="right"/>
              <w:ind w:right="723"/>
              <w:spacing w:after="0"/>
              <w:rPr>
                <w:sz w:val="20"/>
                <w:szCs w:val="20"/>
                <w:color w:val="auto"/>
              </w:rPr>
            </w:pPr>
            <w:r>
              <w:rPr>
                <w:rFonts w:ascii="Arial" w:cs="Arial" w:eastAsia="Arial" w:hAnsi="Arial"/>
                <w:sz w:val="15"/>
                <w:szCs w:val="15"/>
                <w:color w:val="auto"/>
              </w:rPr>
              <w:t>7</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3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310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5" w:right="1379" w:bottom="1440" w:gutter="0" w:footer="0" w:header="0"/>
        </w:sectPr>
      </w:pPr>
    </w:p>
    <w:bookmarkStart w:id="9" w:name="page10"/>
    <w:bookmarkEnd w:id="9"/>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331" w:lineRule="exact"/>
        <w:rPr>
          <w:sz w:val="20"/>
          <w:szCs w:val="20"/>
          <w:color w:val="auto"/>
        </w:rPr>
      </w:pPr>
    </w:p>
    <w:p>
      <w:pPr>
        <w:jc w:val="both"/>
        <w:ind w:left="660" w:right="120" w:hanging="375"/>
        <w:spacing w:after="0" w:line="239" w:lineRule="auto"/>
        <w:tabs>
          <w:tab w:leader="none" w:pos="660" w:val="left"/>
        </w:tabs>
        <w:numPr>
          <w:ilvl w:val="1"/>
          <w:numId w:val="4"/>
        </w:numPr>
        <w:rPr>
          <w:rFonts w:ascii="Arial" w:cs="Arial" w:eastAsia="Arial" w:hAnsi="Arial"/>
          <w:sz w:val="11"/>
          <w:szCs w:val="11"/>
          <w:color w:val="auto"/>
        </w:rPr>
      </w:pPr>
      <w:r>
        <w:rPr>
          <w:rFonts w:ascii="Arial" w:cs="Arial" w:eastAsia="Arial" w:hAnsi="Arial"/>
          <w:sz w:val="12"/>
          <w:szCs w:val="12"/>
          <w:color w:val="auto"/>
        </w:rPr>
        <w:t xml:space="preserve">Included in the thirteen and twenty-six weeks ended August 4, 2018 are pre-tax charges of $3 million and $15 million, respectively, relating to a pension litigation matter described further in Note 14, </w:t>
      </w:r>
      <w:r>
        <w:rPr>
          <w:rFonts w:ascii="Arial" w:cs="Arial" w:eastAsia="Arial" w:hAnsi="Arial"/>
          <w:sz w:val="12"/>
          <w:szCs w:val="12"/>
          <w:i w:val="1"/>
          <w:iCs w:val="1"/>
          <w:color w:val="auto"/>
        </w:rPr>
        <w:t>Legal Proceedings</w:t>
      </w:r>
      <w:r>
        <w:rPr>
          <w:rFonts w:ascii="Arial" w:cs="Arial" w:eastAsia="Arial" w:hAnsi="Arial"/>
          <w:sz w:val="12"/>
          <w:szCs w:val="12"/>
          <w:color w:val="auto"/>
        </w:rPr>
        <w:t>. Included in the thirteen and twenty-six weeks ended July 29, 2017 are pre-tax charges of $50 million in both periods relating to the same matter.</w:t>
      </w:r>
    </w:p>
    <w:p>
      <w:pPr>
        <w:spacing w:after="0" w:line="98" w:lineRule="exact"/>
        <w:rPr>
          <w:rFonts w:ascii="Arial" w:cs="Arial" w:eastAsia="Arial" w:hAnsi="Arial"/>
          <w:sz w:val="11"/>
          <w:szCs w:val="11"/>
          <w:color w:val="auto"/>
        </w:rPr>
      </w:pPr>
    </w:p>
    <w:p>
      <w:pPr>
        <w:jc w:val="both"/>
        <w:ind w:left="660" w:right="120" w:hanging="375"/>
        <w:spacing w:after="0" w:line="197" w:lineRule="auto"/>
        <w:tabs>
          <w:tab w:leader="none" w:pos="660" w:val="left"/>
        </w:tabs>
        <w:numPr>
          <w:ilvl w:val="1"/>
          <w:numId w:val="4"/>
        </w:numPr>
        <w:rPr>
          <w:rFonts w:ascii="Arial" w:cs="Arial" w:eastAsia="Arial" w:hAnsi="Arial"/>
          <w:sz w:val="21"/>
          <w:szCs w:val="21"/>
          <w:color w:val="auto"/>
          <w:vertAlign w:val="superscript"/>
        </w:rPr>
      </w:pPr>
      <w:r>
        <w:rPr>
          <w:rFonts w:ascii="Arial" w:cs="Arial" w:eastAsia="Arial" w:hAnsi="Arial"/>
          <w:sz w:val="12"/>
          <w:szCs w:val="12"/>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49" w:lineRule="exact"/>
        <w:rPr>
          <w:rFonts w:ascii="Arial" w:cs="Arial" w:eastAsia="Arial" w:hAnsi="Arial"/>
          <w:sz w:val="21"/>
          <w:szCs w:val="21"/>
          <w:color w:val="auto"/>
          <w:vertAlign w:val="superscript"/>
        </w:rPr>
      </w:pPr>
    </w:p>
    <w:p>
      <w:pPr>
        <w:jc w:val="both"/>
        <w:ind w:left="660" w:right="120" w:hanging="375"/>
        <w:spacing w:after="0" w:line="239" w:lineRule="auto"/>
        <w:tabs>
          <w:tab w:leader="none" w:pos="660" w:val="left"/>
        </w:tabs>
        <w:numPr>
          <w:ilvl w:val="1"/>
          <w:numId w:val="4"/>
        </w:numPr>
        <w:rPr>
          <w:rFonts w:ascii="Arial" w:cs="Arial" w:eastAsia="Arial" w:hAnsi="Arial"/>
          <w:sz w:val="11"/>
          <w:szCs w:val="11"/>
          <w:color w:val="auto"/>
        </w:rPr>
      </w:pPr>
      <w:r>
        <w:rPr>
          <w:rFonts w:ascii="Arial" w:cs="Arial" w:eastAsia="Arial" w:hAnsi="Arial"/>
          <w:sz w:val="12"/>
          <w:szCs w:val="12"/>
          <w:color w:val="auto"/>
        </w:rPr>
        <w:t>Other income includes non-operating items, such as lease termination gains, royalty income, changes in fair value, premiums paid, realized gains and losses associated with foreign currency option contracts, changes in the market value of our available-for-sale security, and net benefit expense related to our pension and postretirement programs excluding the service cost component.</w:t>
      </w:r>
    </w:p>
    <w:p>
      <w:pPr>
        <w:spacing w:after="0" w:line="63" w:lineRule="exact"/>
        <w:rPr>
          <w:rFonts w:ascii="Arial" w:cs="Arial" w:eastAsia="Arial" w:hAnsi="Arial"/>
          <w:sz w:val="11"/>
          <w:szCs w:val="11"/>
          <w:color w:val="auto"/>
        </w:rPr>
      </w:pPr>
    </w:p>
    <w:p>
      <w:pPr>
        <w:ind w:left="180" w:hanging="175"/>
        <w:spacing w:after="0"/>
        <w:tabs>
          <w:tab w:leader="none" w:pos="18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Litigation and Other Charges</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As more fully discussed in Note 14,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the Company recorded charges related to the pension litigation of $3 million and $15 million for the thirteen and twenty-six weeks ended August 4, 2018. For the thirteen and twenty-six weeks ended August 4, 2018, the Company recorded charges of $2 million and $13 million, respectively, representing adjustments to the estimated cost of reformation and interest. Additionally, professional fees in connection with the plan reformation were incurred totaling $1 million and $2 million for the thirteen and twenty-six weeks ended August 4, 2018, respectively. During the second quarter of 2017, the Company recorded $50 million of charges related to the pension litigation.</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During the third quarter of the prior year, the Company reorganized its organizational structure by adjusting certain divisional responsibilities between our various businesses. The following is a rollforward of the liability related to that event for the twenty-six weeks ended August 4,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tcPr>
          <w:p>
            <w:pPr>
              <w:jc w:val="center"/>
              <w:ind w:right="143"/>
              <w:spacing w:after="0"/>
              <w:rPr>
                <w:sz w:val="20"/>
                <w:szCs w:val="20"/>
                <w:color w:val="auto"/>
              </w:rPr>
            </w:pPr>
            <w:r>
              <w:rPr>
                <w:rFonts w:ascii="Arial" w:cs="Arial" w:eastAsia="Arial" w:hAnsi="Arial"/>
                <w:sz w:val="15"/>
                <w:szCs w:val="15"/>
                <w:b w:val="1"/>
                <w:bCs w:val="1"/>
                <w:color w:val="auto"/>
              </w:rPr>
              <w:t>Severance and</w:t>
            </w:r>
          </w:p>
        </w:tc>
        <w:tc>
          <w:tcPr>
            <w:tcW w:w="360" w:type="dxa"/>
            <w:vAlign w:val="bottom"/>
          </w:tcPr>
          <w:p>
            <w:pPr>
              <w:spacing w:after="0"/>
              <w:rPr>
                <w:sz w:val="15"/>
                <w:szCs w:val="15"/>
                <w:color w:val="auto"/>
              </w:rPr>
            </w:pPr>
          </w:p>
        </w:tc>
        <w:tc>
          <w:tcPr>
            <w:tcW w:w="1520" w:type="dxa"/>
            <w:vAlign w:val="bottom"/>
          </w:tcPr>
          <w:p>
            <w:pPr>
              <w:jc w:val="center"/>
              <w:ind w:right="103"/>
              <w:spacing w:after="0"/>
              <w:rPr>
                <w:sz w:val="20"/>
                <w:szCs w:val="20"/>
                <w:color w:val="auto"/>
              </w:rPr>
            </w:pPr>
            <w:r>
              <w:rPr>
                <w:rFonts w:ascii="Arial" w:cs="Arial" w:eastAsia="Arial" w:hAnsi="Arial"/>
                <w:sz w:val="15"/>
                <w:szCs w:val="15"/>
                <w:b w:val="1"/>
                <w:bCs w:val="1"/>
                <w:color w:val="auto"/>
              </w:rPr>
              <w:t>Other Related</w:t>
            </w: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4"/>
        </w:trPr>
        <w:tc>
          <w:tcPr>
            <w:tcW w:w="2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rPr>
              <w:t>Benefit Costs</w:t>
            </w: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rPr>
              <w:t>Charges</w:t>
            </w: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Total</w:t>
            </w:r>
          </w:p>
        </w:tc>
      </w:tr>
      <w:tr>
        <w:trPr>
          <w:trHeight w:val="162"/>
        </w:trPr>
        <w:tc>
          <w:tcPr>
            <w:tcW w:w="2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ind w:left="80"/>
              <w:spacing w:after="0" w:line="163" w:lineRule="exact"/>
              <w:rPr>
                <w:sz w:val="20"/>
                <w:szCs w:val="20"/>
                <w:color w:val="auto"/>
              </w:rPr>
            </w:pPr>
            <w:r>
              <w:rPr>
                <w:rFonts w:ascii="Arial" w:cs="Arial" w:eastAsia="Arial" w:hAnsi="Arial"/>
                <w:sz w:val="15"/>
                <w:szCs w:val="15"/>
                <w:color w:val="auto"/>
              </w:rPr>
              <w:t>($ in millions)</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2"/>
        </w:trPr>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Balance at February 3, 2018</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500" w:type="dxa"/>
            <w:vAlign w:val="bottom"/>
            <w:shd w:val="clear" w:color="auto" w:fill="CCEEFF"/>
          </w:tcPr>
          <w:p>
            <w:pPr>
              <w:jc w:val="center"/>
              <w:ind w:left="903"/>
              <w:spacing w:after="0"/>
              <w:rPr>
                <w:sz w:val="20"/>
                <w:szCs w:val="20"/>
                <w:color w:val="auto"/>
              </w:rPr>
            </w:pPr>
            <w:r>
              <w:rPr>
                <w:rFonts w:ascii="Arial" w:cs="Arial" w:eastAsia="Arial" w:hAnsi="Arial"/>
                <w:sz w:val="15"/>
                <w:szCs w:val="15"/>
                <w:color w:val="auto"/>
                <w:w w:val="95"/>
              </w:rPr>
              <w:t>5</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center"/>
              <w:ind w:left="943"/>
              <w:spacing w:after="0"/>
              <w:rPr>
                <w:sz w:val="20"/>
                <w:szCs w:val="20"/>
                <w:color w:val="auto"/>
              </w:rPr>
            </w:pPr>
            <w:r>
              <w:rPr>
                <w:rFonts w:ascii="Arial" w:cs="Arial" w:eastAsia="Arial" w:hAnsi="Arial"/>
                <w:sz w:val="15"/>
                <w:szCs w:val="15"/>
                <w:color w:val="auto"/>
              </w:rPr>
              <w:t>2</w:t>
            </w:r>
          </w:p>
        </w:tc>
        <w:tc>
          <w:tcPr>
            <w:tcW w:w="54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center"/>
              <w:ind w:left="903"/>
              <w:spacing w:after="0"/>
              <w:rPr>
                <w:sz w:val="20"/>
                <w:szCs w:val="20"/>
                <w:color w:val="auto"/>
              </w:rPr>
            </w:pPr>
            <w:r>
              <w:rPr>
                <w:rFonts w:ascii="Arial" w:cs="Arial" w:eastAsia="Arial" w:hAnsi="Arial"/>
                <w:sz w:val="15"/>
                <w:szCs w:val="15"/>
                <w:color w:val="auto"/>
                <w:w w:val="95"/>
              </w:rPr>
              <w:t>7</w:t>
            </w:r>
          </w:p>
        </w:tc>
      </w:tr>
      <w:tr>
        <w:trPr>
          <w:trHeight w:val="182"/>
        </w:trPr>
        <w:tc>
          <w:tcPr>
            <w:tcW w:w="290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Cash payments</w:t>
            </w:r>
          </w:p>
        </w:tc>
        <w:tc>
          <w:tcPr>
            <w:tcW w:w="1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left="883"/>
              <w:spacing w:after="0"/>
              <w:rPr>
                <w:sz w:val="20"/>
                <w:szCs w:val="20"/>
                <w:color w:val="auto"/>
              </w:rPr>
            </w:pPr>
            <w:r>
              <w:rPr>
                <w:rFonts w:ascii="Arial" w:cs="Arial" w:eastAsia="Arial" w:hAnsi="Arial"/>
                <w:sz w:val="15"/>
                <w:szCs w:val="15"/>
                <w:color w:val="auto"/>
                <w:w w:val="97"/>
              </w:rPr>
              <w:t>(4)</w:t>
            </w: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left="923"/>
              <w:spacing w:after="0"/>
              <w:rPr>
                <w:sz w:val="20"/>
                <w:szCs w:val="20"/>
                <w:color w:val="auto"/>
              </w:rPr>
            </w:pPr>
            <w:r>
              <w:rPr>
                <w:rFonts w:ascii="Arial" w:cs="Arial" w:eastAsia="Arial" w:hAnsi="Arial"/>
                <w:sz w:val="15"/>
                <w:szCs w:val="15"/>
                <w:color w:val="auto"/>
              </w:rPr>
              <w:t>(1)</w:t>
            </w: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left="883"/>
              <w:spacing w:after="0"/>
              <w:rPr>
                <w:sz w:val="20"/>
                <w:szCs w:val="20"/>
                <w:color w:val="auto"/>
              </w:rPr>
            </w:pPr>
            <w:r>
              <w:rPr>
                <w:rFonts w:ascii="Arial" w:cs="Arial" w:eastAsia="Arial" w:hAnsi="Arial"/>
                <w:sz w:val="15"/>
                <w:szCs w:val="15"/>
                <w:color w:val="auto"/>
                <w:w w:val="97"/>
              </w:rPr>
              <w:t>(5)</w:t>
            </w:r>
          </w:p>
        </w:tc>
      </w:tr>
      <w:tr>
        <w:trPr>
          <w:trHeight w:val="179"/>
        </w:trPr>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Balance at August 4, 2018</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500" w:type="dxa"/>
            <w:vAlign w:val="bottom"/>
            <w:tcBorders>
              <w:bottom w:val="single" w:sz="8" w:color="auto"/>
            </w:tcBorders>
            <w:shd w:val="clear" w:color="auto" w:fill="CCEEFF"/>
          </w:tcPr>
          <w:p>
            <w:pPr>
              <w:jc w:val="center"/>
              <w:ind w:left="903"/>
              <w:spacing w:after="0"/>
              <w:rPr>
                <w:sz w:val="20"/>
                <w:szCs w:val="20"/>
                <w:color w:val="auto"/>
              </w:rPr>
            </w:pPr>
            <w:r>
              <w:rPr>
                <w:rFonts w:ascii="Arial" w:cs="Arial" w:eastAsia="Arial" w:hAnsi="Arial"/>
                <w:sz w:val="15"/>
                <w:szCs w:val="15"/>
                <w:b w:val="1"/>
                <w:bCs w:val="1"/>
                <w:color w:val="auto"/>
                <w:w w:val="95"/>
              </w:rPr>
              <w:t>1</w:t>
            </w:r>
          </w:p>
        </w:tc>
        <w:tc>
          <w:tcPr>
            <w:tcW w:w="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520" w:type="dxa"/>
            <w:vAlign w:val="bottom"/>
            <w:tcBorders>
              <w:bottom w:val="single" w:sz="8" w:color="auto"/>
            </w:tcBorders>
            <w:shd w:val="clear" w:color="auto" w:fill="CCEEFF"/>
          </w:tcPr>
          <w:p>
            <w:pPr>
              <w:jc w:val="center"/>
              <w:ind w:left="943"/>
              <w:spacing w:after="0"/>
              <w:rPr>
                <w:sz w:val="20"/>
                <w:szCs w:val="20"/>
                <w:color w:val="auto"/>
              </w:rPr>
            </w:pPr>
            <w:r>
              <w:rPr>
                <w:rFonts w:ascii="Arial" w:cs="Arial" w:eastAsia="Arial" w:hAnsi="Arial"/>
                <w:sz w:val="15"/>
                <w:szCs w:val="15"/>
                <w:b w:val="1"/>
                <w:bCs w:val="1"/>
                <w:color w:val="auto"/>
              </w:rPr>
              <w:t>1</w:t>
            </w:r>
          </w:p>
        </w:tc>
        <w:tc>
          <w:tcPr>
            <w:tcW w:w="5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shd w:val="clear" w:color="auto" w:fill="CCEEFF"/>
          </w:tcPr>
          <w:p>
            <w:pPr>
              <w:jc w:val="center"/>
              <w:ind w:left="903"/>
              <w:spacing w:after="0"/>
              <w:rPr>
                <w:sz w:val="20"/>
                <w:szCs w:val="20"/>
                <w:color w:val="auto"/>
              </w:rPr>
            </w:pPr>
            <w:r>
              <w:rPr>
                <w:rFonts w:ascii="Arial" w:cs="Arial" w:eastAsia="Arial" w:hAnsi="Arial"/>
                <w:sz w:val="15"/>
                <w:szCs w:val="15"/>
                <w:b w:val="1"/>
                <w:bCs w:val="1"/>
                <w:color w:val="auto"/>
                <w:w w:val="95"/>
              </w:rPr>
              <w:t>2</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Restricted Cash</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following table provides a reconciliation of cash and cash equivalents, as reported on our condensed consolidated balance sheets, to cash, cash equivalents, and restricted cash, as reported on our condensed consolidated statements of cash flows.</w:t>
      </w:r>
    </w:p>
    <w:tbl>
      <w:tblPr>
        <w:tblLayout w:type="fixed"/>
        <w:tblInd w:w="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jc w:val="right"/>
              <w:ind w:right="423"/>
              <w:spacing w:after="0" w:line="165" w:lineRule="exact"/>
              <w:rPr>
                <w:sz w:val="20"/>
                <w:szCs w:val="20"/>
                <w:color w:val="auto"/>
              </w:rPr>
            </w:pPr>
            <w:r>
              <w:rPr>
                <w:rFonts w:ascii="Arial" w:cs="Arial" w:eastAsia="Arial" w:hAnsi="Arial"/>
                <w:sz w:val="15"/>
                <w:szCs w:val="15"/>
                <w:b w:val="1"/>
                <w:bCs w:val="1"/>
                <w:color w:val="auto"/>
              </w:rPr>
              <w:t>August 4,</w:t>
            </w:r>
          </w:p>
        </w:tc>
        <w:tc>
          <w:tcPr>
            <w:tcW w:w="360" w:type="dxa"/>
            <w:vAlign w:val="bottom"/>
          </w:tcPr>
          <w:p>
            <w:pPr>
              <w:spacing w:after="0"/>
              <w:rPr>
                <w:sz w:val="14"/>
                <w:szCs w:val="14"/>
                <w:color w:val="auto"/>
              </w:rPr>
            </w:pPr>
          </w:p>
        </w:tc>
        <w:tc>
          <w:tcPr>
            <w:tcW w:w="1200" w:type="dxa"/>
            <w:vAlign w:val="bottom"/>
          </w:tcPr>
          <w:p>
            <w:pPr>
              <w:jc w:val="center"/>
              <w:ind w:right="443"/>
              <w:spacing w:after="0" w:line="165" w:lineRule="exact"/>
              <w:rPr>
                <w:sz w:val="20"/>
                <w:szCs w:val="20"/>
                <w:color w:val="auto"/>
              </w:rPr>
            </w:pPr>
            <w:r>
              <w:rPr>
                <w:rFonts w:ascii="Arial" w:cs="Arial" w:eastAsia="Arial" w:hAnsi="Arial"/>
                <w:sz w:val="15"/>
                <w:szCs w:val="15"/>
                <w:b w:val="1"/>
                <w:bCs w:val="1"/>
                <w:color w:val="auto"/>
              </w:rPr>
              <w:t>July 29,</w:t>
            </w:r>
          </w:p>
        </w:tc>
        <w:tc>
          <w:tcPr>
            <w:tcW w:w="320" w:type="dxa"/>
            <w:vAlign w:val="bottom"/>
          </w:tcPr>
          <w:p>
            <w:pPr>
              <w:spacing w:after="0"/>
              <w:rPr>
                <w:sz w:val="14"/>
                <w:szCs w:val="14"/>
                <w:color w:val="auto"/>
              </w:rPr>
            </w:pPr>
          </w:p>
        </w:tc>
        <w:tc>
          <w:tcPr>
            <w:tcW w:w="1080" w:type="dxa"/>
            <w:vAlign w:val="bottom"/>
          </w:tcPr>
          <w:p>
            <w:pPr>
              <w:jc w:val="right"/>
              <w:ind w:right="163"/>
              <w:spacing w:after="0" w:line="165" w:lineRule="exact"/>
              <w:rPr>
                <w:sz w:val="20"/>
                <w:szCs w:val="20"/>
                <w:color w:val="auto"/>
              </w:rPr>
            </w:pPr>
            <w:r>
              <w:rPr>
                <w:rFonts w:ascii="Arial" w:cs="Arial" w:eastAsia="Arial" w:hAnsi="Arial"/>
                <w:sz w:val="15"/>
                <w:szCs w:val="15"/>
                <w:b w:val="1"/>
                <w:bCs w:val="1"/>
                <w:color w:val="auto"/>
              </w:rPr>
              <w:t>February 3,</w:t>
            </w:r>
          </w:p>
        </w:tc>
      </w:tr>
      <w:tr>
        <w:trPr>
          <w:trHeight w:val="205"/>
        </w:trPr>
        <w:tc>
          <w:tcPr>
            <w:tcW w:w="4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2018</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23"/>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2018</w:t>
            </w:r>
          </w:p>
        </w:tc>
      </w:tr>
      <w:tr>
        <w:trPr>
          <w:trHeight w:val="187"/>
        </w:trPr>
        <w:tc>
          <w:tcPr>
            <w:tcW w:w="4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43"/>
              <w:spacing w:after="0"/>
              <w:rPr>
                <w:sz w:val="20"/>
                <w:szCs w:val="20"/>
                <w:color w:val="auto"/>
              </w:rPr>
            </w:pPr>
            <w:r>
              <w:rPr>
                <w:rFonts w:ascii="Arial" w:cs="Arial" w:eastAsia="Arial" w:hAnsi="Arial"/>
                <w:sz w:val="15"/>
                <w:szCs w:val="15"/>
                <w:color w:val="auto"/>
              </w:rPr>
              <w:t>($ in millions)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8"/>
        </w:trPr>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950</w:t>
            </w: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1,043</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w:t>
            </w:r>
          </w:p>
        </w:tc>
      </w:tr>
      <w:tr>
        <w:trPr>
          <w:trHeight w:val="207"/>
        </w:trPr>
        <w:tc>
          <w:tcPr>
            <w:tcW w:w="4180" w:type="dxa"/>
            <w:vAlign w:val="bottom"/>
          </w:tcPr>
          <w:p>
            <w:pPr>
              <w:spacing w:after="0"/>
              <w:rPr>
                <w:sz w:val="20"/>
                <w:szCs w:val="20"/>
                <w:color w:val="auto"/>
              </w:rPr>
            </w:pPr>
            <w:r>
              <w:rPr>
                <w:rFonts w:ascii="Arial" w:cs="Arial" w:eastAsia="Arial" w:hAnsi="Arial"/>
                <w:sz w:val="15"/>
                <w:szCs w:val="15"/>
                <w:color w:val="auto"/>
              </w:rPr>
              <w:t>Restricted cash included in other current assets</w:t>
            </w:r>
          </w:p>
        </w:tc>
        <w:tc>
          <w:tcPr>
            <w:tcW w:w="720" w:type="dxa"/>
            <w:vAlign w:val="bottom"/>
          </w:tcPr>
          <w:p>
            <w:pPr>
              <w:spacing w:after="0"/>
              <w:rPr>
                <w:sz w:val="17"/>
                <w:szCs w:val="17"/>
                <w:color w:val="auto"/>
              </w:rPr>
            </w:pPr>
          </w:p>
        </w:tc>
        <w:tc>
          <w:tcPr>
            <w:tcW w:w="1240" w:type="dxa"/>
            <w:vAlign w:val="bottom"/>
          </w:tcPr>
          <w:p>
            <w:pPr>
              <w:jc w:val="right"/>
              <w:ind w:right="143"/>
              <w:spacing w:after="0"/>
              <w:rPr>
                <w:sz w:val="20"/>
                <w:szCs w:val="20"/>
                <w:color w:val="auto"/>
              </w:rPr>
            </w:pPr>
            <w:r>
              <w:rPr>
                <w:rFonts w:ascii="Arial" w:cs="Arial" w:eastAsia="Arial" w:hAnsi="Arial"/>
                <w:sz w:val="15"/>
                <w:szCs w:val="15"/>
                <w:b w:val="1"/>
                <w:bCs w:val="1"/>
                <w:color w:val="auto"/>
              </w:rPr>
              <w:t>1</w:t>
            </w:r>
          </w:p>
        </w:tc>
        <w:tc>
          <w:tcPr>
            <w:tcW w:w="360" w:type="dxa"/>
            <w:vAlign w:val="bottom"/>
          </w:tcPr>
          <w:p>
            <w:pPr>
              <w:spacing w:after="0"/>
              <w:rPr>
                <w:sz w:val="17"/>
                <w:szCs w:val="17"/>
                <w:color w:val="auto"/>
              </w:rPr>
            </w:pPr>
          </w:p>
        </w:tc>
        <w:tc>
          <w:tcPr>
            <w:tcW w:w="1200" w:type="dxa"/>
            <w:vAlign w:val="bottom"/>
          </w:tcPr>
          <w:p>
            <w:pPr>
              <w:jc w:val="right"/>
              <w:ind w:right="143"/>
              <w:spacing w:after="0"/>
              <w:rPr>
                <w:sz w:val="20"/>
                <w:szCs w:val="20"/>
                <w:color w:val="auto"/>
              </w:rPr>
            </w:pPr>
            <w:r>
              <w:rPr>
                <w:rFonts w:ascii="Arial" w:cs="Arial" w:eastAsia="Arial" w:hAnsi="Arial"/>
                <w:sz w:val="15"/>
                <w:szCs w:val="15"/>
                <w:color w:val="auto"/>
              </w:rPr>
              <w:t>1</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7"/>
        </w:trPr>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Restricted cash included in other non-current assets</w:t>
            </w:r>
          </w:p>
        </w:tc>
        <w:tc>
          <w:tcPr>
            <w:tcW w:w="7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88</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29</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w:t>
            </w:r>
          </w:p>
        </w:tc>
      </w:tr>
      <w:tr>
        <w:trPr>
          <w:trHeight w:val="179"/>
        </w:trPr>
        <w:tc>
          <w:tcPr>
            <w:tcW w:w="4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Cash, cash equivalents, and restricted cash</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1,039</w:t>
            </w:r>
          </w:p>
        </w:tc>
        <w:tc>
          <w:tcPr>
            <w:tcW w:w="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1,073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1,031</w:t>
            </w:r>
          </w:p>
        </w:tc>
      </w:tr>
    </w:tbl>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Amounts included in restricted cash primarily relate to funds deposited to a qualified settlement fund in connection with the pension litigation and amounts held in escrow in connection with various leasing arrangements in Europe. In addition, restricted cash reflects deposits held in insurance trusts in order to satisfy the requirement to collateralize part of the self-insured workers’ compensation and liability claims.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Goodwill</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Annually during the first quarter, or more frequently if impairment indicators arise, the Company reviews goodwill and intangible assets with indefinite lives for impairment.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As a result of the first quarter 2018 change in our organizational and internal reporting structure, we have determined that we have one reportable segment. We have reassessed our reporting units in light of this change and have deemed the collective omni-channel banners in North America and International to be the two reporting units at which goodwill is tested. Therefore, goodwill was re-allocated to these reporting units based on their relative fair values. As required, we conducted our annual impairment review both before and after this change. Neither review resulted in the recognition of impairment, as the fair value of each reporting unit exceeded its carrying value.</w:t>
      </w: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Other Intangible Assets, net</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finite-lived intangible assets and intangible assets not subject to amortization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August 4, 2018</w:t>
            </w: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5"/>
                <w:szCs w:val="15"/>
                <w:b w:val="1"/>
                <w:bCs w:val="1"/>
                <w:color w:val="auto"/>
              </w:rPr>
              <w:t>July 29, 2017</w:t>
            </w: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ind w:right="343"/>
              <w:spacing w:after="0"/>
              <w:rPr>
                <w:sz w:val="20"/>
                <w:szCs w:val="20"/>
                <w:color w:val="auto"/>
              </w:rPr>
            </w:pPr>
            <w:r>
              <w:rPr>
                <w:rFonts w:ascii="Arial" w:cs="Arial" w:eastAsia="Arial" w:hAnsi="Arial"/>
                <w:sz w:val="15"/>
                <w:szCs w:val="15"/>
                <w:b w:val="1"/>
                <w:bCs w:val="1"/>
                <w:color w:val="auto"/>
              </w:rPr>
              <w:t>February 3, 2018</w:t>
            </w:r>
          </w:p>
        </w:tc>
        <w:tc>
          <w:tcPr>
            <w:tcW w:w="0" w:type="dxa"/>
            <w:vAlign w:val="bottom"/>
          </w:tcPr>
          <w:p>
            <w:pPr>
              <w:spacing w:after="0"/>
              <w:rPr>
                <w:sz w:val="1"/>
                <w:szCs w:val="1"/>
                <w:color w:val="auto"/>
              </w:rPr>
            </w:pPr>
          </w:p>
        </w:tc>
      </w:tr>
      <w:tr>
        <w:trPr>
          <w:trHeight w:val="151"/>
        </w:trPr>
        <w:tc>
          <w:tcPr>
            <w:tcW w:w="2780" w:type="dxa"/>
            <w:vAlign w:val="bottom"/>
          </w:tcPr>
          <w:p>
            <w:pPr>
              <w:spacing w:after="0"/>
              <w:rPr>
                <w:sz w:val="13"/>
                <w:szCs w:val="13"/>
                <w:color w:val="auto"/>
              </w:rPr>
            </w:pPr>
          </w:p>
        </w:tc>
        <w:tc>
          <w:tcPr>
            <w:tcW w:w="700" w:type="dxa"/>
            <w:vAlign w:val="bottom"/>
            <w:gridSpan w:val="2"/>
          </w:tcPr>
          <w:p>
            <w:pPr>
              <w:ind w:left="120"/>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Accum.</w:t>
            </w:r>
          </w:p>
        </w:tc>
        <w:tc>
          <w:tcPr>
            <w:tcW w:w="160" w:type="dxa"/>
            <w:vAlign w:val="bottom"/>
          </w:tcPr>
          <w:p>
            <w:pPr>
              <w:spacing w:after="0"/>
              <w:rPr>
                <w:sz w:val="13"/>
                <w:szCs w:val="13"/>
                <w:color w:val="auto"/>
              </w:rPr>
            </w:pPr>
          </w:p>
        </w:tc>
        <w:tc>
          <w:tcPr>
            <w:tcW w:w="480" w:type="dxa"/>
            <w:vAlign w:val="bottom"/>
          </w:tcPr>
          <w:p>
            <w:pPr>
              <w:jc w:val="right"/>
              <w:ind w:right="143"/>
              <w:spacing w:after="0" w:line="151" w:lineRule="exact"/>
              <w:rPr>
                <w:sz w:val="20"/>
                <w:szCs w:val="20"/>
                <w:color w:val="auto"/>
              </w:rPr>
            </w:pPr>
            <w:r>
              <w:rPr>
                <w:rFonts w:ascii="Arial" w:cs="Arial" w:eastAsia="Arial" w:hAnsi="Arial"/>
                <w:sz w:val="15"/>
                <w:szCs w:val="15"/>
                <w:b w:val="1"/>
                <w:bCs w:val="1"/>
                <w:color w:val="auto"/>
                <w:w w:val="99"/>
              </w:rPr>
              <w:t>Net</w:t>
            </w:r>
          </w:p>
        </w:tc>
        <w:tc>
          <w:tcPr>
            <w:tcW w:w="68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ind w:left="80"/>
              <w:spacing w:after="0" w:line="151" w:lineRule="exact"/>
              <w:rPr>
                <w:sz w:val="20"/>
                <w:szCs w:val="20"/>
                <w:color w:val="auto"/>
              </w:rPr>
            </w:pPr>
            <w:r>
              <w:rPr>
                <w:rFonts w:ascii="Arial" w:cs="Arial" w:eastAsia="Arial" w:hAnsi="Arial"/>
                <w:sz w:val="15"/>
                <w:szCs w:val="15"/>
                <w:b w:val="1"/>
                <w:bCs w:val="1"/>
                <w:color w:val="auto"/>
              </w:rPr>
              <w:t>Accum.</w:t>
            </w:r>
          </w:p>
        </w:tc>
        <w:tc>
          <w:tcPr>
            <w:tcW w:w="180" w:type="dxa"/>
            <w:vAlign w:val="bottom"/>
          </w:tcPr>
          <w:p>
            <w:pPr>
              <w:spacing w:after="0"/>
              <w:rPr>
                <w:sz w:val="13"/>
                <w:szCs w:val="13"/>
                <w:color w:val="auto"/>
              </w:rPr>
            </w:pPr>
          </w:p>
        </w:tc>
        <w:tc>
          <w:tcPr>
            <w:tcW w:w="500" w:type="dxa"/>
            <w:vAlign w:val="bottom"/>
          </w:tcPr>
          <w:p>
            <w:pPr>
              <w:jc w:val="right"/>
              <w:ind w:right="163"/>
              <w:spacing w:after="0" w:line="151" w:lineRule="exact"/>
              <w:rPr>
                <w:sz w:val="20"/>
                <w:szCs w:val="20"/>
                <w:color w:val="auto"/>
              </w:rPr>
            </w:pPr>
            <w:r>
              <w:rPr>
                <w:rFonts w:ascii="Arial" w:cs="Arial" w:eastAsia="Arial" w:hAnsi="Arial"/>
                <w:sz w:val="15"/>
                <w:szCs w:val="15"/>
                <w:b w:val="1"/>
                <w:bCs w:val="1"/>
                <w:color w:val="auto"/>
                <w:w w:val="99"/>
              </w:rPr>
              <w:t>Net</w:t>
            </w:r>
          </w:p>
        </w:tc>
        <w:tc>
          <w:tcPr>
            <w:tcW w:w="68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ind w:left="100"/>
              <w:spacing w:after="0" w:line="151" w:lineRule="exact"/>
              <w:rPr>
                <w:sz w:val="20"/>
                <w:szCs w:val="20"/>
                <w:color w:val="auto"/>
              </w:rPr>
            </w:pPr>
            <w:r>
              <w:rPr>
                <w:rFonts w:ascii="Arial" w:cs="Arial" w:eastAsia="Arial" w:hAnsi="Arial"/>
                <w:sz w:val="15"/>
                <w:szCs w:val="15"/>
                <w:b w:val="1"/>
                <w:bCs w:val="1"/>
                <w:color w:val="auto"/>
              </w:rPr>
              <w:t>Accum.</w:t>
            </w:r>
          </w:p>
        </w:tc>
        <w:tc>
          <w:tcPr>
            <w:tcW w:w="200" w:type="dxa"/>
            <w:vAlign w:val="bottom"/>
          </w:tcPr>
          <w:p>
            <w:pPr>
              <w:spacing w:after="0"/>
              <w:rPr>
                <w:sz w:val="13"/>
                <w:szCs w:val="13"/>
                <w:color w:val="auto"/>
              </w:rPr>
            </w:pPr>
          </w:p>
        </w:tc>
        <w:tc>
          <w:tcPr>
            <w:tcW w:w="460" w:type="dxa"/>
            <w:vAlign w:val="bottom"/>
          </w:tcPr>
          <w:p>
            <w:pPr>
              <w:jc w:val="right"/>
              <w:ind w:right="103"/>
              <w:spacing w:after="0" w:line="151" w:lineRule="exact"/>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194"/>
        </w:trPr>
        <w:tc>
          <w:tcPr>
            <w:tcW w:w="2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70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amort.</w:t>
            </w:r>
          </w:p>
        </w:tc>
        <w:tc>
          <w:tcPr>
            <w:tcW w:w="64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6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amort.</w:t>
            </w:r>
          </w:p>
        </w:tc>
        <w:tc>
          <w:tcPr>
            <w:tcW w:w="68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value</w:t>
            </w:r>
          </w:p>
        </w:tc>
        <w:tc>
          <w:tcPr>
            <w:tcW w:w="6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amort.</w:t>
            </w:r>
          </w:p>
        </w:tc>
        <w:tc>
          <w:tcPr>
            <w:tcW w:w="6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162"/>
        </w:trPr>
        <w:tc>
          <w:tcPr>
            <w:tcW w:w="2780" w:type="dxa"/>
            <w:vAlign w:val="bottom"/>
          </w:tcPr>
          <w:p>
            <w:pPr>
              <w:spacing w:after="0" w:line="16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8"/>
                <w:szCs w:val="8"/>
                <w:color w:val="auto"/>
              </w:rPr>
              <w:t>(1)</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Lease acquisition costs</w:t>
            </w:r>
          </w:p>
        </w:tc>
        <w:tc>
          <w:tcPr>
            <w:tcW w:w="28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125</w:t>
            </w:r>
          </w:p>
        </w:tc>
        <w:tc>
          <w:tcPr>
            <w:tcW w:w="26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10</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128</w:t>
            </w:r>
          </w:p>
        </w:tc>
        <w:tc>
          <w:tcPr>
            <w:tcW w:w="2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w:t>
            </w: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135</w:t>
            </w:r>
          </w:p>
        </w:tc>
        <w:tc>
          <w:tcPr>
            <w:tcW w:w="2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2"/>
        </w:trPr>
        <w:tc>
          <w:tcPr>
            <w:tcW w:w="2780" w:type="dxa"/>
            <w:vAlign w:val="bottom"/>
          </w:tcPr>
          <w:p>
            <w:pPr>
              <w:ind w:left="320"/>
              <w:spacing w:after="0"/>
              <w:rPr>
                <w:sz w:val="20"/>
                <w:szCs w:val="20"/>
                <w:color w:val="auto"/>
              </w:rPr>
            </w:pPr>
            <w:r>
              <w:rPr>
                <w:rFonts w:ascii="Arial" w:cs="Arial" w:eastAsia="Arial" w:hAnsi="Arial"/>
                <w:sz w:val="15"/>
                <w:szCs w:val="15"/>
                <w:color w:val="auto"/>
              </w:rPr>
              <w:t>Trademarks / trade names</w:t>
            </w:r>
          </w:p>
        </w:tc>
        <w:tc>
          <w:tcPr>
            <w:tcW w:w="28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b w:val="1"/>
                <w:bCs w:val="1"/>
                <w:color w:val="auto"/>
              </w:rPr>
              <w:t>20</w:t>
            </w:r>
          </w:p>
        </w:tc>
        <w:tc>
          <w:tcPr>
            <w:tcW w:w="26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(14)</w:t>
            </w:r>
          </w:p>
        </w:tc>
        <w:tc>
          <w:tcPr>
            <w:tcW w:w="160" w:type="dxa"/>
            <w:vAlign w:val="bottom"/>
          </w:tcPr>
          <w:p>
            <w:pPr>
              <w:spacing w:after="0"/>
              <w:rPr>
                <w:sz w:val="15"/>
                <w:szCs w:val="15"/>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6</w:t>
            </w:r>
          </w:p>
        </w:tc>
        <w:tc>
          <w:tcPr>
            <w:tcW w:w="26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20</w:t>
            </w: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w:t>
            </w:r>
          </w:p>
        </w:tc>
        <w:tc>
          <w:tcPr>
            <w:tcW w:w="180" w:type="dxa"/>
            <w:vAlign w:val="bottom"/>
          </w:tcPr>
          <w:p>
            <w:pPr>
              <w:spacing w:after="0"/>
              <w:rPr>
                <w:sz w:val="15"/>
                <w:szCs w:val="15"/>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7</w:t>
            </w:r>
          </w:p>
        </w:tc>
        <w:tc>
          <w:tcPr>
            <w:tcW w:w="26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20</w:t>
            </w: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(14)</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2"/>
        </w:trPr>
        <w:tc>
          <w:tcPr>
            <w:tcW w:w="2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Favorable leases</w:t>
            </w:r>
          </w:p>
        </w:tc>
        <w:tc>
          <w:tcPr>
            <w:tcW w:w="2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w:t>
            </w: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w:t>
            </w:r>
          </w:p>
        </w:tc>
        <w:tc>
          <w:tcPr>
            <w:tcW w:w="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w:t>
            </w:r>
          </w:p>
        </w:tc>
        <w:tc>
          <w:tcPr>
            <w:tcW w:w="2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w:t>
            </w: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2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w:t>
            </w:r>
          </w:p>
        </w:tc>
        <w:tc>
          <w:tcPr>
            <w:tcW w:w="2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2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152</w:t>
            </w:r>
          </w:p>
        </w:tc>
        <w:tc>
          <w:tcPr>
            <w:tcW w:w="26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(135)</w:t>
            </w:r>
          </w:p>
        </w:tc>
        <w:tc>
          <w:tcPr>
            <w:tcW w:w="1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17</w:t>
            </w:r>
          </w:p>
        </w:tc>
        <w:tc>
          <w:tcPr>
            <w:tcW w:w="26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155</w:t>
            </w:r>
          </w:p>
        </w:tc>
        <w:tc>
          <w:tcPr>
            <w:tcW w:w="26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(134)</w:t>
            </w:r>
          </w:p>
        </w:tc>
        <w:tc>
          <w:tcPr>
            <w:tcW w:w="1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23"/>
              <w:spacing w:after="0" w:line="163" w:lineRule="exact"/>
              <w:rPr>
                <w:sz w:val="20"/>
                <w:szCs w:val="20"/>
                <w:color w:val="auto"/>
              </w:rPr>
            </w:pPr>
            <w:r>
              <w:rPr>
                <w:rFonts w:ascii="Arial" w:cs="Arial" w:eastAsia="Arial" w:hAnsi="Arial"/>
                <w:sz w:val="15"/>
                <w:szCs w:val="15"/>
                <w:color w:val="auto"/>
              </w:rPr>
              <w:t>21</w:t>
            </w:r>
          </w:p>
        </w:tc>
        <w:tc>
          <w:tcPr>
            <w:tcW w:w="260" w:type="dxa"/>
            <w:vAlign w:val="bottom"/>
            <w:tcBorders>
              <w:bottom w:val="single" w:sz="8" w:color="auto"/>
            </w:tcBorders>
          </w:tcPr>
          <w:p>
            <w:pPr>
              <w:jc w:val="right"/>
              <w:ind w:right="23"/>
              <w:spacing w:after="0" w:line="163"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162</w:t>
            </w:r>
          </w:p>
        </w:tc>
        <w:tc>
          <w:tcPr>
            <w:tcW w:w="28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(142)</w:t>
            </w:r>
          </w:p>
        </w:tc>
        <w:tc>
          <w:tcPr>
            <w:tcW w:w="2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8"/>
                <w:szCs w:val="8"/>
                <w:color w:val="auto"/>
              </w:rPr>
              <w:t>(1)</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80" w:type="dxa"/>
            <w:vAlign w:val="bottom"/>
          </w:tcPr>
          <w:p>
            <w:pPr>
              <w:ind w:left="320"/>
              <w:spacing w:after="0"/>
              <w:rPr>
                <w:sz w:val="20"/>
                <w:szCs w:val="20"/>
                <w:color w:val="auto"/>
              </w:rPr>
            </w:pPr>
            <w:r>
              <w:rPr>
                <w:rFonts w:ascii="Arial" w:cs="Arial" w:eastAsia="Arial" w:hAnsi="Arial"/>
                <w:sz w:val="15"/>
                <w:szCs w:val="15"/>
                <w:color w:val="auto"/>
              </w:rPr>
              <w:t>Runners Point Group trademarks /</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8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24</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trade names</w:t>
            </w: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24</w:t>
            </w: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7"/>
        </w:trPr>
        <w:tc>
          <w:tcPr>
            <w:tcW w:w="278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Other intangible assets, net</w:t>
            </w:r>
          </w:p>
        </w:tc>
        <w:tc>
          <w:tcPr>
            <w:tcW w:w="2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shd w:val="clear" w:color="auto" w:fill="CCEEFF"/>
          </w:tcPr>
          <w:p>
            <w:pPr>
              <w:jc w:val="right"/>
              <w:ind w:right="3"/>
              <w:spacing w:after="0" w:line="163" w:lineRule="exact"/>
              <w:rPr>
                <w:sz w:val="20"/>
                <w:szCs w:val="20"/>
                <w:color w:val="auto"/>
              </w:rPr>
            </w:pPr>
            <w:r>
              <w:rPr>
                <w:rFonts w:ascii="Arial" w:cs="Arial" w:eastAsia="Arial" w:hAnsi="Arial"/>
                <w:sz w:val="15"/>
                <w:szCs w:val="15"/>
                <w:b w:val="1"/>
                <w:bCs w:val="1"/>
                <w:color w:val="auto"/>
              </w:rPr>
              <w:t>41</w:t>
            </w:r>
          </w:p>
        </w:tc>
        <w:tc>
          <w:tcPr>
            <w:tcW w:w="2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CCEEFF"/>
          </w:tcPr>
          <w:p>
            <w:pPr>
              <w:jc w:val="right"/>
              <w:ind w:right="23"/>
              <w:spacing w:after="0" w:line="163" w:lineRule="exact"/>
              <w:rPr>
                <w:sz w:val="20"/>
                <w:szCs w:val="20"/>
                <w:color w:val="auto"/>
              </w:rPr>
            </w:pPr>
            <w:r>
              <w:rPr>
                <w:rFonts w:ascii="Arial" w:cs="Arial" w:eastAsia="Arial" w:hAnsi="Arial"/>
                <w:sz w:val="15"/>
                <w:szCs w:val="15"/>
                <w:color w:val="auto"/>
              </w:rPr>
              <w:t>45</w:t>
            </w:r>
          </w:p>
        </w:tc>
        <w:tc>
          <w:tcPr>
            <w:tcW w:w="2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140" w:hanging="375"/>
        <w:spacing w:after="0" w:line="246" w:lineRule="auto"/>
        <w:tabs>
          <w:tab w:leader="none" w:pos="660" w:val="left"/>
        </w:tabs>
        <w:numPr>
          <w:ilvl w:val="0"/>
          <w:numId w:val="6"/>
        </w:numPr>
        <w:rPr>
          <w:rFonts w:ascii="Arial" w:cs="Arial" w:eastAsia="Arial" w:hAnsi="Arial"/>
          <w:sz w:val="11"/>
          <w:szCs w:val="11"/>
          <w:color w:val="auto"/>
        </w:rPr>
      </w:pPr>
      <w:r>
        <w:rPr>
          <w:rFonts w:ascii="Arial" w:cs="Arial" w:eastAsia="Arial" w:hAnsi="Arial"/>
          <w:sz w:val="12"/>
          <w:szCs w:val="12"/>
          <w:color w:val="auto"/>
        </w:rPr>
        <w:t>The change in the ending balances also reflects the effect of foreign currency fluctuations due primarily to the movements of the euro in relation to the U.S. dollar.</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The annual review of intangible assets with indefinite lives performed during the first quarter of 2018 did not result in the recognition of impairment. Amortization expense recorded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5"/>
                <w:szCs w:val="15"/>
                <w:b w:val="1"/>
                <w:bCs w:val="1"/>
                <w:color w:val="auto"/>
              </w:rPr>
              <w:t>Thirteen weeks ended</w:t>
            </w: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Twenty-six weeks ended</w:t>
            </w:r>
          </w:p>
        </w:tc>
        <w:tc>
          <w:tcPr>
            <w:tcW w:w="4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August 4, 2018</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July 29, 2017</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203"/>
              <w:spacing w:after="0"/>
              <w:rPr>
                <w:sz w:val="20"/>
                <w:szCs w:val="20"/>
                <w:color w:val="auto"/>
              </w:rPr>
            </w:pPr>
            <w:r>
              <w:rPr>
                <w:rFonts w:ascii="Arial" w:cs="Arial" w:eastAsia="Arial" w:hAnsi="Arial"/>
                <w:sz w:val="15"/>
                <w:szCs w:val="15"/>
                <w:b w:val="1"/>
                <w:bCs w:val="1"/>
                <w:color w:val="auto"/>
              </w:rPr>
              <w:t>August 4, 2018</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5"/>
                <w:szCs w:val="15"/>
                <w:b w:val="1"/>
                <w:bCs w:val="1"/>
                <w:color w:val="auto"/>
              </w:rPr>
              <w:t>July 29, 2017</w:t>
            </w:r>
          </w:p>
        </w:tc>
        <w:tc>
          <w:tcPr>
            <w:tcW w:w="20" w:type="dxa"/>
            <w:vAlign w:val="bottom"/>
          </w:tcPr>
          <w:p>
            <w:pPr>
              <w:spacing w:after="0"/>
              <w:rPr>
                <w:sz w:val="16"/>
                <w:szCs w:val="16"/>
                <w:color w:val="auto"/>
              </w:rPr>
            </w:pPr>
          </w:p>
        </w:tc>
      </w:tr>
      <w:tr>
        <w:trPr>
          <w:trHeight w:val="187"/>
        </w:trPr>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Amortization expense</w:t>
            </w:r>
          </w:p>
        </w:tc>
        <w:tc>
          <w:tcPr>
            <w:tcW w:w="1300" w:type="dxa"/>
            <w:vAlign w:val="bottom"/>
            <w:tcBorders>
              <w:bottom w:val="single" w:sz="8" w:color="auto"/>
            </w:tcBorders>
            <w:shd w:val="clear" w:color="auto" w:fill="CCEEFF"/>
          </w:tcPr>
          <w:p>
            <w:pPr>
              <w:jc w:val="right"/>
              <w:ind w:right="943"/>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1</w:t>
            </w:r>
          </w:p>
        </w:tc>
        <w:tc>
          <w:tcPr>
            <w:tcW w:w="1320" w:type="dxa"/>
            <w:vAlign w:val="bottom"/>
            <w:tcBorders>
              <w:bottom w:val="single" w:sz="8" w:color="auto"/>
            </w:tcBorders>
            <w:shd w:val="clear" w:color="auto" w:fill="CCEEFF"/>
          </w:tcPr>
          <w:p>
            <w:pPr>
              <w:jc w:val="right"/>
              <w:ind w:right="943"/>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rPr>
              <w:t>1</w:t>
            </w:r>
          </w:p>
        </w:tc>
        <w:tc>
          <w:tcPr>
            <w:tcW w:w="4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6"/>
                <w:szCs w:val="16"/>
                <w:color w:val="auto"/>
              </w:rPr>
            </w:pPr>
          </w:p>
        </w:tc>
      </w:tr>
      <w:tr>
        <w:trPr>
          <w:trHeight w:val="306"/>
        </w:trPr>
        <w:tc>
          <w:tcPr>
            <w:tcW w:w="5760" w:type="dxa"/>
            <w:vAlign w:val="bottom"/>
            <w:gridSpan w:val="4"/>
          </w:tcPr>
          <w:p>
            <w:pPr>
              <w:spacing w:after="0"/>
              <w:rPr>
                <w:sz w:val="20"/>
                <w:szCs w:val="20"/>
                <w:color w:val="auto"/>
              </w:rPr>
            </w:pPr>
            <w:r>
              <w:rPr>
                <w:rFonts w:ascii="Arial" w:cs="Arial" w:eastAsia="Arial" w:hAnsi="Arial"/>
                <w:sz w:val="15"/>
                <w:szCs w:val="15"/>
                <w:color w:val="auto"/>
              </w:rPr>
              <w:t>Estimated future amortization expense for finite-life intangible assets is as follows:</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2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ind w:left="100"/>
              <w:spacing w:after="0"/>
              <w:rPr>
                <w:sz w:val="20"/>
                <w:szCs w:val="20"/>
                <w:color w:val="auto"/>
              </w:rPr>
            </w:pPr>
            <w:r>
              <w:rPr>
                <w:rFonts w:ascii="Arial" w:cs="Arial" w:eastAsia="Arial" w:hAnsi="Arial"/>
                <w:sz w:val="15"/>
                <w:szCs w:val="15"/>
                <w:color w:val="auto"/>
              </w:rPr>
              <w:t>($ in millions)</w:t>
            </w:r>
          </w:p>
        </w:tc>
      </w:tr>
      <w:tr>
        <w:trPr>
          <w:trHeight w:val="187"/>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Remainder of 2018</w:t>
            </w:r>
          </w:p>
        </w:tc>
        <w:tc>
          <w:tcPr>
            <w:tcW w:w="1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6"/>
                <w:szCs w:val="16"/>
                <w:color w:val="auto"/>
              </w:rPr>
            </w:pPr>
          </w:p>
        </w:tc>
      </w:tr>
      <w:tr>
        <w:trPr>
          <w:trHeight w:val="207"/>
        </w:trPr>
        <w:tc>
          <w:tcPr>
            <w:tcW w:w="2980" w:type="dxa"/>
            <w:vAlign w:val="bottom"/>
          </w:tcPr>
          <w:p>
            <w:pPr>
              <w:spacing w:after="0"/>
              <w:rPr>
                <w:sz w:val="20"/>
                <w:szCs w:val="20"/>
                <w:color w:val="auto"/>
              </w:rPr>
            </w:pPr>
            <w:r>
              <w:rPr>
                <w:rFonts w:ascii="Arial" w:cs="Arial" w:eastAsia="Arial" w:hAnsi="Arial"/>
                <w:sz w:val="15"/>
                <w:szCs w:val="15"/>
                <w:color w:val="auto"/>
              </w:rPr>
              <w:t>2019</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7"/>
                <w:szCs w:val="17"/>
                <w:color w:val="auto"/>
              </w:rPr>
            </w:pPr>
          </w:p>
        </w:tc>
      </w:tr>
      <w:tr>
        <w:trPr>
          <w:trHeight w:val="207"/>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r>
      <w:tr>
        <w:trPr>
          <w:trHeight w:val="207"/>
        </w:trPr>
        <w:tc>
          <w:tcPr>
            <w:tcW w:w="2980" w:type="dxa"/>
            <w:vAlign w:val="bottom"/>
          </w:tcPr>
          <w:p>
            <w:pPr>
              <w:spacing w:after="0"/>
              <w:rPr>
                <w:sz w:val="20"/>
                <w:szCs w:val="20"/>
                <w:color w:val="auto"/>
              </w:rPr>
            </w:pPr>
            <w:r>
              <w:rPr>
                <w:rFonts w:ascii="Arial" w:cs="Arial" w:eastAsia="Arial" w:hAnsi="Arial"/>
                <w:sz w:val="15"/>
                <w:szCs w:val="15"/>
                <w:color w:val="auto"/>
              </w:rPr>
              <w:t>2021</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r>
      <w:tr>
        <w:trPr>
          <w:trHeight w:val="207"/>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r>
      <w:tr>
        <w:trPr>
          <w:trHeight w:val="207"/>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2023</w:t>
            </w:r>
          </w:p>
        </w:tc>
        <w:tc>
          <w:tcPr>
            <w:tcW w:w="1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r>
      <w:tr>
        <w:trPr>
          <w:trHeight w:val="330"/>
        </w:trPr>
        <w:tc>
          <w:tcPr>
            <w:tcW w:w="4280" w:type="dxa"/>
            <w:vAlign w:val="bottom"/>
            <w:gridSpan w:val="2"/>
          </w:tcPr>
          <w:p>
            <w:pPr>
              <w:spacing w:after="0"/>
              <w:rPr>
                <w:sz w:val="20"/>
                <w:szCs w:val="20"/>
                <w:color w:val="auto"/>
              </w:rPr>
            </w:pPr>
            <w:r>
              <w:rPr>
                <w:rFonts w:ascii="Arial" w:cs="Arial" w:eastAsia="Arial" w:hAnsi="Arial"/>
                <w:sz w:val="15"/>
                <w:szCs w:val="15"/>
                <w:b w:val="1"/>
                <w:bCs w:val="1"/>
                <w:color w:val="auto"/>
              </w:rPr>
              <w:t>8. Accumulated Other Comprehensive Loss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6240" w:type="dxa"/>
            <w:vAlign w:val="bottom"/>
            <w:gridSpan w:val="5"/>
          </w:tcPr>
          <w:p>
            <w:pPr>
              <w:spacing w:after="0"/>
              <w:rPr>
                <w:sz w:val="20"/>
                <w:szCs w:val="20"/>
                <w:color w:val="auto"/>
              </w:rPr>
            </w:pPr>
            <w:r>
              <w:rPr>
                <w:rFonts w:ascii="Arial" w:cs="Arial" w:eastAsia="Arial" w:hAnsi="Arial"/>
                <w:sz w:val="15"/>
                <w:szCs w:val="15"/>
                <w:color w:val="auto"/>
              </w:rPr>
              <w:t>Accumulated other comprehensive loss (“AOCL”), net of tax, is comprised of the following:</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2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283"/>
              <w:spacing w:after="0"/>
              <w:rPr>
                <w:sz w:val="20"/>
                <w:szCs w:val="20"/>
                <w:color w:val="auto"/>
              </w:rPr>
            </w:pPr>
            <w:r>
              <w:rPr>
                <w:rFonts w:ascii="Arial" w:cs="Arial" w:eastAsia="Arial" w:hAnsi="Arial"/>
                <w:sz w:val="15"/>
                <w:szCs w:val="15"/>
                <w:b w:val="1"/>
                <w:bCs w:val="1"/>
                <w:color w:val="auto"/>
              </w:rPr>
              <w:t>August 4,</w:t>
            </w:r>
          </w:p>
        </w:tc>
        <w:tc>
          <w:tcPr>
            <w:tcW w:w="460" w:type="dxa"/>
            <w:vAlign w:val="bottom"/>
          </w:tcPr>
          <w:p>
            <w:pPr>
              <w:spacing w:after="0"/>
              <w:rPr>
                <w:sz w:val="19"/>
                <w:szCs w:val="19"/>
                <w:color w:val="auto"/>
              </w:rPr>
            </w:pPr>
          </w:p>
        </w:tc>
        <w:tc>
          <w:tcPr>
            <w:tcW w:w="1000" w:type="dxa"/>
            <w:vAlign w:val="bottom"/>
          </w:tcPr>
          <w:p>
            <w:pPr>
              <w:jc w:val="right"/>
              <w:ind w:right="323"/>
              <w:spacing w:after="0"/>
              <w:rPr>
                <w:sz w:val="20"/>
                <w:szCs w:val="20"/>
                <w:color w:val="auto"/>
              </w:rPr>
            </w:pPr>
            <w:r>
              <w:rPr>
                <w:rFonts w:ascii="Arial" w:cs="Arial" w:eastAsia="Arial" w:hAnsi="Arial"/>
                <w:sz w:val="15"/>
                <w:szCs w:val="15"/>
                <w:b w:val="1"/>
                <w:bCs w:val="1"/>
                <w:color w:val="auto"/>
              </w:rPr>
              <w:t>July 29,</w:t>
            </w:r>
          </w:p>
        </w:tc>
        <w:tc>
          <w:tcPr>
            <w:tcW w:w="220" w:type="dxa"/>
            <w:vAlign w:val="bottom"/>
          </w:tcPr>
          <w:p>
            <w:pPr>
              <w:spacing w:after="0"/>
              <w:rPr>
                <w:sz w:val="19"/>
                <w:szCs w:val="19"/>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5"/>
                <w:szCs w:val="15"/>
                <w:b w:val="1"/>
                <w:bCs w:val="1"/>
                <w:color w:val="auto"/>
              </w:rPr>
              <w:t>February 3,</w:t>
            </w:r>
          </w:p>
        </w:tc>
      </w:tr>
      <w:tr>
        <w:trPr>
          <w:trHeight w:val="194"/>
        </w:trPr>
        <w:tc>
          <w:tcPr>
            <w:tcW w:w="2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2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320"/>
              <w:spacing w:after="0"/>
              <w:rPr>
                <w:sz w:val="20"/>
                <w:szCs w:val="20"/>
                <w:color w:val="auto"/>
              </w:rPr>
            </w:pPr>
            <w:r>
              <w:rPr>
                <w:rFonts w:ascii="Arial" w:cs="Arial" w:eastAsia="Arial" w:hAnsi="Arial"/>
                <w:sz w:val="15"/>
                <w:szCs w:val="15"/>
                <w:color w:val="auto"/>
              </w:rPr>
              <w:t>($ in millions)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23"/>
              <w:spacing w:after="0"/>
              <w:rPr>
                <w:sz w:val="20"/>
                <w:szCs w:val="20"/>
                <w:color w:val="auto"/>
              </w:rPr>
            </w:pPr>
            <w:r>
              <w:rPr>
                <w:rFonts w:ascii="Arial" w:cs="Arial" w:eastAsia="Arial" w:hAnsi="Arial"/>
                <w:sz w:val="15"/>
                <w:szCs w:val="15"/>
                <w:b w:val="1"/>
                <w:bCs w:val="1"/>
                <w:color w:val="auto"/>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(67)</w:t>
            </w:r>
          </w:p>
        </w:tc>
        <w:tc>
          <w:tcPr>
            <w:tcW w:w="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6"/>
                <w:szCs w:val="16"/>
                <w:color w:val="auto"/>
              </w:rPr>
            </w:pPr>
          </w:p>
        </w:tc>
      </w:tr>
      <w:tr>
        <w:trPr>
          <w:trHeight w:val="207"/>
        </w:trPr>
        <w:tc>
          <w:tcPr>
            <w:tcW w:w="2980" w:type="dxa"/>
            <w:vAlign w:val="bottom"/>
          </w:tcPr>
          <w:p>
            <w:pPr>
              <w:spacing w:after="0"/>
              <w:rPr>
                <w:sz w:val="20"/>
                <w:szCs w:val="20"/>
                <w:color w:val="auto"/>
              </w:rPr>
            </w:pPr>
            <w:r>
              <w:rPr>
                <w:rFonts w:ascii="Arial" w:cs="Arial" w:eastAsia="Arial" w:hAnsi="Arial"/>
                <w:sz w:val="15"/>
                <w:szCs w:val="15"/>
                <w:color w:val="auto"/>
              </w:rPr>
              <w:t>Cash flow hedges</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jc w:val="right"/>
              <w:ind w:right="43"/>
              <w:spacing w:after="0"/>
              <w:rPr>
                <w:sz w:val="20"/>
                <w:szCs w:val="20"/>
                <w:color w:val="auto"/>
              </w:rPr>
            </w:pPr>
            <w:r>
              <w:rPr>
                <w:rFonts w:ascii="Arial" w:cs="Arial" w:eastAsia="Arial" w:hAnsi="Arial"/>
                <w:sz w:val="15"/>
                <w:szCs w:val="15"/>
                <w:b w:val="1"/>
                <w:bCs w:val="1"/>
                <w:color w:val="auto"/>
              </w:rPr>
              <w:t>1</w:t>
            </w:r>
          </w:p>
        </w:tc>
        <w:tc>
          <w:tcPr>
            <w:tcW w:w="46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207"/>
        </w:trPr>
        <w:tc>
          <w:tcPr>
            <w:tcW w:w="42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Unrecognized pension cost and postretirement benefit</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(274)</w:t>
            </w:r>
          </w:p>
        </w:tc>
        <w:tc>
          <w:tcPr>
            <w:tcW w:w="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w:t>
            </w:r>
          </w:p>
        </w:tc>
        <w:tc>
          <w:tcPr>
            <w:tcW w:w="20" w:type="dxa"/>
            <w:vAlign w:val="bottom"/>
          </w:tcPr>
          <w:p>
            <w:pPr>
              <w:spacing w:after="0"/>
              <w:rPr>
                <w:sz w:val="17"/>
                <w:szCs w:val="17"/>
                <w:color w:val="auto"/>
              </w:rPr>
            </w:pPr>
          </w:p>
        </w:tc>
      </w:tr>
      <w:tr>
        <w:trPr>
          <w:trHeight w:val="179"/>
        </w:trPr>
        <w:tc>
          <w:tcPr>
            <w:tcW w:w="2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523"/>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(340)</w:t>
            </w:r>
          </w:p>
        </w:tc>
        <w:tc>
          <w:tcPr>
            <w:tcW w:w="460" w:type="dxa"/>
            <w:vAlign w:val="bottom"/>
          </w:tcPr>
          <w:p>
            <w:pPr>
              <w:ind w:left="3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(284)</w:t>
            </w:r>
          </w:p>
        </w:tc>
        <w:tc>
          <w:tcPr>
            <w:tcW w:w="220" w:type="dxa"/>
            <w:vAlign w:val="bottom"/>
          </w:tcPr>
          <w:p>
            <w:pPr>
              <w:spacing w:after="0"/>
              <w:rPr>
                <w:sz w:val="15"/>
                <w:szCs w:val="15"/>
                <w:color w:val="auto"/>
              </w:rPr>
            </w:pPr>
          </w:p>
        </w:tc>
        <w:tc>
          <w:tcPr>
            <w:tcW w:w="780" w:type="dxa"/>
            <w:vAlign w:val="bottom"/>
          </w:tcPr>
          <w:p>
            <w:pPr>
              <w:ind w:left="100"/>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(279)</w:t>
            </w:r>
          </w:p>
        </w:tc>
      </w:tr>
      <w:tr>
        <w:trPr>
          <w:trHeight w:val="715"/>
        </w:trPr>
        <w:tc>
          <w:tcPr>
            <w:tcW w:w="29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1083"/>
              <w:spacing w:after="0"/>
              <w:rPr>
                <w:sz w:val="20"/>
                <w:szCs w:val="20"/>
                <w:color w:val="auto"/>
              </w:rPr>
            </w:pPr>
            <w:r>
              <w:rPr>
                <w:rFonts w:ascii="Arial" w:cs="Arial" w:eastAsia="Arial" w:hAnsi="Arial"/>
                <w:sz w:val="15"/>
                <w:szCs w:val="15"/>
                <w:color w:val="auto"/>
              </w:rPr>
              <w:t>9</w:t>
            </w:r>
          </w:p>
        </w:tc>
        <w:tc>
          <w:tcPr>
            <w:tcW w:w="4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29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298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1" w:name="page12"/>
    <w:bookmarkEnd w:id="11"/>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gridSpan w:val="4"/>
          </w:tcPr>
          <w:p>
            <w:pPr>
              <w:spacing w:after="0"/>
              <w:rPr>
                <w:sz w:val="20"/>
                <w:szCs w:val="20"/>
                <w:color w:val="auto"/>
              </w:rPr>
            </w:pPr>
            <w:r>
              <w:rPr>
                <w:rFonts w:ascii="Arial" w:cs="Arial" w:eastAsia="Arial" w:hAnsi="Arial"/>
                <w:sz w:val="15"/>
                <w:szCs w:val="15"/>
                <w:color w:val="auto"/>
              </w:rPr>
              <w:t>The changes in AOCL for the twenty-six weeks ended August 4, 2018 were as follows:</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5"/>
        </w:trPr>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gridSpan w:val="2"/>
          </w:tcPr>
          <w:p>
            <w:pPr>
              <w:jc w:val="center"/>
              <w:ind w:right="103"/>
              <w:spacing w:after="0"/>
              <w:rPr>
                <w:sz w:val="20"/>
                <w:szCs w:val="20"/>
                <w:color w:val="auto"/>
              </w:rPr>
            </w:pPr>
            <w:r>
              <w:rPr>
                <w:rFonts w:ascii="Arial" w:cs="Arial" w:eastAsia="Arial" w:hAnsi="Arial"/>
                <w:sz w:val="15"/>
                <w:szCs w:val="15"/>
                <w:b w:val="1"/>
                <w:bCs w:val="1"/>
                <w:color w:val="auto"/>
              </w:rPr>
              <w:t>Items Related</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2"/>
        </w:trPr>
        <w:tc>
          <w:tcPr>
            <w:tcW w:w="3380" w:type="dxa"/>
            <w:vAlign w:val="bottom"/>
          </w:tcPr>
          <w:p>
            <w:pPr>
              <w:spacing w:after="0"/>
              <w:rPr>
                <w:sz w:val="15"/>
                <w:szCs w:val="15"/>
                <w:color w:val="auto"/>
              </w:rPr>
            </w:pPr>
          </w:p>
        </w:tc>
        <w:tc>
          <w:tcPr>
            <w:tcW w:w="1500" w:type="dxa"/>
            <w:vAlign w:val="bottom"/>
            <w:gridSpan w:val="2"/>
          </w:tcPr>
          <w:p>
            <w:pPr>
              <w:jc w:val="center"/>
              <w:ind w:right="103"/>
              <w:spacing w:after="0"/>
              <w:rPr>
                <w:sz w:val="20"/>
                <w:szCs w:val="20"/>
                <w:color w:val="auto"/>
              </w:rPr>
            </w:pPr>
            <w:r>
              <w:rPr>
                <w:rFonts w:ascii="Arial" w:cs="Arial" w:eastAsia="Arial" w:hAnsi="Arial"/>
                <w:sz w:val="15"/>
                <w:szCs w:val="15"/>
                <w:b w:val="1"/>
                <w:bCs w:val="1"/>
                <w:color w:val="auto"/>
              </w:rPr>
              <w:t>Foreign Currency</w:t>
            </w: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gridSpan w:val="2"/>
          </w:tcPr>
          <w:p>
            <w:pPr>
              <w:jc w:val="center"/>
              <w:ind w:right="103"/>
              <w:spacing w:after="0"/>
              <w:rPr>
                <w:sz w:val="20"/>
                <w:szCs w:val="20"/>
                <w:color w:val="auto"/>
              </w:rPr>
            </w:pPr>
            <w:r>
              <w:rPr>
                <w:rFonts w:ascii="Arial" w:cs="Arial" w:eastAsia="Arial" w:hAnsi="Arial"/>
                <w:sz w:val="15"/>
                <w:szCs w:val="15"/>
                <w:b w:val="1"/>
                <w:bCs w:val="1"/>
                <w:color w:val="auto"/>
              </w:rPr>
              <w:t>to Pension and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3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343"/>
              <w:spacing w:after="0"/>
              <w:rPr>
                <w:sz w:val="20"/>
                <w:szCs w:val="20"/>
                <w:color w:val="auto"/>
              </w:rPr>
            </w:pPr>
            <w:r>
              <w:rPr>
                <w:rFonts w:ascii="Arial" w:cs="Arial" w:eastAsia="Arial" w:hAnsi="Arial"/>
                <w:sz w:val="15"/>
                <w:szCs w:val="15"/>
                <w:b w:val="1"/>
                <w:bCs w:val="1"/>
                <w:color w:val="auto"/>
              </w:rPr>
              <w:t>Translation</w:t>
            </w: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Cash Flow</w:t>
            </w:r>
          </w:p>
        </w:tc>
        <w:tc>
          <w:tcPr>
            <w:tcW w:w="420" w:type="dxa"/>
            <w:vAlign w:val="bottom"/>
          </w:tcPr>
          <w:p>
            <w:pPr>
              <w:spacing w:after="0"/>
              <w:rPr>
                <w:sz w:val="15"/>
                <w:szCs w:val="15"/>
                <w:color w:val="auto"/>
              </w:rPr>
            </w:pPr>
          </w:p>
        </w:tc>
        <w:tc>
          <w:tcPr>
            <w:tcW w:w="1380" w:type="dxa"/>
            <w:vAlign w:val="bottom"/>
            <w:gridSpan w:val="2"/>
          </w:tcPr>
          <w:p>
            <w:pPr>
              <w:jc w:val="center"/>
              <w:ind w:right="103"/>
              <w:spacing w:after="0"/>
              <w:rPr>
                <w:sz w:val="20"/>
                <w:szCs w:val="20"/>
                <w:color w:val="auto"/>
              </w:rPr>
            </w:pPr>
            <w:r>
              <w:rPr>
                <w:rFonts w:ascii="Arial" w:cs="Arial" w:eastAsia="Arial" w:hAnsi="Arial"/>
                <w:sz w:val="15"/>
                <w:szCs w:val="15"/>
                <w:b w:val="1"/>
                <w:bCs w:val="1"/>
                <w:color w:val="auto"/>
              </w:rPr>
              <w:t>Postretirement</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3380" w:type="dxa"/>
            <w:vAlign w:val="bottom"/>
          </w:tcPr>
          <w:p>
            <w:pPr>
              <w:spacing w:after="0"/>
              <w:rPr>
                <w:sz w:val="20"/>
                <w:szCs w:val="20"/>
                <w:color w:val="auto"/>
              </w:rPr>
            </w:pPr>
            <w:r>
              <w:rPr>
                <w:rFonts w:ascii="Arial" w:cs="Arial" w:eastAsia="Arial" w:hAnsi="Arial"/>
                <w:sz w:val="15"/>
                <w:szCs w:val="15"/>
                <w:color w:val="auto"/>
              </w:rPr>
              <w:t>($ in millions)</w:t>
            </w:r>
          </w:p>
        </w:tc>
        <w:tc>
          <w:tcPr>
            <w:tcW w:w="1500" w:type="dxa"/>
            <w:vAlign w:val="bottom"/>
            <w:gridSpan w:val="2"/>
          </w:tcPr>
          <w:p>
            <w:pPr>
              <w:jc w:val="center"/>
              <w:ind w:right="103"/>
              <w:spacing w:after="0"/>
              <w:rPr>
                <w:sz w:val="20"/>
                <w:szCs w:val="20"/>
                <w:color w:val="auto"/>
              </w:rPr>
            </w:pPr>
            <w:r>
              <w:rPr>
                <w:rFonts w:ascii="Arial" w:cs="Arial" w:eastAsia="Arial" w:hAnsi="Arial"/>
                <w:sz w:val="15"/>
                <w:szCs w:val="15"/>
                <w:b w:val="1"/>
                <w:bCs w:val="1"/>
                <w:color w:val="auto"/>
              </w:rPr>
              <w:t>Adjustments</w:t>
            </w:r>
          </w:p>
        </w:tc>
        <w:tc>
          <w:tcPr>
            <w:tcW w:w="1100" w:type="dxa"/>
            <w:vAlign w:val="bottom"/>
          </w:tcPr>
          <w:p>
            <w:pPr>
              <w:jc w:val="right"/>
              <w:ind w:right="103"/>
              <w:spacing w:after="0"/>
              <w:rPr>
                <w:sz w:val="20"/>
                <w:szCs w:val="20"/>
                <w:color w:val="auto"/>
              </w:rPr>
            </w:pPr>
            <w:r>
              <w:rPr>
                <w:rFonts w:ascii="Arial" w:cs="Arial" w:eastAsia="Arial" w:hAnsi="Arial"/>
                <w:sz w:val="15"/>
                <w:szCs w:val="15"/>
                <w:b w:val="1"/>
                <w:bCs w:val="1"/>
                <w:color w:val="auto"/>
              </w:rPr>
              <w:t>Hedges</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343"/>
              <w:spacing w:after="0"/>
              <w:rPr>
                <w:sz w:val="20"/>
                <w:szCs w:val="20"/>
                <w:color w:val="auto"/>
              </w:rPr>
            </w:pPr>
            <w:r>
              <w:rPr>
                <w:rFonts w:ascii="Arial" w:cs="Arial" w:eastAsia="Arial" w:hAnsi="Arial"/>
                <w:sz w:val="15"/>
                <w:szCs w:val="15"/>
                <w:b w:val="1"/>
                <w:bCs w:val="1"/>
                <w:color w:val="auto"/>
              </w:rPr>
              <w:t>Benefits</w:t>
            </w:r>
          </w:p>
        </w:tc>
        <w:tc>
          <w:tcPr>
            <w:tcW w:w="26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Total</w:t>
            </w:r>
          </w:p>
        </w:tc>
      </w:tr>
      <w:tr>
        <w:trPr>
          <w:trHeight w:val="187"/>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Balance as of February 3, 2018</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(9)</w:t>
            </w:r>
          </w:p>
        </w:tc>
        <w:tc>
          <w:tcPr>
            <w:tcW w:w="1100" w:type="dxa"/>
            <w:vAlign w:val="bottom"/>
            <w:tcBorders>
              <w:top w:val="single" w:sz="8" w:color="auto"/>
            </w:tcBorders>
            <w:shd w:val="clear" w:color="auto" w:fill="CCEEFF"/>
          </w:tcPr>
          <w:p>
            <w:pPr>
              <w:jc w:val="right"/>
              <w:ind w:right="783"/>
              <w:spacing w:after="0"/>
              <w:rPr>
                <w:sz w:val="20"/>
                <w:szCs w:val="20"/>
                <w:color w:val="auto"/>
              </w:rPr>
            </w:pPr>
            <w:r>
              <w:rPr>
                <w:rFonts w:ascii="Arial" w:cs="Arial" w:eastAsia="Arial" w:hAnsi="Arial"/>
                <w:sz w:val="15"/>
                <w:szCs w:val="15"/>
                <w:color w:val="auto"/>
              </w:rPr>
              <w:t>$</w:t>
            </w:r>
          </w:p>
        </w:tc>
        <w:tc>
          <w:tcPr>
            <w:tcW w:w="420" w:type="dxa"/>
            <w:vAlign w:val="bottom"/>
            <w:tcBorders>
              <w:top w:val="single" w:sz="8" w:color="auto"/>
            </w:tcBorders>
            <w:shd w:val="clear" w:color="auto" w:fill="CCEEFF"/>
          </w:tcPr>
          <w:p>
            <w:pPr>
              <w:jc w:val="center"/>
              <w:ind w:right="63"/>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(270)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w:t>
            </w:r>
          </w:p>
        </w:tc>
        <w:tc>
          <w:tcPr>
            <w:tcW w:w="20" w:type="dxa"/>
            <w:vAlign w:val="bottom"/>
          </w:tcPr>
          <w:p>
            <w:pPr>
              <w:spacing w:after="0"/>
              <w:rPr>
                <w:sz w:val="16"/>
                <w:szCs w:val="16"/>
                <w:color w:val="auto"/>
              </w:rPr>
            </w:pPr>
          </w:p>
        </w:tc>
      </w:tr>
      <w:tr>
        <w:trPr>
          <w:trHeight w:val="207"/>
        </w:trPr>
        <w:tc>
          <w:tcPr>
            <w:tcW w:w="3380" w:type="dxa"/>
            <w:vAlign w:val="bottom"/>
          </w:tcPr>
          <w:p>
            <w:pPr>
              <w:spacing w:after="0"/>
              <w:rPr>
                <w:sz w:val="20"/>
                <w:szCs w:val="20"/>
                <w:color w:val="auto"/>
              </w:rPr>
            </w:pPr>
            <w:r>
              <w:rPr>
                <w:rFonts w:ascii="Arial" w:cs="Arial" w:eastAsia="Arial" w:hAnsi="Arial"/>
                <w:sz w:val="15"/>
                <w:szCs w:val="15"/>
                <w:color w:val="auto"/>
              </w:rPr>
              <w:t>OCI before reclassification</w:t>
            </w:r>
          </w:p>
        </w:tc>
        <w:tc>
          <w:tcPr>
            <w:tcW w:w="260" w:type="dxa"/>
            <w:vAlign w:val="bottom"/>
          </w:tcPr>
          <w:p>
            <w:pPr>
              <w:spacing w:after="0"/>
              <w:rPr>
                <w:sz w:val="17"/>
                <w:szCs w:val="17"/>
                <w:color w:val="auto"/>
              </w:rPr>
            </w:pPr>
          </w:p>
        </w:tc>
        <w:tc>
          <w:tcPr>
            <w:tcW w:w="1240" w:type="dxa"/>
            <w:vAlign w:val="bottom"/>
          </w:tcPr>
          <w:p>
            <w:pPr>
              <w:jc w:val="right"/>
              <w:ind w:right="83"/>
              <w:spacing w:after="0"/>
              <w:rPr>
                <w:sz w:val="20"/>
                <w:szCs w:val="20"/>
                <w:color w:val="auto"/>
              </w:rPr>
            </w:pPr>
            <w:r>
              <w:rPr>
                <w:rFonts w:ascii="Arial" w:cs="Arial" w:eastAsia="Arial" w:hAnsi="Arial"/>
                <w:sz w:val="15"/>
                <w:szCs w:val="15"/>
                <w:color w:val="auto"/>
              </w:rPr>
              <w:t>(58)</w:t>
            </w:r>
          </w:p>
        </w:tc>
        <w:tc>
          <w:tcPr>
            <w:tcW w:w="1100" w:type="dxa"/>
            <w:vAlign w:val="bottom"/>
          </w:tcPr>
          <w:p>
            <w:pPr>
              <w:spacing w:after="0"/>
              <w:rPr>
                <w:sz w:val="17"/>
                <w:szCs w:val="17"/>
                <w:color w:val="auto"/>
              </w:rPr>
            </w:pPr>
          </w:p>
        </w:tc>
        <w:tc>
          <w:tcPr>
            <w:tcW w:w="420" w:type="dxa"/>
            <w:vAlign w:val="bottom"/>
          </w:tcPr>
          <w:p>
            <w:pPr>
              <w:jc w:val="center"/>
              <w:ind w:right="83"/>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7"/>
                <w:szCs w:val="17"/>
                <w:color w:val="auto"/>
              </w:rPr>
            </w:pP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5"/>
                <w:szCs w:val="15"/>
                <w:color w:val="auto"/>
              </w:rPr>
              <w:t>(56)</w:t>
            </w:r>
          </w:p>
        </w:tc>
      </w:tr>
      <w:tr>
        <w:trPr>
          <w:trHeight w:val="177"/>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pension actuarial (gain)/loss,</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380" w:type="dxa"/>
            <w:vAlign w:val="bottom"/>
            <w:shd w:val="clear" w:color="auto" w:fill="CCEEFF"/>
          </w:tcPr>
          <w:p>
            <w:pPr>
              <w:ind w:left="80"/>
              <w:spacing w:after="0"/>
              <w:rPr>
                <w:sz w:val="20"/>
                <w:szCs w:val="20"/>
                <w:color w:val="auto"/>
              </w:rPr>
            </w:pPr>
            <w:r>
              <w:rPr>
                <w:rFonts w:ascii="Arial" w:cs="Arial" w:eastAsia="Arial" w:hAnsi="Arial"/>
                <w:sz w:val="15"/>
                <w:szCs w:val="15"/>
                <w:color w:val="auto"/>
              </w:rPr>
              <w:t>net of tax</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jc w:val="center"/>
              <w:ind w:right="63"/>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5"/>
                <w:szCs w:val="15"/>
                <w:color w:val="auto"/>
              </w:rPr>
            </w:pPr>
          </w:p>
        </w:tc>
      </w:tr>
      <w:tr>
        <w:trPr>
          <w:trHeight w:val="207"/>
        </w:trPr>
        <w:tc>
          <w:tcPr>
            <w:tcW w:w="3380" w:type="dxa"/>
            <w:vAlign w:val="bottom"/>
          </w:tcPr>
          <w:p>
            <w:pPr>
              <w:spacing w:after="0"/>
              <w:rPr>
                <w:sz w:val="20"/>
                <w:szCs w:val="20"/>
                <w:color w:val="auto"/>
              </w:rPr>
            </w:pPr>
            <w:r>
              <w:rPr>
                <w:rFonts w:ascii="Arial" w:cs="Arial" w:eastAsia="Arial" w:hAnsi="Arial"/>
                <w:sz w:val="15"/>
                <w:szCs w:val="15"/>
                <w:color w:val="auto"/>
              </w:rPr>
              <w:t>Pension remeasurement, net of tax</w:t>
            </w:r>
          </w:p>
        </w:tc>
        <w:tc>
          <w:tcPr>
            <w:tcW w:w="260" w:type="dxa"/>
            <w:vAlign w:val="bottom"/>
          </w:tcPr>
          <w:p>
            <w:pPr>
              <w:spacing w:after="0"/>
              <w:rPr>
                <w:sz w:val="17"/>
                <w:szCs w:val="17"/>
                <w:color w:val="auto"/>
              </w:rPr>
            </w:pPr>
          </w:p>
        </w:tc>
        <w:tc>
          <w:tcPr>
            <w:tcW w:w="12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7"/>
                <w:szCs w:val="17"/>
                <w:color w:val="auto"/>
              </w:rPr>
            </w:pPr>
          </w:p>
        </w:tc>
        <w:tc>
          <w:tcPr>
            <w:tcW w:w="420" w:type="dxa"/>
            <w:vAlign w:val="bottom"/>
          </w:tcPr>
          <w:p>
            <w:pPr>
              <w:jc w:val="center"/>
              <w:ind w:right="6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(9)</w:t>
            </w:r>
          </w:p>
        </w:tc>
        <w:tc>
          <w:tcPr>
            <w:tcW w:w="2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5"/>
                <w:szCs w:val="15"/>
                <w:color w:val="auto"/>
              </w:rPr>
              <w:t>(9)</w:t>
            </w:r>
          </w:p>
        </w:tc>
      </w:tr>
      <w:tr>
        <w:trPr>
          <w:trHeight w:val="187"/>
        </w:trPr>
        <w:tc>
          <w:tcPr>
            <w:tcW w:w="3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Other comprehensive income</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(58)</w:t>
            </w:r>
          </w:p>
        </w:tc>
        <w:tc>
          <w:tcPr>
            <w:tcW w:w="110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center"/>
              <w:ind w:right="83"/>
              <w:spacing w:after="0"/>
              <w:rPr>
                <w:sz w:val="20"/>
                <w:szCs w:val="20"/>
                <w:color w:val="auto"/>
              </w:rPr>
            </w:pPr>
            <w:r>
              <w:rPr>
                <w:rFonts w:ascii="Arial" w:cs="Arial" w:eastAsia="Arial" w:hAnsi="Arial"/>
                <w:sz w:val="15"/>
                <w:szCs w:val="15"/>
                <w:color w:val="auto"/>
              </w:rPr>
              <w:t>1</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20" w:type="dxa"/>
            <w:vAlign w:val="bottom"/>
          </w:tcPr>
          <w:p>
            <w:pPr>
              <w:spacing w:after="0"/>
              <w:rPr>
                <w:sz w:val="16"/>
                <w:szCs w:val="16"/>
                <w:color w:val="auto"/>
              </w:rPr>
            </w:pPr>
          </w:p>
        </w:tc>
      </w:tr>
      <w:tr>
        <w:trPr>
          <w:trHeight w:val="179"/>
        </w:trPr>
        <w:tc>
          <w:tcPr>
            <w:tcW w:w="33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Balance as of August 4, 2018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(67)</w:t>
            </w:r>
          </w:p>
        </w:tc>
        <w:tc>
          <w:tcPr>
            <w:tcW w:w="110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rPr>
              <w:t>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(274)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(340)</w:t>
            </w:r>
          </w:p>
        </w:tc>
        <w:tc>
          <w:tcPr>
            <w:tcW w:w="20" w:type="dxa"/>
            <w:vAlign w:val="bottom"/>
          </w:tcPr>
          <w:p>
            <w:pPr>
              <w:spacing w:after="0"/>
              <w:rPr>
                <w:sz w:val="15"/>
                <w:szCs w:val="15"/>
                <w:color w:val="auto"/>
              </w:rPr>
            </w:pPr>
          </w:p>
        </w:tc>
      </w:tr>
      <w:tr>
        <w:trPr>
          <w:trHeight w:val="362"/>
        </w:trPr>
        <w:tc>
          <w:tcPr>
            <w:tcW w:w="6400" w:type="dxa"/>
            <w:vAlign w:val="bottom"/>
            <w:gridSpan w:val="5"/>
          </w:tcPr>
          <w:p>
            <w:pPr>
              <w:spacing w:after="0"/>
              <w:rPr>
                <w:sz w:val="20"/>
                <w:szCs w:val="20"/>
                <w:color w:val="auto"/>
              </w:rPr>
            </w:pPr>
            <w:r>
              <w:rPr>
                <w:rFonts w:ascii="Arial" w:cs="Arial" w:eastAsia="Arial" w:hAnsi="Arial"/>
                <w:sz w:val="15"/>
                <w:szCs w:val="15"/>
                <w:color w:val="auto"/>
              </w:rPr>
              <w:t>Reclassifications from AOCL for the twenty-six weeks ended August 4, 2018 were as follows: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3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5"/>
                <w:szCs w:val="15"/>
                <w:color w:val="auto"/>
              </w:rPr>
              <w:t>in millions)</w:t>
            </w:r>
          </w:p>
        </w:tc>
      </w:tr>
      <w:tr>
        <w:trPr>
          <w:trHeight w:val="187"/>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Amortization of actuarial (gain) loss:</w:t>
            </w:r>
          </w:p>
        </w:tc>
        <w:tc>
          <w:tcPr>
            <w:tcW w:w="2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3380" w:type="dxa"/>
            <w:vAlign w:val="bottom"/>
          </w:tcPr>
          <w:p>
            <w:pPr>
              <w:ind w:left="180"/>
              <w:spacing w:after="0"/>
              <w:rPr>
                <w:sz w:val="20"/>
                <w:szCs w:val="20"/>
                <w:color w:val="auto"/>
              </w:rPr>
            </w:pPr>
            <w:r>
              <w:rPr>
                <w:rFonts w:ascii="Arial" w:cs="Arial" w:eastAsia="Arial" w:hAnsi="Arial"/>
                <w:sz w:val="15"/>
                <w:szCs w:val="15"/>
                <w:color w:val="auto"/>
              </w:rPr>
              <w:t>Pension benefits- amortization of actuarial loss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17"/>
                <w:szCs w:val="17"/>
                <w:color w:val="auto"/>
              </w:rPr>
            </w:pPr>
          </w:p>
        </w:tc>
      </w:tr>
      <w:tr>
        <w:trPr>
          <w:trHeight w:val="207"/>
        </w:trPr>
        <w:tc>
          <w:tcPr>
            <w:tcW w:w="4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5"/>
                <w:szCs w:val="15"/>
                <w:color w:val="auto"/>
              </w:rPr>
              <w:t>Postretirement benefits- amortization of actuarial gain</w:t>
            </w:r>
          </w:p>
        </w:tc>
        <w:tc>
          <w:tcPr>
            <w:tcW w:w="1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r>
      <w:tr>
        <w:trPr>
          <w:trHeight w:val="187"/>
        </w:trPr>
        <w:tc>
          <w:tcPr>
            <w:tcW w:w="3380" w:type="dxa"/>
            <w:vAlign w:val="bottom"/>
          </w:tcPr>
          <w:p>
            <w:pPr>
              <w:spacing w:after="0"/>
              <w:rPr>
                <w:sz w:val="20"/>
                <w:szCs w:val="20"/>
                <w:color w:val="auto"/>
              </w:rPr>
            </w:pPr>
            <w:r>
              <w:rPr>
                <w:rFonts w:ascii="Arial" w:cs="Arial" w:eastAsia="Arial" w:hAnsi="Arial"/>
                <w:sz w:val="15"/>
                <w:szCs w:val="15"/>
                <w:color w:val="auto"/>
              </w:rPr>
              <w:t>Net periodic benefit cost (see Note 12)</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6"/>
                <w:szCs w:val="16"/>
                <w:color w:val="auto"/>
              </w:rPr>
            </w:pPr>
          </w:p>
        </w:tc>
      </w:tr>
      <w:tr>
        <w:trPr>
          <w:trHeight w:val="207"/>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r>
      <w:tr>
        <w:trPr>
          <w:trHeight w:val="179"/>
        </w:trPr>
        <w:tc>
          <w:tcPr>
            <w:tcW w:w="3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of tax</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5"/>
                <w:szCs w:val="15"/>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Income Taxes</w:t>
      </w:r>
    </w:p>
    <w:p>
      <w:pPr>
        <w:spacing w:after="0" w:line="121"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 xml:space="preserve">In March 2018, the FASB issued ASU 2018-05, </w:t>
      </w:r>
      <w:r>
        <w:rPr>
          <w:rFonts w:ascii="Arial" w:cs="Arial" w:eastAsia="Arial" w:hAnsi="Arial"/>
          <w:sz w:val="15"/>
          <w:szCs w:val="15"/>
          <w:i w:val="1"/>
          <w:iCs w:val="1"/>
          <w:color w:val="auto"/>
        </w:rPr>
        <w:t>Income Taxes (Topic 740): Amendments to SEC Paragraphs Pursuant to SEC Staff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Accounting Bulletin No. 118 </w:t>
      </w:r>
      <w:r>
        <w:rPr>
          <w:rFonts w:ascii="Arial" w:cs="Arial" w:eastAsia="Arial" w:hAnsi="Arial"/>
          <w:sz w:val="15"/>
          <w:szCs w:val="15"/>
          <w:color w:val="auto"/>
        </w:rPr>
        <w:t>(“SAB 118”). This update provides guidance on income tax accounting implications under Public Law</w:t>
      </w:r>
      <w:r>
        <w:rPr>
          <w:rFonts w:ascii="Arial" w:cs="Arial" w:eastAsia="Arial" w:hAnsi="Arial"/>
          <w:sz w:val="15"/>
          <w:szCs w:val="15"/>
          <w:i w:val="1"/>
          <w:iCs w:val="1"/>
          <w:color w:val="auto"/>
        </w:rPr>
        <w:t xml:space="preserve"> </w:t>
      </w:r>
      <w:r>
        <w:rPr>
          <w:rFonts w:ascii="Arial" w:cs="Arial" w:eastAsia="Arial" w:hAnsi="Arial"/>
          <w:sz w:val="15"/>
          <w:szCs w:val="15"/>
          <w:color w:val="auto"/>
        </w:rPr>
        <w:t>115-97, informally known as the Tax Cuts and Jobs Act (the "Tax Act"), which was enacted on December 22, 2017. The Tax Act significantly revised the U.S. corporate income tax by, among other things, lowering the statutory corporate tax rate from 35 percent to 21 percent, eliminating certain deductions, imposing a mandatory one-time tax on accumulated earnings of foreign subsidiaries, introducing new tax regimes, and changing how foreign earnings are subject to U.S. tax. SAB 118 addressed the application of GAAP to situations when a registrant does not have the necessary information available, prepared, or analyzed (including computations) in reasonable detail to complete the accounting for certain income tax effects of the Tax Act.</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As of the fourth quarter of 2017, the Company had not completed the determination of the accounting implications of the Tax Act on the Company’s tax accruals. However, we reasonably estimated the effects of the Tax Act and recognized a provisional net tax expense of $99 million associated with the Tax Act in the fourth quarter of 2017. During the second quarter of 2018, the Company reduced its provisional calculation by $1 million, which represented a revised estimate of foreign tax credits. Our accounting for the Tax Act is still incomplete as we have not finalized the deemed repatriation of deferred foreign income and prior-year deferred tax activity. We are continuing to gather additional information to complete our accounting for these items and expect to complete our accounting within the one-year time period provided by SAB 118. Any adjustment to these amounts during the measurement period will be recorded in income tax expense in the period in which the analysis is complete.</w:t>
      </w:r>
    </w:p>
    <w:p>
      <w:pPr>
        <w:spacing w:after="0" w:line="13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Company continues to evaluate the provisions of the Tax Act, including the global intangible low-taxed income (“GILTI”), the foreign derived intangible income (“FDII”) provisions, and the base erosion and anti-abuse tax (“BEAT”). The Company has made an accounting policy election to treat GILTI taxes as a current period expense.</w:t>
      </w:r>
    </w:p>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ultimate effect of the Tax Act may differ from these provisional amounts, possibly materially, due to, among other things, additional analysis, changes in interpretations and assumptions the Company has made, additional regulatory guidance that may be issued, as well as any related actions the Company may take.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2" w:name="page13"/>
    <w:bookmarkEnd w:id="12"/>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For the thirteen and twenty-six weeks ended August 4, 2018, the Company recorded income tax provisions of $27 million and $91 million, which represented effective tax rates of 23.6 percent and 26.4 percent, respectively. For the thirteen and twenty-six weeks ended July 29, 2017, the Company recorded income tax provisions of $22 million and $111 million, which represented effective tax rates of 30.9 percent and 32.6 percent, respectively. The Company’s interim provision for income taxes is measured using an annual effective tax rate, adjusted for discrete items that occur within the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Fair Value Measurements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financial assets recorded at fair value are categorized as follows:</w:t>
      </w:r>
    </w:p>
    <w:p>
      <w:pPr>
        <w:spacing w:after="0" w:line="162" w:lineRule="exact"/>
        <w:rPr>
          <w:sz w:val="20"/>
          <w:szCs w:val="20"/>
          <w:color w:val="auto"/>
        </w:rPr>
      </w:pPr>
    </w:p>
    <w:p>
      <w:pPr>
        <w:ind w:left="180"/>
        <w:spacing w:after="0"/>
        <w:tabs>
          <w:tab w:leader="none" w:pos="1080" w:val="left"/>
        </w:tabs>
        <w:rPr>
          <w:sz w:val="20"/>
          <w:szCs w:val="20"/>
          <w:color w:val="auto"/>
        </w:rPr>
      </w:pPr>
      <w:r>
        <w:rPr>
          <w:rFonts w:ascii="Arial" w:cs="Arial" w:eastAsia="Arial" w:hAnsi="Arial"/>
          <w:sz w:val="15"/>
          <w:szCs w:val="15"/>
          <w:b w:val="1"/>
          <w:bCs w:val="1"/>
          <w:color w:val="auto"/>
        </w:rPr>
        <w:t>Level 1 –</w:t>
      </w:r>
      <w:r>
        <w:rPr>
          <w:sz w:val="20"/>
          <w:szCs w:val="20"/>
          <w:color w:val="auto"/>
        </w:rPr>
        <w:tab/>
      </w:r>
      <w:r>
        <w:rPr>
          <w:rFonts w:ascii="Arial" w:cs="Arial" w:eastAsia="Arial" w:hAnsi="Arial"/>
          <w:sz w:val="15"/>
          <w:szCs w:val="15"/>
          <w:color w:val="auto"/>
        </w:rPr>
        <w:t>Quoted prices for identical instruments in active markets.</w:t>
      </w:r>
    </w:p>
    <w:p>
      <w:pPr>
        <w:spacing w:after="0" w:line="241" w:lineRule="exact"/>
        <w:rPr>
          <w:sz w:val="20"/>
          <w:szCs w:val="20"/>
          <w:color w:val="auto"/>
        </w:rPr>
      </w:pPr>
    </w:p>
    <w:p>
      <w:pPr>
        <w:jc w:val="both"/>
        <w:ind w:left="1140" w:hanging="936"/>
        <w:spacing w:after="0" w:line="245" w:lineRule="auto"/>
        <w:tabs>
          <w:tab w:leader="none" w:pos="1120" w:val="left"/>
        </w:tabs>
        <w:rPr>
          <w:sz w:val="20"/>
          <w:szCs w:val="20"/>
          <w:color w:val="auto"/>
        </w:rPr>
      </w:pPr>
      <w:r>
        <w:rPr>
          <w:rFonts w:ascii="Arial" w:cs="Arial" w:eastAsia="Arial" w:hAnsi="Arial"/>
          <w:sz w:val="15"/>
          <w:szCs w:val="15"/>
          <w:b w:val="1"/>
          <w:bCs w:val="1"/>
          <w:color w:val="auto"/>
        </w:rPr>
        <w:t>Level 2 –</w:t>
      </w:r>
      <w:r>
        <w:rPr>
          <w:sz w:val="20"/>
          <w:szCs w:val="20"/>
          <w:color w:val="auto"/>
        </w:rPr>
        <w:tab/>
      </w:r>
      <w:r>
        <w:rPr>
          <w:rFonts w:ascii="Arial" w:cs="Arial" w:eastAsia="Arial" w:hAnsi="Arial"/>
          <w:sz w:val="15"/>
          <w:szCs w:val="15"/>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16" w:lineRule="exact"/>
        <w:rPr>
          <w:sz w:val="20"/>
          <w:szCs w:val="20"/>
          <w:color w:val="auto"/>
        </w:rPr>
      </w:pPr>
    </w:p>
    <w:p>
      <w:pPr>
        <w:ind w:left="200"/>
        <w:spacing w:after="0"/>
        <w:tabs>
          <w:tab w:leader="none" w:pos="1120" w:val="left"/>
        </w:tabs>
        <w:rPr>
          <w:sz w:val="20"/>
          <w:szCs w:val="20"/>
          <w:color w:val="auto"/>
        </w:rPr>
      </w:pPr>
      <w:r>
        <w:rPr>
          <w:rFonts w:ascii="Arial" w:cs="Arial" w:eastAsia="Arial" w:hAnsi="Arial"/>
          <w:sz w:val="15"/>
          <w:szCs w:val="15"/>
          <w:b w:val="1"/>
          <w:bCs w:val="1"/>
          <w:color w:val="auto"/>
        </w:rPr>
        <w:t>Level 3 –</w:t>
      </w:r>
      <w:r>
        <w:rPr>
          <w:sz w:val="20"/>
          <w:szCs w:val="20"/>
          <w:color w:val="auto"/>
        </w:rPr>
        <w:tab/>
      </w:r>
      <w:r>
        <w:rPr>
          <w:rFonts w:ascii="Arial" w:cs="Arial" w:eastAsia="Arial" w:hAnsi="Arial"/>
          <w:sz w:val="15"/>
          <w:szCs w:val="15"/>
          <w:color w:val="auto"/>
        </w:rPr>
        <w:t>Model-derived valuations in which one or more significant inputs or significant value-drivers are unobservable.</w:t>
      </w:r>
    </w:p>
    <w:p>
      <w:pPr>
        <w:spacing w:after="0" w:line="200" w:lineRule="exact"/>
        <w:rPr>
          <w:sz w:val="20"/>
          <w:szCs w:val="20"/>
          <w:color w:val="auto"/>
        </w:rPr>
      </w:pP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tables provide a summary of the Company’s recognized assets and liabilities that are measured at fair value on a recurring basis: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100"/>
              <w:spacing w:after="0"/>
              <w:rPr>
                <w:sz w:val="20"/>
                <w:szCs w:val="20"/>
                <w:color w:val="auto"/>
              </w:rPr>
            </w:pPr>
            <w:r>
              <w:rPr>
                <w:rFonts w:ascii="Arial" w:cs="Arial" w:eastAsia="Arial" w:hAnsi="Arial"/>
                <w:sz w:val="15"/>
                <w:szCs w:val="15"/>
                <w:b w:val="1"/>
                <w:bCs w:val="1"/>
                <w:color w:val="auto"/>
              </w:rPr>
              <w:t>As of August 4, 2018</w:t>
            </w: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120"/>
              <w:spacing w:after="0"/>
              <w:rPr>
                <w:sz w:val="20"/>
                <w:szCs w:val="20"/>
                <w:color w:val="auto"/>
              </w:rPr>
            </w:pPr>
            <w:r>
              <w:rPr>
                <w:rFonts w:ascii="Arial" w:cs="Arial" w:eastAsia="Arial" w:hAnsi="Arial"/>
                <w:sz w:val="15"/>
                <w:szCs w:val="15"/>
                <w:b w:val="1"/>
                <w:bCs w:val="1"/>
                <w:color w:val="auto"/>
              </w:rPr>
              <w:t>As of July 29, 2017</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rPr>
              <w:t>As of February 3, 2018</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4"/>
          </w:tcPr>
          <w:p>
            <w:pPr>
              <w:ind w:left="380"/>
              <w:spacing w:after="0"/>
              <w:rPr>
                <w:sz w:val="20"/>
                <w:szCs w:val="20"/>
                <w:color w:val="auto"/>
              </w:rPr>
            </w:pPr>
            <w:r>
              <w:rPr>
                <w:rFonts w:ascii="Arial" w:cs="Arial" w:eastAsia="Arial" w:hAnsi="Arial"/>
                <w:sz w:val="15"/>
                <w:szCs w:val="15"/>
                <w:color w:val="auto"/>
              </w:rPr>
              <w:t>($ in millions)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rPr>
              <w:t>Level 1</w:t>
            </w: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Level 2</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Level 3</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Level 1</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Level 2</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Level 3</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Level 1</w:t>
            </w: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Level 2</w:t>
            </w: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187"/>
        </w:trPr>
        <w:tc>
          <w:tcPr>
            <w:tcW w:w="2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2240" w:type="dxa"/>
            <w:vAlign w:val="bottom"/>
          </w:tcPr>
          <w:p>
            <w:pPr>
              <w:spacing w:after="0"/>
              <w:rPr>
                <w:sz w:val="20"/>
                <w:szCs w:val="20"/>
                <w:color w:val="auto"/>
              </w:rPr>
            </w:pPr>
            <w:r>
              <w:rPr>
                <w:rFonts w:ascii="Arial" w:cs="Arial" w:eastAsia="Arial" w:hAnsi="Arial"/>
                <w:sz w:val="15"/>
                <w:szCs w:val="15"/>
                <w:color w:val="auto"/>
              </w:rPr>
              <w:t>Investment in equity securities</w:t>
            </w:r>
          </w:p>
        </w:tc>
        <w:tc>
          <w:tcPr>
            <w:tcW w:w="360" w:type="dxa"/>
            <w:vAlign w:val="bottom"/>
          </w:tcPr>
          <w:p>
            <w:pPr>
              <w:ind w:left="180"/>
              <w:spacing w:after="0"/>
              <w:rPr>
                <w:sz w:val="20"/>
                <w:szCs w:val="20"/>
                <w:color w:val="auto"/>
              </w:rPr>
            </w:pPr>
            <w:r>
              <w:rPr>
                <w:rFonts w:ascii="Arial" w:cs="Arial" w:eastAsia="Arial" w:hAnsi="Arial"/>
                <w:sz w:val="15"/>
                <w:szCs w:val="15"/>
                <w:b w:val="1"/>
                <w:bCs w:val="1"/>
                <w:color w:val="auto"/>
              </w:rPr>
              <w:t>$</w:t>
            </w:r>
          </w:p>
        </w:tc>
        <w:tc>
          <w:tcPr>
            <w:tcW w:w="520" w:type="dxa"/>
            <w:vAlign w:val="bottom"/>
          </w:tcPr>
          <w:p>
            <w:pPr>
              <w:ind w:left="30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jc w:val="right"/>
              <w:ind w:right="23"/>
              <w:spacing w:after="0"/>
              <w:rPr>
                <w:sz w:val="20"/>
                <w:szCs w:val="20"/>
                <w:color w:val="auto"/>
              </w:rPr>
            </w:pPr>
            <w:r>
              <w:rPr>
                <w:rFonts w:ascii="Arial" w:cs="Arial" w:eastAsia="Arial" w:hAnsi="Arial"/>
                <w:sz w:val="15"/>
                <w:szCs w:val="15"/>
                <w:b w:val="1"/>
                <w:bCs w:val="1"/>
                <w:color w:val="auto"/>
              </w:rPr>
              <w:t>15</w:t>
            </w:r>
          </w:p>
        </w:tc>
        <w:tc>
          <w:tcPr>
            <w:tcW w:w="460" w:type="dxa"/>
            <w:vAlign w:val="bottom"/>
          </w:tcPr>
          <w:p>
            <w:pPr>
              <w:ind w:left="80"/>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ind w:left="10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460" w:type="dxa"/>
            <w:vAlign w:val="bottom"/>
          </w:tcPr>
          <w:p>
            <w:pPr>
              <w:ind w:left="240"/>
              <w:spacing w:after="0"/>
              <w:rPr>
                <w:sz w:val="20"/>
                <w:szCs w:val="20"/>
                <w:color w:val="auto"/>
              </w:rPr>
            </w:pPr>
            <w:r>
              <w:rPr>
                <w:rFonts w:ascii="Arial" w:cs="Arial" w:eastAsia="Arial" w:hAnsi="Arial"/>
                <w:sz w:val="15"/>
                <w:szCs w:val="15"/>
                <w:color w:val="auto"/>
              </w:rPr>
              <w:t>—</w:t>
            </w:r>
          </w:p>
        </w:tc>
        <w:tc>
          <w:tcPr>
            <w:tcW w:w="300" w:type="dxa"/>
            <w:vAlign w:val="bottom"/>
          </w:tcPr>
          <w:p>
            <w:pPr>
              <w:ind w:left="6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tcPr>
          <w:p>
            <w:pPr>
              <w:ind w:left="60"/>
              <w:spacing w:after="0"/>
              <w:rPr>
                <w:sz w:val="20"/>
                <w:szCs w:val="20"/>
                <w:color w:val="auto"/>
              </w:rPr>
            </w:pPr>
            <w:r>
              <w:rPr>
                <w:rFonts w:ascii="Arial" w:cs="Arial" w:eastAsia="Arial" w:hAnsi="Arial"/>
                <w:sz w:val="15"/>
                <w:szCs w:val="15"/>
                <w:color w:val="auto"/>
              </w:rPr>
              <w:t>$</w:t>
            </w: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240" w:type="dxa"/>
            <w:vAlign w:val="bottom"/>
          </w:tcPr>
          <w:p>
            <w:pPr>
              <w:ind w:left="60"/>
              <w:spacing w:after="0"/>
              <w:rPr>
                <w:sz w:val="20"/>
                <w:szCs w:val="20"/>
                <w:color w:val="auto"/>
              </w:rPr>
            </w:pPr>
            <w:r>
              <w:rPr>
                <w:rFonts w:ascii="Arial" w:cs="Arial" w:eastAsia="Arial" w:hAnsi="Arial"/>
                <w:sz w:val="15"/>
                <w:szCs w:val="15"/>
                <w:color w:val="auto"/>
              </w:rPr>
              <w:t>$</w:t>
            </w:r>
          </w:p>
        </w:tc>
        <w:tc>
          <w:tcPr>
            <w:tcW w:w="520" w:type="dxa"/>
            <w:vAlign w:val="bottom"/>
          </w:tcPr>
          <w:p>
            <w:pPr>
              <w:ind w:left="320"/>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420" w:type="dxa"/>
            <w:vAlign w:val="bottom"/>
          </w:tcPr>
          <w:p>
            <w:pPr>
              <w:ind w:left="22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Available-for-sale security</w:t>
            </w: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5"/>
                <w:szCs w:val="15"/>
                <w:b w:val="1"/>
                <w:bCs w:val="1"/>
                <w:color w:val="auto"/>
              </w:rPr>
              <w:t>—</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7</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7</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20"/>
                <w:szCs w:val="20"/>
                <w:color w:val="auto"/>
              </w:rPr>
            </w:pPr>
            <w:r>
              <w:rPr>
                <w:rFonts w:ascii="Arial" w:cs="Arial" w:eastAsia="Arial" w:hAnsi="Arial"/>
                <w:sz w:val="15"/>
                <w:szCs w:val="15"/>
                <w:color w:val="auto"/>
              </w:rPr>
              <w:t>Foreign exchange forward</w:t>
            </w:r>
          </w:p>
        </w:tc>
        <w:tc>
          <w:tcPr>
            <w:tcW w:w="360" w:type="dxa"/>
            <w:vAlign w:val="bottom"/>
          </w:tcPr>
          <w:p>
            <w:pPr>
              <w:spacing w:after="0"/>
              <w:rPr>
                <w:sz w:val="18"/>
                <w:szCs w:val="18"/>
                <w:color w:val="auto"/>
              </w:rPr>
            </w:pPr>
          </w:p>
        </w:tc>
        <w:tc>
          <w:tcPr>
            <w:tcW w:w="52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8"/>
                <w:szCs w:val="18"/>
                <w:color w:val="auto"/>
              </w:rPr>
            </w:pPr>
          </w:p>
        </w:tc>
        <w:tc>
          <w:tcPr>
            <w:tcW w:w="42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2</w:t>
            </w:r>
          </w:p>
        </w:tc>
        <w:tc>
          <w:tcPr>
            <w:tcW w:w="460" w:type="dxa"/>
            <w:vAlign w:val="bottom"/>
          </w:tcPr>
          <w:p>
            <w:pPr>
              <w:spacing w:after="0"/>
              <w:rPr>
                <w:sz w:val="18"/>
                <w:szCs w:val="18"/>
                <w:color w:val="auto"/>
              </w:rPr>
            </w:pPr>
          </w:p>
        </w:tc>
        <w:tc>
          <w:tcPr>
            <w:tcW w:w="30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contracts</w:t>
            </w:r>
          </w:p>
        </w:tc>
        <w:tc>
          <w:tcPr>
            <w:tcW w:w="3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1</w:t>
            </w: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79"/>
        </w:trPr>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Assets</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5"/>
                <w:szCs w:val="15"/>
                <w:b w:val="1"/>
                <w:bCs w:val="1"/>
                <w:color w:val="auto"/>
              </w:rPr>
              <w:t>—  $</w:t>
            </w:r>
          </w:p>
        </w:tc>
        <w:tc>
          <w:tcPr>
            <w:tcW w:w="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24</w:t>
            </w: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76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w:t>
            </w:r>
          </w:p>
        </w:tc>
        <w:tc>
          <w:tcPr>
            <w:tcW w:w="4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8</w:t>
            </w:r>
          </w:p>
        </w:tc>
        <w:tc>
          <w:tcPr>
            <w:tcW w:w="5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95"/>
        </w:trPr>
        <w:tc>
          <w:tcPr>
            <w:tcW w:w="224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forward</w:t>
            </w:r>
          </w:p>
        </w:tc>
        <w:tc>
          <w:tcPr>
            <w:tcW w:w="36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5"/>
                <w:szCs w:val="15"/>
                <w:b w:val="1"/>
                <w:bCs w:val="1"/>
                <w:color w:val="auto"/>
              </w:rPr>
              <w:t>—</w:t>
            </w:r>
          </w:p>
        </w:tc>
        <w:tc>
          <w:tcPr>
            <w:tcW w:w="32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w:t>
            </w:r>
          </w:p>
        </w:tc>
        <w:tc>
          <w:tcPr>
            <w:tcW w:w="46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contracts</w:t>
            </w:r>
          </w:p>
        </w:tc>
        <w:tc>
          <w:tcPr>
            <w:tcW w:w="3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4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1</w:t>
            </w:r>
          </w:p>
        </w:tc>
        <w:tc>
          <w:tcPr>
            <w:tcW w:w="5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79"/>
        </w:trPr>
        <w:tc>
          <w:tcPr>
            <w:tcW w:w="2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Liabilities</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1</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1</w:t>
            </w:r>
          </w:p>
        </w:tc>
        <w:tc>
          <w:tcPr>
            <w:tcW w:w="5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 xml:space="preserve">In the first quarter of 2018 the Company adopted ASU 2016-01, </w:t>
      </w:r>
      <w:r>
        <w:rPr>
          <w:rFonts w:ascii="Arial" w:cs="Arial" w:eastAsia="Arial" w:hAnsi="Arial"/>
          <w:sz w:val="15"/>
          <w:szCs w:val="15"/>
          <w:i w:val="1"/>
          <w:iCs w:val="1"/>
          <w:color w:val="auto"/>
        </w:rPr>
        <w:t>Financial Instruments – Overall (Subtopic 825-10): Recognition and</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 of Financial Assets and Financial Liabilities</w:t>
      </w:r>
      <w:r>
        <w:rPr>
          <w:rFonts w:ascii="Arial" w:cs="Arial" w:eastAsia="Arial" w:hAnsi="Arial"/>
          <w:sz w:val="15"/>
          <w:szCs w:val="15"/>
          <w:color w:val="auto"/>
        </w:rPr>
        <w:t>. The Company’s equity investment, under the practicability exception, is</w:t>
      </w:r>
      <w:r>
        <w:rPr>
          <w:rFonts w:ascii="Arial" w:cs="Arial" w:eastAsia="Arial" w:hAnsi="Arial"/>
          <w:sz w:val="15"/>
          <w:szCs w:val="15"/>
          <w:i w:val="1"/>
          <w:iCs w:val="1"/>
          <w:color w:val="auto"/>
        </w:rPr>
        <w:t xml:space="preserve"> </w:t>
      </w:r>
      <w:r>
        <w:rPr>
          <w:rFonts w:ascii="Arial" w:cs="Arial" w:eastAsia="Arial" w:hAnsi="Arial"/>
          <w:sz w:val="15"/>
          <w:szCs w:val="15"/>
          <w:color w:val="auto"/>
        </w:rPr>
        <w:t>now measured at cost adjusted for changes in observable prices minus impairment. Additionally, our security classified as available-for-sale is now recorded at fair value with gains and losses reported to other income in our Statement of Operations, whereas previously it was recorded to AOCL. The adjustment recorded to retained earnings as a result of adopting ASU 2016-01 was not significant. The fair value of the Company’s investment in equity securities is determined by using quoted prices for identical or similar instruments in markets that are not active and therefore are classified as Level 2. The fair value of the auction rate security is determined by using quoted prices for similar instruments in active markets and accordingly is classified as a Level 2 instrument.</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There were no transfers into or out of Level 1, Level 2, or Level 3 assets and liabilities for any of the periods presented.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3" w:name="page14"/>
    <w:bookmarkEnd w:id="13"/>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The carrying value and estimated fair value of long-term debt and obligations under capital leases were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80" w:type="dxa"/>
            <w:vAlign w:val="bottom"/>
          </w:tcPr>
          <w:p>
            <w:pPr>
              <w:jc w:val="right"/>
              <w:ind w:right="363"/>
              <w:spacing w:after="0"/>
              <w:rPr>
                <w:sz w:val="20"/>
                <w:szCs w:val="20"/>
                <w:color w:val="auto"/>
              </w:rPr>
            </w:pPr>
            <w:r>
              <w:rPr>
                <w:rFonts w:ascii="Arial" w:cs="Arial" w:eastAsia="Arial" w:hAnsi="Arial"/>
                <w:sz w:val="15"/>
                <w:szCs w:val="15"/>
                <w:b w:val="1"/>
                <w:bCs w:val="1"/>
                <w:color w:val="auto"/>
              </w:rPr>
              <w:t>August 4,</w:t>
            </w:r>
          </w:p>
        </w:tc>
        <w:tc>
          <w:tcPr>
            <w:tcW w:w="440" w:type="dxa"/>
            <w:vAlign w:val="bottom"/>
          </w:tcPr>
          <w:p>
            <w:pPr>
              <w:spacing w:after="0"/>
              <w:rPr>
                <w:sz w:val="15"/>
                <w:szCs w:val="15"/>
                <w:color w:val="auto"/>
              </w:rPr>
            </w:pPr>
          </w:p>
        </w:tc>
        <w:tc>
          <w:tcPr>
            <w:tcW w:w="1120" w:type="dxa"/>
            <w:vAlign w:val="bottom"/>
          </w:tcPr>
          <w:p>
            <w:pPr>
              <w:jc w:val="right"/>
              <w:ind w:right="463"/>
              <w:spacing w:after="0"/>
              <w:rPr>
                <w:sz w:val="20"/>
                <w:szCs w:val="20"/>
                <w:color w:val="auto"/>
              </w:rPr>
            </w:pPr>
            <w:r>
              <w:rPr>
                <w:rFonts w:ascii="Arial" w:cs="Arial" w:eastAsia="Arial" w:hAnsi="Arial"/>
                <w:sz w:val="15"/>
                <w:szCs w:val="15"/>
                <w:b w:val="1"/>
                <w:bCs w:val="1"/>
                <w:color w:val="auto"/>
              </w:rPr>
              <w:t>July 29,</w:t>
            </w:r>
          </w:p>
        </w:tc>
        <w:tc>
          <w:tcPr>
            <w:tcW w:w="280" w:type="dxa"/>
            <w:vAlign w:val="bottom"/>
          </w:tcPr>
          <w:p>
            <w:pPr>
              <w:spacing w:after="0"/>
              <w:rPr>
                <w:sz w:val="15"/>
                <w:szCs w:val="15"/>
                <w:color w:val="auto"/>
              </w:rPr>
            </w:pPr>
          </w:p>
        </w:tc>
        <w:tc>
          <w:tcPr>
            <w:tcW w:w="1100" w:type="dxa"/>
            <w:vAlign w:val="bottom"/>
          </w:tcPr>
          <w:p>
            <w:pPr>
              <w:jc w:val="right"/>
              <w:ind w:right="183"/>
              <w:spacing w:after="0"/>
              <w:rPr>
                <w:sz w:val="20"/>
                <w:szCs w:val="20"/>
                <w:color w:val="auto"/>
              </w:rPr>
            </w:pPr>
            <w:r>
              <w:rPr>
                <w:rFonts w:ascii="Arial" w:cs="Arial" w:eastAsia="Arial" w:hAnsi="Arial"/>
                <w:sz w:val="15"/>
                <w:szCs w:val="15"/>
                <w:b w:val="1"/>
                <w:bCs w:val="1"/>
                <w:color w:val="auto"/>
              </w:rPr>
              <w:t>February 3,</w:t>
            </w:r>
          </w:p>
        </w:tc>
      </w:tr>
      <w:tr>
        <w:trPr>
          <w:trHeight w:val="194"/>
        </w:trPr>
        <w:tc>
          <w:tcPr>
            <w:tcW w:w="29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2018</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2018</w:t>
            </w:r>
          </w:p>
        </w:tc>
      </w:tr>
      <w:tr>
        <w:trPr>
          <w:trHeight w:val="187"/>
        </w:trPr>
        <w:tc>
          <w:tcPr>
            <w:tcW w:w="29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303"/>
              <w:spacing w:after="0"/>
              <w:rPr>
                <w:sz w:val="20"/>
                <w:szCs w:val="20"/>
                <w:color w:val="auto"/>
              </w:rPr>
            </w:pPr>
            <w:r>
              <w:rPr>
                <w:rFonts w:ascii="Arial" w:cs="Arial" w:eastAsia="Arial" w:hAnsi="Arial"/>
                <w:sz w:val="15"/>
                <w:szCs w:val="15"/>
                <w:color w:val="auto"/>
              </w:rPr>
              <w:t>in millions)</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Carrying value</w:t>
            </w:r>
          </w:p>
        </w:tc>
        <w:tc>
          <w:tcPr>
            <w:tcW w:w="20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124</w:t>
            </w:r>
          </w:p>
        </w:tc>
        <w:tc>
          <w:tcPr>
            <w:tcW w:w="4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126</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r>
      <w:tr>
        <w:trPr>
          <w:trHeight w:val="207"/>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Fair value</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140</w:t>
            </w:r>
          </w:p>
        </w:tc>
        <w:tc>
          <w:tcPr>
            <w:tcW w:w="4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146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w:t>
            </w:r>
          </w:p>
        </w:tc>
      </w:tr>
    </w:tbl>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fair value of long-term debt is determined by using model-derived valuations in which all significant inputs or significant value drivers are observable in active markets and therefore are classified as Level 2. The carrying values of cash and cash equivalents, and other current receivables and payables approximate their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Earnings Per Share</w:t>
      </w:r>
    </w:p>
    <w:p>
      <w:pPr>
        <w:spacing w:after="0" w:line="113"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Company accounts for and discloses earnings per share using the treasury stock method. Basic earnings per share is computed by dividing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The computation of basic and diluted earnings per share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5"/>
                <w:szCs w:val="15"/>
                <w:b w:val="1"/>
                <w:bCs w:val="1"/>
                <w:color w:val="auto"/>
              </w:rPr>
              <w:t>Thirteen weeks ended</w:t>
            </w: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5"/>
                <w:szCs w:val="15"/>
                <w:b w:val="1"/>
                <w:bCs w:val="1"/>
                <w:color w:val="auto"/>
              </w:rPr>
              <w:t>Twenty-six weeks ended</w:t>
            </w: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183"/>
              <w:spacing w:after="0" w:line="146" w:lineRule="exact"/>
              <w:rPr>
                <w:sz w:val="20"/>
                <w:szCs w:val="20"/>
                <w:color w:val="auto"/>
              </w:rPr>
            </w:pPr>
            <w:r>
              <w:rPr>
                <w:rFonts w:ascii="Arial" w:cs="Arial" w:eastAsia="Arial" w:hAnsi="Arial"/>
                <w:sz w:val="15"/>
                <w:szCs w:val="15"/>
                <w:b w:val="1"/>
                <w:bCs w:val="1"/>
                <w:color w:val="auto"/>
              </w:rPr>
              <w:t>August 4,</w:t>
            </w:r>
          </w:p>
        </w:tc>
        <w:tc>
          <w:tcPr>
            <w:tcW w:w="360" w:type="dxa"/>
            <w:vAlign w:val="bottom"/>
          </w:tcPr>
          <w:p>
            <w:pPr>
              <w:spacing w:after="0"/>
              <w:rPr>
                <w:sz w:val="12"/>
                <w:szCs w:val="12"/>
                <w:color w:val="auto"/>
              </w:rPr>
            </w:pPr>
          </w:p>
        </w:tc>
        <w:tc>
          <w:tcPr>
            <w:tcW w:w="980" w:type="dxa"/>
            <w:vAlign w:val="bottom"/>
          </w:tcPr>
          <w:p>
            <w:pPr>
              <w:jc w:val="right"/>
              <w:ind w:right="283"/>
              <w:spacing w:after="0" w:line="146" w:lineRule="exact"/>
              <w:rPr>
                <w:sz w:val="20"/>
                <w:szCs w:val="20"/>
                <w:color w:val="auto"/>
              </w:rPr>
            </w:pPr>
            <w:r>
              <w:rPr>
                <w:rFonts w:ascii="Arial" w:cs="Arial" w:eastAsia="Arial" w:hAnsi="Arial"/>
                <w:sz w:val="15"/>
                <w:szCs w:val="15"/>
                <w:b w:val="1"/>
                <w:bCs w:val="1"/>
                <w:color w:val="auto"/>
              </w:rPr>
              <w:t>July 29,</w:t>
            </w:r>
          </w:p>
        </w:tc>
        <w:tc>
          <w:tcPr>
            <w:tcW w:w="260" w:type="dxa"/>
            <w:vAlign w:val="bottom"/>
          </w:tcPr>
          <w:p>
            <w:pPr>
              <w:spacing w:after="0"/>
              <w:rPr>
                <w:sz w:val="12"/>
                <w:szCs w:val="12"/>
                <w:color w:val="auto"/>
              </w:rPr>
            </w:pPr>
          </w:p>
        </w:tc>
        <w:tc>
          <w:tcPr>
            <w:tcW w:w="1000" w:type="dxa"/>
            <w:vAlign w:val="bottom"/>
          </w:tcPr>
          <w:p>
            <w:pPr>
              <w:jc w:val="right"/>
              <w:ind w:right="203"/>
              <w:spacing w:after="0" w:line="146" w:lineRule="exact"/>
              <w:rPr>
                <w:sz w:val="20"/>
                <w:szCs w:val="20"/>
                <w:color w:val="auto"/>
              </w:rPr>
            </w:pPr>
            <w:r>
              <w:rPr>
                <w:rFonts w:ascii="Arial" w:cs="Arial" w:eastAsia="Arial" w:hAnsi="Arial"/>
                <w:sz w:val="15"/>
                <w:szCs w:val="15"/>
                <w:b w:val="1"/>
                <w:bCs w:val="1"/>
                <w:color w:val="auto"/>
              </w:rPr>
              <w:t>August 4,</w:t>
            </w:r>
          </w:p>
        </w:tc>
        <w:tc>
          <w:tcPr>
            <w:tcW w:w="280" w:type="dxa"/>
            <w:vAlign w:val="bottom"/>
          </w:tcPr>
          <w:p>
            <w:pPr>
              <w:spacing w:after="0"/>
              <w:rPr>
                <w:sz w:val="12"/>
                <w:szCs w:val="12"/>
                <w:color w:val="auto"/>
              </w:rPr>
            </w:pPr>
          </w:p>
        </w:tc>
        <w:tc>
          <w:tcPr>
            <w:tcW w:w="880" w:type="dxa"/>
            <w:vAlign w:val="bottom"/>
          </w:tcPr>
          <w:p>
            <w:pPr>
              <w:jc w:val="right"/>
              <w:ind w:right="163"/>
              <w:spacing w:after="0" w:line="146" w:lineRule="exact"/>
              <w:rPr>
                <w:sz w:val="20"/>
                <w:szCs w:val="20"/>
                <w:color w:val="auto"/>
              </w:rPr>
            </w:pPr>
            <w:r>
              <w:rPr>
                <w:rFonts w:ascii="Arial" w:cs="Arial" w:eastAsia="Arial" w:hAnsi="Arial"/>
                <w:sz w:val="15"/>
                <w:szCs w:val="15"/>
                <w:b w:val="1"/>
                <w:bCs w:val="1"/>
                <w:color w:val="auto"/>
              </w:rPr>
              <w:t>July 29,</w:t>
            </w:r>
          </w:p>
        </w:tc>
        <w:tc>
          <w:tcPr>
            <w:tcW w:w="0" w:type="dxa"/>
            <w:vAlign w:val="bottom"/>
          </w:tcPr>
          <w:p>
            <w:pPr>
              <w:spacing w:after="0"/>
              <w:rPr>
                <w:sz w:val="1"/>
                <w:szCs w:val="1"/>
                <w:color w:val="auto"/>
              </w:rPr>
            </w:pPr>
          </w:p>
        </w:tc>
      </w:tr>
      <w:tr>
        <w:trPr>
          <w:trHeight w:val="205"/>
        </w:trPr>
        <w:tc>
          <w:tcPr>
            <w:tcW w:w="40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2018</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0" w:type="dxa"/>
            <w:vAlign w:val="bottom"/>
            <w:gridSpan w:val="4"/>
          </w:tcPr>
          <w:p>
            <w:pPr>
              <w:jc w:val="right"/>
              <w:ind w:right="43"/>
              <w:spacing w:after="0"/>
              <w:rPr>
                <w:sz w:val="20"/>
                <w:szCs w:val="20"/>
                <w:color w:val="auto"/>
              </w:rPr>
            </w:pPr>
            <w:r>
              <w:rPr>
                <w:rFonts w:ascii="Arial" w:cs="Arial" w:eastAsia="Arial" w:hAnsi="Arial"/>
                <w:sz w:val="15"/>
                <w:szCs w:val="15"/>
                <w:color w:val="auto"/>
              </w:rPr>
              <w:t>(in millions, except per share data)</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88</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51</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253</w:t>
            </w: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116.6</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131.3</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117.7</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131.3</w:t>
            </w:r>
          </w:p>
        </w:tc>
        <w:tc>
          <w:tcPr>
            <w:tcW w:w="0" w:type="dxa"/>
            <w:vAlign w:val="bottom"/>
          </w:tcPr>
          <w:p>
            <w:pPr>
              <w:spacing w:after="0"/>
              <w:rPr>
                <w:sz w:val="1"/>
                <w:szCs w:val="1"/>
                <w:color w:val="auto"/>
              </w:rPr>
            </w:pPr>
          </w:p>
        </w:tc>
      </w:tr>
      <w:tr>
        <w:trPr>
          <w:trHeight w:val="207"/>
        </w:trPr>
        <w:tc>
          <w:tcPr>
            <w:tcW w:w="40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Dilutive effect of potential common shares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0.5</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0.7</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0.4</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1"/>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 assuming</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117.1</w:t>
            </w: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118.1</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dilution</w:t>
            </w: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132.0</w:t>
            </w: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132.3</w:t>
            </w: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 - basic</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0.76</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0.39</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2.15</w:t>
            </w: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207"/>
        </w:trPr>
        <w:tc>
          <w:tcPr>
            <w:tcW w:w="4080" w:type="dxa"/>
            <w:vAlign w:val="bottom"/>
          </w:tcPr>
          <w:p>
            <w:pPr>
              <w:spacing w:after="0"/>
              <w:rPr>
                <w:sz w:val="20"/>
                <w:szCs w:val="20"/>
                <w:color w:val="auto"/>
              </w:rPr>
            </w:pPr>
            <w:r>
              <w:rPr>
                <w:rFonts w:ascii="Arial" w:cs="Arial" w:eastAsia="Arial" w:hAnsi="Arial"/>
                <w:sz w:val="15"/>
                <w:szCs w:val="15"/>
                <w:color w:val="auto"/>
              </w:rPr>
              <w:t>Earnings per share - diluted</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0.75</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0.39</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rPr>
              <w:t>2.14</w:t>
            </w: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95"/>
        </w:trPr>
        <w:tc>
          <w:tcPr>
            <w:tcW w:w="4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80" w:type="dxa"/>
            <w:vAlign w:val="bottom"/>
          </w:tcPr>
          <w:p>
            <w:pPr>
              <w:spacing w:after="0"/>
              <w:rPr>
                <w:sz w:val="20"/>
                <w:szCs w:val="20"/>
                <w:color w:val="auto"/>
              </w:rPr>
            </w:pPr>
            <w:r>
              <w:rPr>
                <w:rFonts w:ascii="Arial" w:cs="Arial" w:eastAsia="Arial" w:hAnsi="Arial"/>
                <w:sz w:val="15"/>
                <w:szCs w:val="15"/>
                <w:color w:val="auto"/>
              </w:rPr>
              <w:t>Anti-dilutive option awards excluded from diluted</w:t>
            </w:r>
          </w:p>
        </w:tc>
        <w:tc>
          <w:tcPr>
            <w:tcW w:w="260" w:type="dxa"/>
            <w:vAlign w:val="bottom"/>
          </w:tcPr>
          <w:p>
            <w:pPr>
              <w:spacing w:after="0"/>
              <w:rPr>
                <w:sz w:val="17"/>
                <w:szCs w:val="17"/>
                <w:color w:val="auto"/>
              </w:rPr>
            </w:pPr>
          </w:p>
        </w:tc>
        <w:tc>
          <w:tcPr>
            <w:tcW w:w="100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2.0</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auto"/>
              </w:rPr>
              <w:t>1.7</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calculation</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1.7</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Additionally, shares of 1.1 million and 0.4 million as of August 4, 2018 and July 29, 2017, respectively, have been excluded from diluted weighted-average shares as the number of shares that will be issued is contingent on the Company’s performance metrics as compared to the pre-established performance goals which have not been achieved as of August 4, 2018 and July 29, 2017. These shares relate to restricted stock units issued in connection with the Company’s long-term incentive program.</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Pension and Postretirement Plans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Company has defined benefit pension plans covering certain of its North American employees, which are funded in accordance with the provisions of the laws where the plans are in effect. The Company also has a defined benefit pension plan covering certain employees of the Runners Point Group. 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4" w:name="page15"/>
    <w:bookmarkEnd w:id="14"/>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The following are the components of net periodic pension benefit cost and net periodic postretirement benefit income. In conjunction with the adoption of ASU 2017-07, </w:t>
      </w:r>
      <w:r>
        <w:rPr>
          <w:rFonts w:ascii="Arial" w:cs="Arial" w:eastAsia="Arial" w:hAnsi="Arial"/>
          <w:sz w:val="15"/>
          <w:szCs w:val="15"/>
          <w:i w:val="1"/>
          <w:iCs w:val="1"/>
          <w:color w:val="auto"/>
        </w:rPr>
        <w:t>Compensation - Retirement Benefits (Topic 715) Improving the Presentation of Net Periodic</w:t>
      </w:r>
      <w:r>
        <w:rPr>
          <w:rFonts w:ascii="Arial" w:cs="Arial" w:eastAsia="Arial" w:hAnsi="Arial"/>
          <w:sz w:val="15"/>
          <w:szCs w:val="15"/>
          <w:color w:val="auto"/>
        </w:rPr>
        <w:t xml:space="preserve"> </w:t>
      </w:r>
      <w:r>
        <w:rPr>
          <w:rFonts w:ascii="Arial" w:cs="Arial" w:eastAsia="Arial" w:hAnsi="Arial"/>
          <w:sz w:val="15"/>
          <w:szCs w:val="15"/>
          <w:i w:val="1"/>
          <w:iCs w:val="1"/>
          <w:color w:val="auto"/>
        </w:rPr>
        <w:t>Pension Cost and Net Periodic Postretirement Benefit Cost</w:t>
      </w:r>
      <w:r>
        <w:rPr>
          <w:rFonts w:ascii="Arial" w:cs="Arial" w:eastAsia="Arial" w:hAnsi="Arial"/>
          <w:sz w:val="15"/>
          <w:szCs w:val="15"/>
          <w:color w:val="auto"/>
        </w:rPr>
        <w:t>, service cost continues to be recognized as part of SG&amp;A expense, while</w:t>
      </w:r>
      <w:r>
        <w:rPr>
          <w:rFonts w:ascii="Arial" w:cs="Arial" w:eastAsia="Arial" w:hAnsi="Arial"/>
          <w:sz w:val="15"/>
          <w:szCs w:val="15"/>
          <w:i w:val="1"/>
          <w:iCs w:val="1"/>
          <w:color w:val="auto"/>
        </w:rPr>
        <w:t xml:space="preserve"> </w:t>
      </w:r>
      <w:r>
        <w:rPr>
          <w:rFonts w:ascii="Arial" w:cs="Arial" w:eastAsia="Arial" w:hAnsi="Arial"/>
          <w:sz w:val="15"/>
          <w:szCs w:val="15"/>
          <w:color w:val="auto"/>
        </w:rPr>
        <w:t>the remaining pension and postretirement expense components are now recognized as part of other income. Prior periods were not reclassified as required by this ASU as the amounts were not considered significant.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5"/>
                <w:szCs w:val="15"/>
                <w:b w:val="1"/>
                <w:bCs w:val="1"/>
                <w:color w:val="auto"/>
              </w:rPr>
              <w:t>Pension Benefits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Postretirement Benefits</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tcPr>
          <w:p>
            <w:pPr>
              <w:jc w:val="right"/>
              <w:ind w:right="223"/>
              <w:spacing w:after="0" w:line="139" w:lineRule="exact"/>
              <w:rPr>
                <w:sz w:val="20"/>
                <w:szCs w:val="20"/>
                <w:color w:val="auto"/>
              </w:rPr>
            </w:pPr>
            <w:r>
              <w:rPr>
                <w:rFonts w:ascii="Arial" w:cs="Arial" w:eastAsia="Arial" w:hAnsi="Arial"/>
                <w:sz w:val="15"/>
                <w:szCs w:val="15"/>
                <w:b w:val="1"/>
                <w:bCs w:val="1"/>
                <w:color w:val="auto"/>
              </w:rPr>
              <w:t>Twenty-six weeks</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tcPr>
          <w:p>
            <w:pPr>
              <w:jc w:val="right"/>
              <w:ind w:right="103"/>
              <w:spacing w:after="0" w:line="139" w:lineRule="exact"/>
              <w:rPr>
                <w:sz w:val="20"/>
                <w:szCs w:val="20"/>
                <w:color w:val="auto"/>
              </w:rPr>
            </w:pPr>
            <w:r>
              <w:rPr>
                <w:rFonts w:ascii="Arial" w:cs="Arial" w:eastAsia="Arial" w:hAnsi="Arial"/>
                <w:sz w:val="15"/>
                <w:szCs w:val="15"/>
                <w:b w:val="1"/>
                <w:bCs w:val="1"/>
                <w:color w:val="auto"/>
              </w:rPr>
              <w:t>Twenty-six weeks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5"/>
                <w:szCs w:val="15"/>
                <w:b w:val="1"/>
                <w:bCs w:val="1"/>
                <w:color w:val="auto"/>
              </w:rPr>
              <w:t>Thirteen weeks ended</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5"/>
                <w:szCs w:val="15"/>
                <w:b w:val="1"/>
                <w:bCs w:val="1"/>
                <w:color w:val="auto"/>
              </w:rPr>
              <w:t>ended</w:t>
            </w:r>
          </w:p>
        </w:tc>
        <w:tc>
          <w:tcPr>
            <w:tcW w:w="178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5"/>
                <w:szCs w:val="15"/>
                <w:b w:val="1"/>
                <w:bCs w:val="1"/>
                <w:color w:val="auto"/>
              </w:rPr>
              <w:t>Thirteen weeks ended</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040" w:type="dxa"/>
            <w:vAlign w:val="bottom"/>
            <w:gridSpan w:val="2"/>
          </w:tcPr>
          <w:p>
            <w:pPr>
              <w:jc w:val="center"/>
              <w:ind w:left="43"/>
              <w:spacing w:after="0"/>
              <w:rPr>
                <w:sz w:val="20"/>
                <w:szCs w:val="20"/>
                <w:color w:val="auto"/>
              </w:rPr>
            </w:pPr>
            <w:r>
              <w:rPr>
                <w:rFonts w:ascii="Arial" w:cs="Arial" w:eastAsia="Arial" w:hAnsi="Arial"/>
                <w:sz w:val="15"/>
                <w:szCs w:val="15"/>
                <w:b w:val="1"/>
                <w:bCs w:val="1"/>
                <w:color w:val="auto"/>
              </w:rPr>
              <w:t>Aug. 4,</w:t>
            </w:r>
          </w:p>
        </w:tc>
        <w:tc>
          <w:tcPr>
            <w:tcW w:w="160" w:type="dxa"/>
            <w:vAlign w:val="bottom"/>
          </w:tcPr>
          <w:p>
            <w:pPr>
              <w:spacing w:after="0"/>
              <w:rPr>
                <w:sz w:val="15"/>
                <w:szCs w:val="15"/>
                <w:color w:val="auto"/>
              </w:rPr>
            </w:pPr>
          </w:p>
        </w:tc>
        <w:tc>
          <w:tcPr>
            <w:tcW w:w="800" w:type="dxa"/>
            <w:vAlign w:val="bottom"/>
          </w:tcPr>
          <w:p>
            <w:pPr>
              <w:jc w:val="right"/>
              <w:ind w:right="143"/>
              <w:spacing w:after="0"/>
              <w:rPr>
                <w:sz w:val="20"/>
                <w:szCs w:val="20"/>
                <w:color w:val="auto"/>
              </w:rPr>
            </w:pPr>
            <w:r>
              <w:rPr>
                <w:rFonts w:ascii="Arial" w:cs="Arial" w:eastAsia="Arial" w:hAnsi="Arial"/>
                <w:sz w:val="15"/>
                <w:szCs w:val="15"/>
                <w:b w:val="1"/>
                <w:bCs w:val="1"/>
                <w:color w:val="auto"/>
              </w:rPr>
              <w:t>July 29,</w:t>
            </w:r>
          </w:p>
        </w:tc>
        <w:tc>
          <w:tcPr>
            <w:tcW w:w="86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Aug. 4,</w:t>
            </w:r>
          </w:p>
        </w:tc>
        <w:tc>
          <w:tcPr>
            <w:tcW w:w="160" w:type="dxa"/>
            <w:vAlign w:val="bottom"/>
          </w:tcPr>
          <w:p>
            <w:pPr>
              <w:spacing w:after="0"/>
              <w:rPr>
                <w:sz w:val="15"/>
                <w:szCs w:val="15"/>
                <w:color w:val="auto"/>
              </w:rPr>
            </w:pPr>
          </w:p>
        </w:tc>
        <w:tc>
          <w:tcPr>
            <w:tcW w:w="780" w:type="dxa"/>
            <w:vAlign w:val="bottom"/>
          </w:tcPr>
          <w:p>
            <w:pPr>
              <w:jc w:val="right"/>
              <w:ind w:right="123"/>
              <w:spacing w:after="0"/>
              <w:rPr>
                <w:sz w:val="20"/>
                <w:szCs w:val="20"/>
                <w:color w:val="auto"/>
              </w:rPr>
            </w:pPr>
            <w:r>
              <w:rPr>
                <w:rFonts w:ascii="Arial" w:cs="Arial" w:eastAsia="Arial" w:hAnsi="Arial"/>
                <w:sz w:val="15"/>
                <w:szCs w:val="15"/>
                <w:b w:val="1"/>
                <w:bCs w:val="1"/>
                <w:color w:val="auto"/>
              </w:rPr>
              <w:t>July 29,</w:t>
            </w:r>
          </w:p>
        </w:tc>
        <w:tc>
          <w:tcPr>
            <w:tcW w:w="840" w:type="dxa"/>
            <w:vAlign w:val="bottom"/>
            <w:gridSpan w:val="2"/>
          </w:tcPr>
          <w:p>
            <w:pPr>
              <w:jc w:val="right"/>
              <w:ind w:right="83"/>
              <w:spacing w:after="0"/>
              <w:rPr>
                <w:sz w:val="20"/>
                <w:szCs w:val="20"/>
                <w:color w:val="auto"/>
              </w:rPr>
            </w:pPr>
            <w:r>
              <w:rPr>
                <w:rFonts w:ascii="Arial" w:cs="Arial" w:eastAsia="Arial" w:hAnsi="Arial"/>
                <w:sz w:val="15"/>
                <w:szCs w:val="15"/>
                <w:b w:val="1"/>
                <w:bCs w:val="1"/>
                <w:color w:val="auto"/>
              </w:rPr>
              <w:t>Aug. 4,</w:t>
            </w:r>
          </w:p>
        </w:tc>
        <w:tc>
          <w:tcPr>
            <w:tcW w:w="160" w:type="dxa"/>
            <w:vAlign w:val="bottom"/>
          </w:tcPr>
          <w:p>
            <w:pPr>
              <w:spacing w:after="0"/>
              <w:rPr>
                <w:sz w:val="15"/>
                <w:szCs w:val="15"/>
                <w:color w:val="auto"/>
              </w:rPr>
            </w:pPr>
          </w:p>
        </w:tc>
        <w:tc>
          <w:tcPr>
            <w:tcW w:w="780" w:type="dxa"/>
            <w:vAlign w:val="bottom"/>
          </w:tcPr>
          <w:p>
            <w:pPr>
              <w:jc w:val="right"/>
              <w:ind w:right="123"/>
              <w:spacing w:after="0"/>
              <w:rPr>
                <w:sz w:val="20"/>
                <w:szCs w:val="20"/>
                <w:color w:val="auto"/>
              </w:rPr>
            </w:pPr>
            <w:r>
              <w:rPr>
                <w:rFonts w:ascii="Arial" w:cs="Arial" w:eastAsia="Arial" w:hAnsi="Arial"/>
                <w:sz w:val="15"/>
                <w:szCs w:val="15"/>
                <w:b w:val="1"/>
                <w:bCs w:val="1"/>
                <w:color w:val="auto"/>
              </w:rPr>
              <w:t>July 29,</w:t>
            </w:r>
          </w:p>
        </w:tc>
        <w:tc>
          <w:tcPr>
            <w:tcW w:w="84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Aug. 4,</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July 29,</w:t>
            </w:r>
          </w:p>
        </w:tc>
        <w:tc>
          <w:tcPr>
            <w:tcW w:w="0" w:type="dxa"/>
            <w:vAlign w:val="bottom"/>
          </w:tcPr>
          <w:p>
            <w:pPr>
              <w:spacing w:after="0"/>
              <w:rPr>
                <w:sz w:val="1"/>
                <w:szCs w:val="1"/>
                <w:color w:val="auto"/>
              </w:rPr>
            </w:pPr>
          </w:p>
        </w:tc>
      </w:tr>
      <w:tr>
        <w:trPr>
          <w:trHeight w:val="194"/>
        </w:trPr>
        <w:tc>
          <w:tcPr>
            <w:tcW w:w="1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2018</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2017</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2018</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2018</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2018</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Service cost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shd w:val="clear" w:color="auto" w:fill="CCEEFF"/>
          </w:tcPr>
          <w:p>
            <w:pPr>
              <w:jc w:val="center"/>
              <w:ind w:left="303"/>
              <w:spacing w:after="0"/>
              <w:rPr>
                <w:sz w:val="20"/>
                <w:szCs w:val="20"/>
                <w:color w:val="auto"/>
              </w:rPr>
            </w:pPr>
            <w:r>
              <w:rPr>
                <w:rFonts w:ascii="Arial" w:cs="Arial" w:eastAsia="Arial" w:hAnsi="Arial"/>
                <w:sz w:val="15"/>
                <w:szCs w:val="15"/>
                <w:b w:val="1"/>
                <w:bCs w:val="1"/>
                <w:color w:val="auto"/>
                <w:w w:val="95"/>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860" w:type="dxa"/>
            <w:vAlign w:val="bottom"/>
          </w:tcPr>
          <w:p>
            <w:pPr>
              <w:spacing w:after="0"/>
              <w:rPr>
                <w:sz w:val="20"/>
                <w:szCs w:val="20"/>
                <w:color w:val="auto"/>
              </w:rPr>
            </w:pPr>
            <w:r>
              <w:rPr>
                <w:rFonts w:ascii="Arial" w:cs="Arial" w:eastAsia="Arial" w:hAnsi="Arial"/>
                <w:sz w:val="15"/>
                <w:szCs w:val="15"/>
                <w:color w:val="auto"/>
              </w:rPr>
              <w:t>Interest cost</w:t>
            </w:r>
          </w:p>
        </w:tc>
        <w:tc>
          <w:tcPr>
            <w:tcW w:w="380" w:type="dxa"/>
            <w:vAlign w:val="bottom"/>
          </w:tcPr>
          <w:p>
            <w:pPr>
              <w:spacing w:after="0"/>
              <w:rPr>
                <w:sz w:val="17"/>
                <w:szCs w:val="17"/>
                <w:color w:val="auto"/>
              </w:rPr>
            </w:pPr>
          </w:p>
        </w:tc>
        <w:tc>
          <w:tcPr>
            <w:tcW w:w="660" w:type="dxa"/>
            <w:vAlign w:val="bottom"/>
          </w:tcPr>
          <w:p>
            <w:pPr>
              <w:jc w:val="center"/>
              <w:ind w:left="303"/>
              <w:spacing w:after="0"/>
              <w:rPr>
                <w:sz w:val="20"/>
                <w:szCs w:val="20"/>
                <w:color w:val="auto"/>
              </w:rPr>
            </w:pPr>
            <w:r>
              <w:rPr>
                <w:rFonts w:ascii="Arial" w:cs="Arial" w:eastAsia="Arial" w:hAnsi="Arial"/>
                <w:sz w:val="15"/>
                <w:szCs w:val="15"/>
                <w:b w:val="1"/>
                <w:bCs w:val="1"/>
                <w:color w:val="auto"/>
                <w:w w:val="95"/>
              </w:rPr>
              <w:t>7</w:t>
            </w:r>
          </w:p>
        </w:tc>
        <w:tc>
          <w:tcPr>
            <w:tcW w:w="160" w:type="dxa"/>
            <w:vAlign w:val="bottom"/>
          </w:tcPr>
          <w:p>
            <w:pPr>
              <w:spacing w:after="0"/>
              <w:rPr>
                <w:sz w:val="17"/>
                <w:szCs w:val="17"/>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7</w:t>
            </w:r>
          </w:p>
        </w:tc>
        <w:tc>
          <w:tcPr>
            <w:tcW w:w="20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Arial" w:cs="Arial" w:eastAsia="Arial" w:hAnsi="Arial"/>
                <w:sz w:val="15"/>
                <w:szCs w:val="15"/>
                <w:b w:val="1"/>
                <w:bCs w:val="1"/>
                <w:color w:val="auto"/>
              </w:rPr>
              <w:t>13</w:t>
            </w:r>
          </w:p>
        </w:tc>
        <w:tc>
          <w:tcPr>
            <w:tcW w:w="160" w:type="dxa"/>
            <w:vAlign w:val="bottom"/>
          </w:tcPr>
          <w:p>
            <w:pPr>
              <w:spacing w:after="0"/>
              <w:rPr>
                <w:sz w:val="17"/>
                <w:szCs w:val="17"/>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spacing w:after="0"/>
              <w:rPr>
                <w:sz w:val="20"/>
                <w:szCs w:val="20"/>
                <w:color w:val="auto"/>
              </w:rPr>
            </w:pPr>
            <w:r>
              <w:rPr>
                <w:rFonts w:ascii="Arial" w:cs="Arial" w:eastAsia="Arial" w:hAnsi="Arial"/>
                <w:sz w:val="15"/>
                <w:szCs w:val="15"/>
                <w:color w:val="auto"/>
              </w:rPr>
              <w:t>Expected return on plan</w:t>
            </w:r>
          </w:p>
        </w:tc>
        <w:tc>
          <w:tcPr>
            <w:tcW w:w="3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center"/>
              <w:ind w:left="303"/>
              <w:spacing w:after="0"/>
              <w:rPr>
                <w:sz w:val="20"/>
                <w:szCs w:val="20"/>
                <w:color w:val="auto"/>
              </w:rPr>
            </w:pPr>
            <w:r>
              <w:rPr>
                <w:rFonts w:ascii="Arial" w:cs="Arial" w:eastAsia="Arial" w:hAnsi="Arial"/>
                <w:sz w:val="15"/>
                <w:szCs w:val="15"/>
                <w:b w:val="1"/>
                <w:bCs w:val="1"/>
                <w:color w:val="auto"/>
              </w:rPr>
              <w:t>(9)</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60" w:type="dxa"/>
            <w:vAlign w:val="bottom"/>
            <w:shd w:val="clear" w:color="auto" w:fill="CCEEFF"/>
          </w:tcPr>
          <w:p>
            <w:pPr>
              <w:ind w:left="80"/>
              <w:spacing w:after="0"/>
              <w:rPr>
                <w:sz w:val="20"/>
                <w:szCs w:val="20"/>
                <w:color w:val="auto"/>
              </w:rPr>
            </w:pPr>
            <w:r>
              <w:rPr>
                <w:rFonts w:ascii="Arial" w:cs="Arial" w:eastAsia="Arial" w:hAnsi="Arial"/>
                <w:sz w:val="15"/>
                <w:szCs w:val="15"/>
                <w:color w:val="auto"/>
              </w:rPr>
              <w:t>assets</w:t>
            </w:r>
          </w:p>
        </w:tc>
        <w:tc>
          <w:tcPr>
            <w:tcW w:w="3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w:t>
            </w:r>
          </w:p>
        </w:tc>
        <w:tc>
          <w:tcPr>
            <w:tcW w:w="2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w:t>
            </w:r>
          </w:p>
        </w:tc>
        <w:tc>
          <w:tcPr>
            <w:tcW w:w="2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Arial" w:cs="Arial" w:eastAsia="Arial" w:hAnsi="Arial"/>
                <w:sz w:val="15"/>
                <w:szCs w:val="15"/>
                <w:color w:val="auto"/>
              </w:rPr>
              <w:t>Amortization of net loss</w:t>
            </w:r>
          </w:p>
        </w:tc>
        <w:tc>
          <w:tcPr>
            <w:tcW w:w="380" w:type="dxa"/>
            <w:vAlign w:val="bottom"/>
          </w:tcPr>
          <w:p>
            <w:pPr>
              <w:spacing w:after="0"/>
              <w:rPr>
                <w:sz w:val="16"/>
                <w:szCs w:val="16"/>
                <w:color w:val="auto"/>
              </w:rPr>
            </w:pPr>
          </w:p>
        </w:tc>
        <w:tc>
          <w:tcPr>
            <w:tcW w:w="660" w:type="dxa"/>
            <w:vAlign w:val="bottom"/>
            <w:vMerge w:val="restart"/>
          </w:tcPr>
          <w:p>
            <w:pPr>
              <w:jc w:val="center"/>
              <w:ind w:left="303"/>
              <w:spacing w:after="0"/>
              <w:rPr>
                <w:sz w:val="20"/>
                <w:szCs w:val="20"/>
                <w:color w:val="auto"/>
              </w:rPr>
            </w:pPr>
            <w:r>
              <w:rPr>
                <w:rFonts w:ascii="Arial" w:cs="Arial" w:eastAsia="Arial" w:hAnsi="Arial"/>
                <w:sz w:val="15"/>
                <w:szCs w:val="15"/>
                <w:b w:val="1"/>
                <w:bCs w:val="1"/>
                <w:color w:val="auto"/>
                <w:w w:val="95"/>
              </w:rPr>
              <w:t>3</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6</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60" w:type="dxa"/>
            <w:vAlign w:val="bottom"/>
          </w:tcPr>
          <w:p>
            <w:pPr>
              <w:ind w:left="80"/>
              <w:spacing w:after="0"/>
              <w:rPr>
                <w:sz w:val="20"/>
                <w:szCs w:val="20"/>
                <w:color w:val="auto"/>
              </w:rPr>
            </w:pPr>
            <w:r>
              <w:rPr>
                <w:rFonts w:ascii="Arial" w:cs="Arial" w:eastAsia="Arial" w:hAnsi="Arial"/>
                <w:sz w:val="15"/>
                <w:szCs w:val="15"/>
                <w:color w:val="auto"/>
              </w:rPr>
              <w:t>(gain)</w:t>
            </w:r>
          </w:p>
        </w:tc>
        <w:tc>
          <w:tcPr>
            <w:tcW w:w="3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4</w:t>
            </w: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7</w:t>
            </w:r>
          </w:p>
        </w:tc>
        <w:tc>
          <w:tcPr>
            <w:tcW w:w="2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6"/>
        </w:trPr>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Net benefit expense</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tcBorders>
            <w:vMerge w:val="restart"/>
            <w:shd w:val="clear" w:color="auto" w:fill="CCEEFF"/>
          </w:tcPr>
          <w:p>
            <w:pPr>
              <w:jc w:val="center"/>
              <w:ind w:left="303"/>
              <w:spacing w:after="0"/>
              <w:rPr>
                <w:sz w:val="20"/>
                <w:szCs w:val="20"/>
                <w:color w:val="auto"/>
              </w:rPr>
            </w:pPr>
            <w:r>
              <w:rPr>
                <w:rFonts w:ascii="Arial" w:cs="Arial" w:eastAsia="Arial" w:hAnsi="Arial"/>
                <w:sz w:val="15"/>
                <w:szCs w:val="15"/>
                <w:b w:val="1"/>
                <w:bCs w:val="1"/>
                <w:color w:val="auto"/>
                <w:w w:val="95"/>
              </w:rPr>
              <w:t>5</w:t>
            </w: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w:t>
            </w: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w:t>
            </w: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(income)</w:t>
            </w: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w:t>
            </w: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w:t>
            </w: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Company contributed $30 million in May 2018 and $98 million in early September 2018 to the U.S. qualified pension plan. The Company continually evaluates the amount and timing of any future contributions.</w:t>
      </w:r>
    </w:p>
    <w:p>
      <w:pPr>
        <w:spacing w:after="0" w:line="130"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 xml:space="preserve">In connection with the pension litigation more fully disclosed in Note 14, </w:t>
      </w:r>
      <w:r>
        <w:rPr>
          <w:rFonts w:ascii="Arial" w:cs="Arial" w:eastAsia="Arial" w:hAnsi="Arial"/>
          <w:sz w:val="15"/>
          <w:szCs w:val="15"/>
          <w:i w:val="1"/>
          <w:iCs w:val="1"/>
          <w:color w:val="auto"/>
        </w:rPr>
        <w:t>Legal Proceedings</w:t>
      </w:r>
      <w:r>
        <w:rPr>
          <w:rFonts w:ascii="Arial" w:cs="Arial" w:eastAsia="Arial" w:hAnsi="Arial"/>
          <w:sz w:val="15"/>
          <w:szCs w:val="15"/>
          <w:color w:val="auto"/>
        </w:rPr>
        <w:t>, the Company reformed its U.S. qualified pension plan during the second quarter of 2018, which resulted in the reclassification of the accrued liability previously recorded and the remeasurement of the liability. The Company reclassified $194 million, after the payment of class counsel fees, to the U.S. qualified pension plan liability. After this reclassification, the remeasurement resulted in an increase to the benefit obligation of $12 million, with a corresponding charge to accumulated other comprehensive loss of $9 million, net of tax. The assumptions used to determine the remeasured benefit obligation did not change from the beginning of the year with the exception of the discount rate which increased from 3.7 percent to 4.0 percent.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Share-Based Compensation</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Total compensation expense included in SG&amp;A, and the associated tax benefits recognized related to the Company’s share-based compensation plans,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ind w:left="520"/>
              <w:spacing w:after="0"/>
              <w:rPr>
                <w:sz w:val="20"/>
                <w:szCs w:val="20"/>
                <w:color w:val="auto"/>
              </w:rPr>
            </w:pPr>
            <w:r>
              <w:rPr>
                <w:rFonts w:ascii="Arial" w:cs="Arial" w:eastAsia="Arial" w:hAnsi="Arial"/>
                <w:sz w:val="15"/>
                <w:szCs w:val="15"/>
                <w:b w:val="1"/>
                <w:bCs w:val="1"/>
                <w:color w:val="auto"/>
              </w:rPr>
              <w:t>Thirteen weeks ended</w:t>
            </w: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5"/>
                <w:szCs w:val="15"/>
                <w:b w:val="1"/>
                <w:bCs w:val="1"/>
                <w:color w:val="auto"/>
              </w:rPr>
              <w:t>Twenty-six weeks ended</w:t>
            </w:r>
          </w:p>
        </w:tc>
        <w:tc>
          <w:tcPr>
            <w:tcW w:w="0" w:type="dxa"/>
            <w:vAlign w:val="bottom"/>
          </w:tcPr>
          <w:p>
            <w:pPr>
              <w:spacing w:after="0"/>
              <w:rPr>
                <w:sz w:val="1"/>
                <w:szCs w:val="1"/>
                <w:color w:val="auto"/>
              </w:rPr>
            </w:pPr>
          </w:p>
        </w:tc>
      </w:tr>
      <w:tr>
        <w:trPr>
          <w:trHeight w:val="151"/>
        </w:trPr>
        <w:tc>
          <w:tcPr>
            <w:tcW w:w="4160" w:type="dxa"/>
            <w:vAlign w:val="bottom"/>
          </w:tcPr>
          <w:p>
            <w:pPr>
              <w:spacing w:after="0"/>
              <w:rPr>
                <w:sz w:val="13"/>
                <w:szCs w:val="13"/>
                <w:color w:val="auto"/>
              </w:rPr>
            </w:pPr>
          </w:p>
        </w:tc>
        <w:tc>
          <w:tcPr>
            <w:tcW w:w="108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August 4,</w:t>
            </w:r>
          </w:p>
        </w:tc>
        <w:tc>
          <w:tcPr>
            <w:tcW w:w="320" w:type="dxa"/>
            <w:vAlign w:val="bottom"/>
          </w:tcPr>
          <w:p>
            <w:pPr>
              <w:spacing w:after="0"/>
              <w:rPr>
                <w:sz w:val="13"/>
                <w:szCs w:val="13"/>
                <w:color w:val="auto"/>
              </w:rPr>
            </w:pPr>
          </w:p>
        </w:tc>
        <w:tc>
          <w:tcPr>
            <w:tcW w:w="90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July 29,</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03"/>
              <w:spacing w:after="0" w:line="151" w:lineRule="exact"/>
              <w:rPr>
                <w:sz w:val="20"/>
                <w:szCs w:val="20"/>
                <w:color w:val="auto"/>
              </w:rPr>
            </w:pPr>
            <w:r>
              <w:rPr>
                <w:rFonts w:ascii="Arial" w:cs="Arial" w:eastAsia="Arial" w:hAnsi="Arial"/>
                <w:sz w:val="15"/>
                <w:szCs w:val="15"/>
                <w:b w:val="1"/>
                <w:bCs w:val="1"/>
                <w:color w:val="auto"/>
                <w:w w:val="99"/>
              </w:rPr>
              <w:t>August 4,</w:t>
            </w:r>
          </w:p>
        </w:tc>
        <w:tc>
          <w:tcPr>
            <w:tcW w:w="260" w:type="dxa"/>
            <w:vAlign w:val="bottom"/>
          </w:tcPr>
          <w:p>
            <w:pPr>
              <w:spacing w:after="0"/>
              <w:rPr>
                <w:sz w:val="13"/>
                <w:szCs w:val="13"/>
                <w:color w:val="auto"/>
              </w:rPr>
            </w:pPr>
          </w:p>
        </w:tc>
        <w:tc>
          <w:tcPr>
            <w:tcW w:w="840" w:type="dxa"/>
            <w:vAlign w:val="bottom"/>
          </w:tcPr>
          <w:p>
            <w:pPr>
              <w:jc w:val="right"/>
              <w:ind w:right="163"/>
              <w:spacing w:after="0" w:line="151" w:lineRule="exact"/>
              <w:rPr>
                <w:sz w:val="20"/>
                <w:szCs w:val="20"/>
                <w:color w:val="auto"/>
              </w:rPr>
            </w:pPr>
            <w:r>
              <w:rPr>
                <w:rFonts w:ascii="Arial" w:cs="Arial" w:eastAsia="Arial" w:hAnsi="Arial"/>
                <w:sz w:val="15"/>
                <w:szCs w:val="15"/>
                <w:b w:val="1"/>
                <w:bCs w:val="1"/>
                <w:color w:val="auto"/>
              </w:rPr>
              <w:t>July 29,</w:t>
            </w:r>
          </w:p>
        </w:tc>
        <w:tc>
          <w:tcPr>
            <w:tcW w:w="0" w:type="dxa"/>
            <w:vAlign w:val="bottom"/>
          </w:tcPr>
          <w:p>
            <w:pPr>
              <w:spacing w:after="0"/>
              <w:rPr>
                <w:sz w:val="1"/>
                <w:szCs w:val="1"/>
                <w:color w:val="auto"/>
              </w:rPr>
            </w:pPr>
          </w:p>
        </w:tc>
      </w:tr>
      <w:tr>
        <w:trPr>
          <w:trHeight w:val="194"/>
        </w:trPr>
        <w:tc>
          <w:tcPr>
            <w:tcW w:w="4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rPr>
              <w:t>2018</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763"/>
              <w:spacing w:after="0"/>
              <w:rPr>
                <w:sz w:val="20"/>
                <w:szCs w:val="20"/>
                <w:color w:val="auto"/>
              </w:rPr>
            </w:pPr>
            <w:r>
              <w:rPr>
                <w:rFonts w:ascii="Arial" w:cs="Arial" w:eastAsia="Arial" w:hAnsi="Arial"/>
                <w:sz w:val="15"/>
                <w:szCs w:val="15"/>
                <w:color w:val="auto"/>
              </w:rPr>
              <w:t>($ 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Options and shares purchased under the employee stock</w:t>
            </w:r>
          </w:p>
        </w:tc>
        <w:tc>
          <w:tcPr>
            <w:tcW w:w="1080" w:type="dxa"/>
            <w:vAlign w:val="bottom"/>
            <w:vMerge w:val="restart"/>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w:t>
            </w:r>
          </w:p>
        </w:tc>
        <w:tc>
          <w:tcPr>
            <w:tcW w:w="320" w:type="dxa"/>
            <w:vAlign w:val="bottom"/>
            <w:vMerge w:val="restart"/>
            <w:shd w:val="clear" w:color="auto" w:fill="CCEEFF"/>
          </w:tcPr>
          <w:p>
            <w:pPr>
              <w:jc w:val="center"/>
              <w:ind w:right="63"/>
              <w:spacing w:after="0"/>
              <w:rPr>
                <w:sz w:val="20"/>
                <w:szCs w:val="20"/>
                <w:color w:val="auto"/>
              </w:rPr>
            </w:pPr>
            <w:r>
              <w:rPr>
                <w:rFonts w:ascii="Arial" w:cs="Arial" w:eastAsia="Arial" w:hAnsi="Arial"/>
                <w:sz w:val="15"/>
                <w:szCs w:val="15"/>
                <w:b w:val="1"/>
                <w:bCs w:val="1"/>
                <w:color w:val="auto"/>
              </w:rPr>
              <w:t>1</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purchase plan</w:t>
            </w:r>
          </w:p>
        </w:tc>
        <w:tc>
          <w:tcPr>
            <w:tcW w:w="108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90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center"/>
              <w:ind w:right="23"/>
              <w:spacing w:after="0"/>
              <w:rPr>
                <w:sz w:val="20"/>
                <w:szCs w:val="20"/>
                <w:color w:val="auto"/>
              </w:rPr>
            </w:pPr>
            <w:r>
              <w:rPr>
                <w:rFonts w:ascii="Arial" w:cs="Arial" w:eastAsia="Arial" w:hAnsi="Arial"/>
                <w:sz w:val="15"/>
                <w:szCs w:val="15"/>
                <w:color w:val="auto"/>
                <w:w w:val="95"/>
              </w:rPr>
              <w:t>3</w:t>
            </w:r>
          </w:p>
        </w:tc>
        <w:tc>
          <w:tcPr>
            <w:tcW w:w="22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7"/>
        </w:trPr>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Restricted stock and restricted stock units</w:t>
            </w:r>
          </w:p>
        </w:tc>
        <w:tc>
          <w:tcPr>
            <w:tcW w:w="1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rPr>
              <w:t>3</w:t>
            </w: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6</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9"/>
        </w:trPr>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share-based compensation expense</w:t>
            </w:r>
          </w:p>
        </w:tc>
        <w:tc>
          <w:tcPr>
            <w:tcW w:w="108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shd w:val="clear" w:color="auto" w:fill="CCEEFF"/>
          </w:tcPr>
          <w:p>
            <w:pPr>
              <w:jc w:val="center"/>
              <w:ind w:right="63"/>
              <w:spacing w:after="0"/>
              <w:rPr>
                <w:sz w:val="20"/>
                <w:szCs w:val="20"/>
                <w:color w:val="auto"/>
              </w:rPr>
            </w:pPr>
            <w:r>
              <w:rPr>
                <w:rFonts w:ascii="Arial" w:cs="Arial" w:eastAsia="Arial" w:hAnsi="Arial"/>
                <w:sz w:val="15"/>
                <w:szCs w:val="15"/>
                <w:b w:val="1"/>
                <w:bCs w:val="1"/>
                <w:color w:val="auto"/>
              </w:rPr>
              <w:t>4</w:t>
            </w:r>
          </w:p>
        </w:tc>
        <w:tc>
          <w:tcPr>
            <w:tcW w:w="90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jc w:val="center"/>
              <w:ind w:right="23"/>
              <w:spacing w:after="0"/>
              <w:rPr>
                <w:sz w:val="20"/>
                <w:szCs w:val="20"/>
                <w:color w:val="auto"/>
              </w:rPr>
            </w:pPr>
            <w:r>
              <w:rPr>
                <w:rFonts w:ascii="Arial" w:cs="Arial" w:eastAsia="Arial" w:hAnsi="Arial"/>
                <w:sz w:val="15"/>
                <w:szCs w:val="15"/>
                <w:color w:val="auto"/>
                <w:w w:val="95"/>
              </w:rPr>
              <w:t>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Tax benefit recognized</w:t>
            </w:r>
          </w:p>
        </w:tc>
        <w:tc>
          <w:tcPr>
            <w:tcW w:w="108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shd w:val="clear" w:color="auto" w:fill="CCEEFF"/>
          </w:tcPr>
          <w:p>
            <w:pPr>
              <w:jc w:val="center"/>
              <w:ind w:right="43"/>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jc w:val="center"/>
              <w:ind w:right="23"/>
              <w:spacing w:after="0"/>
              <w:rPr>
                <w:sz w:val="20"/>
                <w:szCs w:val="20"/>
                <w:color w:val="auto"/>
              </w:rPr>
            </w:pPr>
            <w:r>
              <w:rPr>
                <w:rFonts w:ascii="Arial" w:cs="Arial" w:eastAsia="Arial" w:hAnsi="Arial"/>
                <w:sz w:val="15"/>
                <w:szCs w:val="15"/>
                <w:color w:val="auto"/>
                <w:w w:val="95"/>
              </w:rPr>
              <w:t>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Valuation Model and Assumptions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Company uses the Black-Scholes option-pricing model to estimate the fair value of share-based awards. The Black-Scholes option-pricing model incorporates various and subjective assumptions, including expected term and expected volatility.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5" w:name="page16"/>
    <w:bookmarkEnd w:id="15"/>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table shows the Company’s assumptions used to compute share-based compensation expense for awards granted during the twenty-six weeks ended August 4, 2018 and July 29, 2017:</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5"/>
                <w:szCs w:val="15"/>
                <w:b w:val="1"/>
                <w:bCs w:val="1"/>
                <w:color w:val="auto"/>
              </w:rPr>
              <w:t>Stock Option Plans</w:t>
            </w: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Stock Purchase Plan</w:t>
            </w:r>
          </w:p>
        </w:tc>
      </w:tr>
      <w:tr>
        <w:trPr>
          <w:trHeight w:val="151"/>
        </w:trPr>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283"/>
              <w:spacing w:after="0" w:line="151" w:lineRule="exact"/>
              <w:rPr>
                <w:sz w:val="20"/>
                <w:szCs w:val="20"/>
                <w:color w:val="auto"/>
              </w:rPr>
            </w:pPr>
            <w:r>
              <w:rPr>
                <w:rFonts w:ascii="Arial" w:cs="Arial" w:eastAsia="Arial" w:hAnsi="Arial"/>
                <w:sz w:val="15"/>
                <w:szCs w:val="15"/>
                <w:b w:val="1"/>
                <w:bCs w:val="1"/>
                <w:color w:val="auto"/>
              </w:rPr>
              <w:t>August 4,</w:t>
            </w:r>
          </w:p>
        </w:tc>
        <w:tc>
          <w:tcPr>
            <w:tcW w:w="260" w:type="dxa"/>
            <w:vAlign w:val="bottom"/>
          </w:tcPr>
          <w:p>
            <w:pPr>
              <w:spacing w:after="0"/>
              <w:rPr>
                <w:sz w:val="13"/>
                <w:szCs w:val="13"/>
                <w:color w:val="auto"/>
              </w:rPr>
            </w:pPr>
          </w:p>
        </w:tc>
        <w:tc>
          <w:tcPr>
            <w:tcW w:w="1120" w:type="dxa"/>
            <w:vAlign w:val="bottom"/>
          </w:tcPr>
          <w:p>
            <w:pPr>
              <w:jc w:val="right"/>
              <w:ind w:right="343"/>
              <w:spacing w:after="0" w:line="151" w:lineRule="exact"/>
              <w:rPr>
                <w:sz w:val="20"/>
                <w:szCs w:val="20"/>
                <w:color w:val="auto"/>
              </w:rPr>
            </w:pPr>
            <w:r>
              <w:rPr>
                <w:rFonts w:ascii="Arial" w:cs="Arial" w:eastAsia="Arial" w:hAnsi="Arial"/>
                <w:sz w:val="15"/>
                <w:szCs w:val="15"/>
                <w:b w:val="1"/>
                <w:bCs w:val="1"/>
                <w:color w:val="auto"/>
              </w:rPr>
              <w:t>July 29,</w:t>
            </w:r>
          </w:p>
        </w:tc>
        <w:tc>
          <w:tcPr>
            <w:tcW w:w="220" w:type="dxa"/>
            <w:vAlign w:val="bottom"/>
          </w:tcPr>
          <w:p>
            <w:pPr>
              <w:spacing w:after="0"/>
              <w:rPr>
                <w:sz w:val="13"/>
                <w:szCs w:val="13"/>
                <w:color w:val="auto"/>
              </w:rPr>
            </w:pPr>
          </w:p>
        </w:tc>
        <w:tc>
          <w:tcPr>
            <w:tcW w:w="1140" w:type="dxa"/>
            <w:vAlign w:val="bottom"/>
          </w:tcPr>
          <w:p>
            <w:pPr>
              <w:jc w:val="right"/>
              <w:ind w:right="283"/>
              <w:spacing w:after="0" w:line="151" w:lineRule="exact"/>
              <w:rPr>
                <w:sz w:val="20"/>
                <w:szCs w:val="20"/>
                <w:color w:val="auto"/>
              </w:rPr>
            </w:pPr>
            <w:r>
              <w:rPr>
                <w:rFonts w:ascii="Arial" w:cs="Arial" w:eastAsia="Arial" w:hAnsi="Arial"/>
                <w:sz w:val="15"/>
                <w:szCs w:val="15"/>
                <w:b w:val="1"/>
                <w:bCs w:val="1"/>
                <w:color w:val="auto"/>
              </w:rPr>
              <w:t>August 4,</w:t>
            </w:r>
          </w:p>
        </w:tc>
        <w:tc>
          <w:tcPr>
            <w:tcW w:w="260" w:type="dxa"/>
            <w:vAlign w:val="bottom"/>
          </w:tcPr>
          <w:p>
            <w:pPr>
              <w:spacing w:after="0"/>
              <w:rPr>
                <w:sz w:val="13"/>
                <w:szCs w:val="13"/>
                <w:color w:val="auto"/>
              </w:rPr>
            </w:pPr>
          </w:p>
        </w:tc>
        <w:tc>
          <w:tcPr>
            <w:tcW w:w="1080" w:type="dxa"/>
            <w:vAlign w:val="bottom"/>
          </w:tcPr>
          <w:p>
            <w:pPr>
              <w:jc w:val="right"/>
              <w:ind w:right="323"/>
              <w:spacing w:after="0" w:line="151" w:lineRule="exact"/>
              <w:rPr>
                <w:sz w:val="20"/>
                <w:szCs w:val="20"/>
                <w:color w:val="auto"/>
              </w:rPr>
            </w:pPr>
            <w:r>
              <w:rPr>
                <w:rFonts w:ascii="Arial" w:cs="Arial" w:eastAsia="Arial" w:hAnsi="Arial"/>
                <w:sz w:val="15"/>
                <w:szCs w:val="15"/>
                <w:b w:val="1"/>
                <w:bCs w:val="1"/>
                <w:color w:val="auto"/>
              </w:rPr>
              <w:t>July 29,</w:t>
            </w:r>
          </w:p>
        </w:tc>
      </w:tr>
      <w:tr>
        <w:trPr>
          <w:trHeight w:val="194"/>
        </w:trPr>
        <w:tc>
          <w:tcPr>
            <w:tcW w:w="35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r>
      <w:tr>
        <w:trPr>
          <w:trHeight w:val="187"/>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risk free rate of interest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2.7 %</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2.1 %</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1.6 %</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0.8 %</w:t>
            </w:r>
          </w:p>
        </w:tc>
      </w:tr>
      <w:tr>
        <w:trPr>
          <w:trHeight w:val="207"/>
        </w:trPr>
        <w:tc>
          <w:tcPr>
            <w:tcW w:w="3500" w:type="dxa"/>
            <w:vAlign w:val="bottom"/>
          </w:tcPr>
          <w:p>
            <w:pPr>
              <w:spacing w:after="0"/>
              <w:rPr>
                <w:sz w:val="20"/>
                <w:szCs w:val="20"/>
                <w:color w:val="auto"/>
              </w:rPr>
            </w:pPr>
            <w:r>
              <w:rPr>
                <w:rFonts w:ascii="Arial" w:cs="Arial" w:eastAsia="Arial" w:hAnsi="Arial"/>
                <w:sz w:val="15"/>
                <w:szCs w:val="15"/>
                <w:color w:val="auto"/>
              </w:rPr>
              <w:t>Expected volatility</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37 %</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25 %</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41 %</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29 %</w:t>
            </w:r>
          </w:p>
        </w:tc>
      </w:tr>
      <w:tr>
        <w:trPr>
          <w:trHeight w:val="365"/>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expected award life (in years)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5.5</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5.3</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1.0</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w:t>
            </w:r>
          </w:p>
        </w:tc>
      </w:tr>
      <w:tr>
        <w:trPr>
          <w:trHeight w:val="207"/>
        </w:trPr>
        <w:tc>
          <w:tcPr>
            <w:tcW w:w="3500" w:type="dxa"/>
            <w:vAlign w:val="bottom"/>
          </w:tcPr>
          <w:p>
            <w:pPr>
              <w:spacing w:after="0"/>
              <w:rPr>
                <w:sz w:val="20"/>
                <w:szCs w:val="20"/>
                <w:color w:val="auto"/>
              </w:rPr>
            </w:pPr>
            <w:r>
              <w:rPr>
                <w:rFonts w:ascii="Arial" w:cs="Arial" w:eastAsia="Arial" w:hAnsi="Arial"/>
                <w:sz w:val="15"/>
                <w:szCs w:val="15"/>
                <w:color w:val="auto"/>
              </w:rPr>
              <w:t>Dividend yield</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3.1 %</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1.7 %</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2.3 %</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2.0 %</w:t>
            </w:r>
          </w:p>
        </w:tc>
      </w:tr>
      <w:tr>
        <w:trPr>
          <w:trHeight w:val="207"/>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Weighted-average fair value</w:t>
            </w: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12.37</w:t>
            </w:r>
          </w:p>
        </w:tc>
        <w:tc>
          <w:tcPr>
            <w:tcW w:w="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15.56</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14.89</w:t>
            </w:r>
          </w:p>
        </w:tc>
        <w:tc>
          <w:tcPr>
            <w:tcW w:w="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10.61</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in the following table covers option activity under the Company’s stock option plans for the twenty-six weeks ended</w:t>
      </w:r>
    </w:p>
    <w:p>
      <w:pPr>
        <w:spacing w:after="0"/>
        <w:rPr>
          <w:sz w:val="20"/>
          <w:szCs w:val="20"/>
          <w:color w:val="auto"/>
        </w:rPr>
      </w:pPr>
      <w:r>
        <w:rPr>
          <w:rFonts w:ascii="Arial" w:cs="Arial" w:eastAsia="Arial" w:hAnsi="Arial"/>
          <w:sz w:val="15"/>
          <w:szCs w:val="15"/>
          <w:color w:val="auto"/>
        </w:rPr>
        <w:t>August 4,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jc w:val="center"/>
              <w:ind w:right="83"/>
              <w:spacing w:after="0"/>
              <w:rPr>
                <w:sz w:val="20"/>
                <w:szCs w:val="20"/>
                <w:color w:val="auto"/>
              </w:rPr>
            </w:pPr>
            <w:r>
              <w:rPr>
                <w:rFonts w:ascii="Arial" w:cs="Arial" w:eastAsia="Arial" w:hAnsi="Arial"/>
                <w:sz w:val="15"/>
                <w:szCs w:val="15"/>
                <w:b w:val="1"/>
                <w:bCs w:val="1"/>
                <w:color w:val="auto"/>
              </w:rPr>
              <w:t>Weighted-</w:t>
            </w:r>
          </w:p>
        </w:tc>
        <w:tc>
          <w:tcPr>
            <w:tcW w:w="320" w:type="dxa"/>
            <w:vAlign w:val="bottom"/>
          </w:tcPr>
          <w:p>
            <w:pPr>
              <w:spacing w:after="0"/>
              <w:rPr>
                <w:sz w:val="14"/>
                <w:szCs w:val="14"/>
                <w:color w:val="auto"/>
              </w:rPr>
            </w:pPr>
          </w:p>
        </w:tc>
        <w:tc>
          <w:tcPr>
            <w:tcW w:w="1100" w:type="dxa"/>
            <w:vAlign w:val="bottom"/>
          </w:tcPr>
          <w:p>
            <w:pPr>
              <w:jc w:val="center"/>
              <w:ind w:right="203"/>
              <w:spacing w:after="0"/>
              <w:rPr>
                <w:sz w:val="20"/>
                <w:szCs w:val="20"/>
                <w:color w:val="auto"/>
              </w:rPr>
            </w:pPr>
            <w:r>
              <w:rPr>
                <w:rFonts w:ascii="Arial" w:cs="Arial" w:eastAsia="Arial" w:hAnsi="Arial"/>
                <w:sz w:val="15"/>
                <w:szCs w:val="15"/>
                <w:b w:val="1"/>
                <w:bCs w:val="1"/>
                <w:color w:val="auto"/>
              </w:rPr>
              <w:t>Weighted-</w:t>
            </w:r>
          </w:p>
        </w:tc>
      </w:tr>
      <w:tr>
        <w:trPr>
          <w:trHeight w:val="170"/>
        </w:trPr>
        <w:tc>
          <w:tcPr>
            <w:tcW w:w="6100" w:type="dxa"/>
            <w:vAlign w:val="bottom"/>
            <w:gridSpan w:val="2"/>
          </w:tcPr>
          <w:p>
            <w:pPr>
              <w:jc w:val="center"/>
              <w:ind w:left="4563"/>
              <w:spacing w:after="0" w:line="170" w:lineRule="exact"/>
              <w:rPr>
                <w:sz w:val="20"/>
                <w:szCs w:val="20"/>
                <w:color w:val="auto"/>
              </w:rPr>
            </w:pPr>
            <w:r>
              <w:rPr>
                <w:rFonts w:ascii="Arial" w:cs="Arial" w:eastAsia="Arial" w:hAnsi="Arial"/>
                <w:sz w:val="15"/>
                <w:szCs w:val="15"/>
                <w:b w:val="1"/>
                <w:bCs w:val="1"/>
                <w:color w:val="auto"/>
              </w:rPr>
              <w:t>Number</w:t>
            </w:r>
          </w:p>
        </w:tc>
        <w:tc>
          <w:tcPr>
            <w:tcW w:w="1580" w:type="dxa"/>
            <w:vAlign w:val="bottom"/>
          </w:tcPr>
          <w:p>
            <w:pPr>
              <w:jc w:val="center"/>
              <w:ind w:right="63"/>
              <w:spacing w:after="0" w:line="170" w:lineRule="exact"/>
              <w:rPr>
                <w:sz w:val="20"/>
                <w:szCs w:val="20"/>
                <w:color w:val="auto"/>
              </w:rPr>
            </w:pPr>
            <w:r>
              <w:rPr>
                <w:rFonts w:ascii="Arial" w:cs="Arial" w:eastAsia="Arial" w:hAnsi="Arial"/>
                <w:sz w:val="15"/>
                <w:szCs w:val="15"/>
                <w:b w:val="1"/>
                <w:bCs w:val="1"/>
                <w:color w:val="auto"/>
              </w:rPr>
              <w:t>Average</w:t>
            </w:r>
          </w:p>
        </w:tc>
        <w:tc>
          <w:tcPr>
            <w:tcW w:w="320" w:type="dxa"/>
            <w:vAlign w:val="bottom"/>
          </w:tcPr>
          <w:p>
            <w:pPr>
              <w:spacing w:after="0"/>
              <w:rPr>
                <w:sz w:val="14"/>
                <w:szCs w:val="14"/>
                <w:color w:val="auto"/>
              </w:rPr>
            </w:pPr>
          </w:p>
        </w:tc>
        <w:tc>
          <w:tcPr>
            <w:tcW w:w="1100" w:type="dxa"/>
            <w:vAlign w:val="bottom"/>
          </w:tcPr>
          <w:p>
            <w:pPr>
              <w:jc w:val="center"/>
              <w:ind w:right="183"/>
              <w:spacing w:after="0" w:line="170" w:lineRule="exact"/>
              <w:rPr>
                <w:sz w:val="20"/>
                <w:szCs w:val="20"/>
                <w:color w:val="auto"/>
              </w:rPr>
            </w:pPr>
            <w:r>
              <w:rPr>
                <w:rFonts w:ascii="Arial" w:cs="Arial" w:eastAsia="Arial" w:hAnsi="Arial"/>
                <w:sz w:val="15"/>
                <w:szCs w:val="15"/>
                <w:b w:val="1"/>
                <w:bCs w:val="1"/>
                <w:color w:val="auto"/>
              </w:rPr>
              <w:t>Average</w:t>
            </w:r>
          </w:p>
        </w:tc>
      </w:tr>
      <w:tr>
        <w:trPr>
          <w:trHeight w:val="170"/>
        </w:trPr>
        <w:tc>
          <w:tcPr>
            <w:tcW w:w="5480" w:type="dxa"/>
            <w:vAlign w:val="bottom"/>
          </w:tcPr>
          <w:p>
            <w:pPr>
              <w:jc w:val="center"/>
              <w:ind w:left="5183"/>
              <w:spacing w:after="0" w:line="170" w:lineRule="exact"/>
              <w:rPr>
                <w:sz w:val="20"/>
                <w:szCs w:val="20"/>
                <w:color w:val="auto"/>
              </w:rPr>
            </w:pPr>
            <w:r>
              <w:rPr>
                <w:rFonts w:ascii="Arial" w:cs="Arial" w:eastAsia="Arial" w:hAnsi="Arial"/>
                <w:sz w:val="15"/>
                <w:szCs w:val="15"/>
                <w:b w:val="1"/>
                <w:bCs w:val="1"/>
                <w:color w:val="auto"/>
                <w:w w:val="98"/>
              </w:rPr>
              <w:t>of</w:t>
            </w:r>
          </w:p>
        </w:tc>
        <w:tc>
          <w:tcPr>
            <w:tcW w:w="620" w:type="dxa"/>
            <w:vAlign w:val="bottom"/>
          </w:tcPr>
          <w:p>
            <w:pPr>
              <w:spacing w:after="0"/>
              <w:rPr>
                <w:sz w:val="14"/>
                <w:szCs w:val="14"/>
                <w:color w:val="auto"/>
              </w:rPr>
            </w:pPr>
          </w:p>
        </w:tc>
        <w:tc>
          <w:tcPr>
            <w:tcW w:w="1580" w:type="dxa"/>
            <w:vAlign w:val="bottom"/>
          </w:tcPr>
          <w:p>
            <w:pPr>
              <w:jc w:val="center"/>
              <w:ind w:right="63"/>
              <w:spacing w:after="0" w:line="170" w:lineRule="exact"/>
              <w:rPr>
                <w:sz w:val="20"/>
                <w:szCs w:val="20"/>
                <w:color w:val="auto"/>
              </w:rPr>
            </w:pPr>
            <w:r>
              <w:rPr>
                <w:rFonts w:ascii="Arial" w:cs="Arial" w:eastAsia="Arial" w:hAnsi="Arial"/>
                <w:sz w:val="15"/>
                <w:szCs w:val="15"/>
                <w:b w:val="1"/>
                <w:bCs w:val="1"/>
                <w:color w:val="auto"/>
              </w:rPr>
              <w:t>Remaining</w:t>
            </w:r>
          </w:p>
        </w:tc>
        <w:tc>
          <w:tcPr>
            <w:tcW w:w="320" w:type="dxa"/>
            <w:vAlign w:val="bottom"/>
          </w:tcPr>
          <w:p>
            <w:pPr>
              <w:spacing w:after="0"/>
              <w:rPr>
                <w:sz w:val="14"/>
                <w:szCs w:val="14"/>
                <w:color w:val="auto"/>
              </w:rPr>
            </w:pPr>
          </w:p>
        </w:tc>
        <w:tc>
          <w:tcPr>
            <w:tcW w:w="1100" w:type="dxa"/>
            <w:vAlign w:val="bottom"/>
          </w:tcPr>
          <w:p>
            <w:pPr>
              <w:jc w:val="center"/>
              <w:ind w:right="183"/>
              <w:spacing w:after="0" w:line="170" w:lineRule="exact"/>
              <w:rPr>
                <w:sz w:val="20"/>
                <w:szCs w:val="20"/>
                <w:color w:val="auto"/>
              </w:rPr>
            </w:pPr>
            <w:r>
              <w:rPr>
                <w:rFonts w:ascii="Arial" w:cs="Arial" w:eastAsia="Arial" w:hAnsi="Arial"/>
                <w:sz w:val="15"/>
                <w:szCs w:val="15"/>
                <w:b w:val="1"/>
                <w:bCs w:val="1"/>
                <w:color w:val="auto"/>
              </w:rPr>
              <w:t>Exercise</w:t>
            </w:r>
          </w:p>
        </w:tc>
      </w:tr>
      <w:tr>
        <w:trPr>
          <w:trHeight w:val="194"/>
        </w:trPr>
        <w:tc>
          <w:tcPr>
            <w:tcW w:w="6100" w:type="dxa"/>
            <w:vAlign w:val="bottom"/>
            <w:tcBorders>
              <w:bottom w:val="single" w:sz="8" w:color="auto"/>
            </w:tcBorders>
            <w:gridSpan w:val="2"/>
          </w:tcPr>
          <w:p>
            <w:pPr>
              <w:jc w:val="center"/>
              <w:ind w:left="4543"/>
              <w:spacing w:after="0"/>
              <w:rPr>
                <w:sz w:val="20"/>
                <w:szCs w:val="20"/>
                <w:color w:val="auto"/>
              </w:rPr>
            </w:pPr>
            <w:r>
              <w:rPr>
                <w:rFonts w:ascii="Arial" w:cs="Arial" w:eastAsia="Arial" w:hAnsi="Arial"/>
                <w:sz w:val="15"/>
                <w:szCs w:val="15"/>
                <w:b w:val="1"/>
                <w:bCs w:val="1"/>
                <w:color w:val="auto"/>
              </w:rPr>
              <w:t>Shares</w:t>
            </w:r>
          </w:p>
        </w:tc>
        <w:tc>
          <w:tcPr>
            <w:tcW w:w="158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rPr>
              <w:t>Contractual Life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3"/>
              <w:spacing w:after="0"/>
              <w:rPr>
                <w:sz w:val="20"/>
                <w:szCs w:val="20"/>
                <w:color w:val="auto"/>
              </w:rPr>
            </w:pPr>
            <w:r>
              <w:rPr>
                <w:rFonts w:ascii="Arial" w:cs="Arial" w:eastAsia="Arial" w:hAnsi="Arial"/>
                <w:sz w:val="15"/>
                <w:szCs w:val="15"/>
                <w:b w:val="1"/>
                <w:bCs w:val="1"/>
                <w:color w:val="auto"/>
              </w:rPr>
              <w:t>Price</w:t>
            </w:r>
          </w:p>
        </w:tc>
      </w:tr>
      <w:tr>
        <w:trPr>
          <w:trHeight w:val="187"/>
        </w:trPr>
        <w:tc>
          <w:tcPr>
            <w:tcW w:w="6100" w:type="dxa"/>
            <w:vAlign w:val="bottom"/>
            <w:gridSpan w:val="2"/>
          </w:tcPr>
          <w:p>
            <w:pPr>
              <w:jc w:val="center"/>
              <w:ind w:left="4563"/>
              <w:spacing w:after="0"/>
              <w:rPr>
                <w:sz w:val="20"/>
                <w:szCs w:val="20"/>
                <w:color w:val="auto"/>
              </w:rPr>
            </w:pPr>
            <w:r>
              <w:rPr>
                <w:rFonts w:ascii="Arial" w:cs="Arial" w:eastAsia="Arial" w:hAnsi="Arial"/>
                <w:sz w:val="15"/>
                <w:szCs w:val="15"/>
                <w:color w:val="auto"/>
              </w:rPr>
              <w:t>(in thousands)</w:t>
            </w:r>
          </w:p>
        </w:tc>
        <w:tc>
          <w:tcPr>
            <w:tcW w:w="1580" w:type="dxa"/>
            <w:vAlign w:val="bottom"/>
          </w:tcPr>
          <w:p>
            <w:pPr>
              <w:jc w:val="center"/>
              <w:ind w:right="63"/>
              <w:spacing w:after="0"/>
              <w:rPr>
                <w:sz w:val="20"/>
                <w:szCs w:val="20"/>
                <w:color w:val="auto"/>
              </w:rPr>
            </w:pPr>
            <w:r>
              <w:rPr>
                <w:rFonts w:ascii="Arial" w:cs="Arial" w:eastAsia="Arial" w:hAnsi="Arial"/>
                <w:sz w:val="15"/>
                <w:szCs w:val="15"/>
                <w:color w:val="auto"/>
              </w:rPr>
              <w:t>(in years)</w:t>
            </w:r>
          </w:p>
        </w:tc>
        <w:tc>
          <w:tcPr>
            <w:tcW w:w="320" w:type="dxa"/>
            <w:vAlign w:val="bottom"/>
          </w:tcPr>
          <w:p>
            <w:pPr>
              <w:spacing w:after="0"/>
              <w:rPr>
                <w:sz w:val="16"/>
                <w:szCs w:val="16"/>
                <w:color w:val="auto"/>
              </w:rPr>
            </w:pPr>
          </w:p>
        </w:tc>
        <w:tc>
          <w:tcPr>
            <w:tcW w:w="1100" w:type="dxa"/>
            <w:vAlign w:val="bottom"/>
          </w:tcPr>
          <w:p>
            <w:pPr>
              <w:jc w:val="center"/>
              <w:ind w:right="183"/>
              <w:spacing w:after="0"/>
              <w:rPr>
                <w:sz w:val="20"/>
                <w:szCs w:val="20"/>
                <w:color w:val="auto"/>
              </w:rPr>
            </w:pPr>
            <w:r>
              <w:rPr>
                <w:rFonts w:ascii="Arial" w:cs="Arial" w:eastAsia="Arial" w:hAnsi="Arial"/>
                <w:sz w:val="15"/>
                <w:szCs w:val="15"/>
                <w:color w:val="auto"/>
              </w:rPr>
              <w:t>(per share)</w:t>
            </w:r>
          </w:p>
        </w:tc>
      </w:tr>
      <w:tr>
        <w:trPr>
          <w:trHeight w:val="207"/>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Options outstanding at the beginning of the year</w:t>
            </w:r>
          </w:p>
        </w:tc>
        <w:tc>
          <w:tcPr>
            <w:tcW w:w="6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2,739</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52.45</w:t>
            </w:r>
          </w:p>
        </w:tc>
      </w:tr>
      <w:tr>
        <w:trPr>
          <w:trHeight w:val="207"/>
        </w:trPr>
        <w:tc>
          <w:tcPr>
            <w:tcW w:w="5480" w:type="dxa"/>
            <w:vAlign w:val="bottom"/>
          </w:tcPr>
          <w:p>
            <w:pPr>
              <w:spacing w:after="0"/>
              <w:rPr>
                <w:sz w:val="20"/>
                <w:szCs w:val="20"/>
                <w:color w:val="auto"/>
              </w:rPr>
            </w:pPr>
            <w:r>
              <w:rPr>
                <w:rFonts w:ascii="Arial" w:cs="Arial" w:eastAsia="Arial" w:hAnsi="Arial"/>
                <w:sz w:val="15"/>
                <w:szCs w:val="15"/>
                <w:color w:val="auto"/>
              </w:rPr>
              <w:t>Granted</w:t>
            </w:r>
          </w:p>
        </w:tc>
        <w:tc>
          <w:tcPr>
            <w:tcW w:w="620" w:type="dxa"/>
            <w:vAlign w:val="bottom"/>
          </w:tcPr>
          <w:p>
            <w:pPr>
              <w:jc w:val="right"/>
              <w:ind w:right="103"/>
              <w:spacing w:after="0"/>
              <w:rPr>
                <w:sz w:val="20"/>
                <w:szCs w:val="20"/>
                <w:color w:val="auto"/>
              </w:rPr>
            </w:pPr>
            <w:r>
              <w:rPr>
                <w:rFonts w:ascii="Arial" w:cs="Arial" w:eastAsia="Arial" w:hAnsi="Arial"/>
                <w:sz w:val="15"/>
                <w:szCs w:val="15"/>
                <w:color w:val="auto"/>
              </w:rPr>
              <w:t>380</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44.82</w:t>
            </w:r>
          </w:p>
        </w:tc>
      </w:tr>
      <w:tr>
        <w:trPr>
          <w:trHeight w:val="207"/>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6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(134)</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31.47</w:t>
            </w:r>
          </w:p>
        </w:tc>
      </w:tr>
      <w:tr>
        <w:trPr>
          <w:trHeight w:val="207"/>
        </w:trPr>
        <w:tc>
          <w:tcPr>
            <w:tcW w:w="5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Expired or cancelled</w:t>
            </w:r>
          </w:p>
        </w:tc>
        <w:tc>
          <w:tcPr>
            <w:tcW w:w="6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(48)</w:t>
            </w:r>
          </w:p>
        </w:tc>
        <w:tc>
          <w:tcPr>
            <w:tcW w:w="1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57.91</w:t>
            </w:r>
          </w:p>
        </w:tc>
      </w:tr>
      <w:tr>
        <w:trPr>
          <w:trHeight w:val="179"/>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Options outstanding at August 4, 2018</w:t>
            </w:r>
          </w:p>
        </w:tc>
        <w:tc>
          <w:tcPr>
            <w:tcW w:w="6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2,937</w:t>
            </w:r>
          </w:p>
        </w:tc>
        <w:tc>
          <w:tcPr>
            <w:tcW w:w="15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6.5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52.33</w:t>
            </w:r>
          </w:p>
        </w:tc>
      </w:tr>
      <w:tr>
        <w:trPr>
          <w:trHeight w:val="195"/>
        </w:trPr>
        <w:tc>
          <w:tcPr>
            <w:tcW w:w="5480" w:type="dxa"/>
            <w:vAlign w:val="bottom"/>
          </w:tcPr>
          <w:p>
            <w:pPr>
              <w:spacing w:after="0"/>
              <w:rPr>
                <w:sz w:val="20"/>
                <w:szCs w:val="20"/>
                <w:color w:val="auto"/>
              </w:rPr>
            </w:pPr>
            <w:r>
              <w:rPr>
                <w:rFonts w:ascii="Arial" w:cs="Arial" w:eastAsia="Arial" w:hAnsi="Arial"/>
                <w:sz w:val="15"/>
                <w:szCs w:val="15"/>
                <w:color w:val="auto"/>
              </w:rPr>
              <w:t>Options exercisable at August 4, 2018</w:t>
            </w:r>
          </w:p>
        </w:tc>
        <w:tc>
          <w:tcPr>
            <w:tcW w:w="620" w:type="dxa"/>
            <w:vAlign w:val="bottom"/>
          </w:tcPr>
          <w:p>
            <w:pPr>
              <w:jc w:val="right"/>
              <w:ind w:right="103"/>
              <w:spacing w:after="0"/>
              <w:rPr>
                <w:sz w:val="20"/>
                <w:szCs w:val="20"/>
                <w:color w:val="auto"/>
              </w:rPr>
            </w:pPr>
            <w:r>
              <w:rPr>
                <w:rFonts w:ascii="Arial" w:cs="Arial" w:eastAsia="Arial" w:hAnsi="Arial"/>
                <w:sz w:val="15"/>
                <w:szCs w:val="15"/>
                <w:color w:val="auto"/>
              </w:rPr>
              <w:t>2,054</w:t>
            </w:r>
          </w:p>
        </w:tc>
        <w:tc>
          <w:tcPr>
            <w:tcW w:w="1580" w:type="dxa"/>
            <w:vAlign w:val="bottom"/>
          </w:tcPr>
          <w:p>
            <w:pPr>
              <w:jc w:val="right"/>
              <w:ind w:right="103"/>
              <w:spacing w:after="0"/>
              <w:rPr>
                <w:sz w:val="20"/>
                <w:szCs w:val="20"/>
                <w:color w:val="auto"/>
              </w:rPr>
            </w:pPr>
            <w:r>
              <w:rPr>
                <w:rFonts w:ascii="Arial" w:cs="Arial" w:eastAsia="Arial" w:hAnsi="Arial"/>
                <w:sz w:val="15"/>
                <w:szCs w:val="15"/>
                <w:color w:val="auto"/>
              </w:rPr>
              <w:t>5.4</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50.00</w:t>
            </w:r>
          </w:p>
        </w:tc>
      </w:tr>
      <w:tr>
        <w:trPr>
          <w:trHeight w:val="207"/>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Options available for future grant at August 4, 2018</w:t>
            </w:r>
          </w:p>
        </w:tc>
        <w:tc>
          <w:tcPr>
            <w:tcW w:w="6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8,323</w:t>
            </w:r>
          </w:p>
        </w:tc>
        <w:tc>
          <w:tcPr>
            <w:tcW w:w="15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r>
    </w:tbl>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total fair value of options vested as of August 4, 2018 and July 29, 2017 was $8 million and $7 million, respectively. The cash received from option exercises was $4 million for both the thirteen and twenty-six weeks ended August 4, 2018. The total tax benefit realized from option exercises was $1 million for both the thirteen and twenty-six weeks ended August 4, 2018.</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total intrinsic value of options exercised (the difference between the market price of the Company’s common stock on the exercise date and the price paid by the optionee to exercise the option) is presented below:</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rPr>
              <w:t>Thirteen weeks ended</w:t>
            </w: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Twenty-six weeks ended</w:t>
            </w:r>
          </w:p>
        </w:tc>
        <w:tc>
          <w:tcPr>
            <w:tcW w:w="220" w:type="dxa"/>
            <w:vAlign w:val="bottom"/>
            <w:tcBorders>
              <w:bottom w:val="single" w:sz="8" w:color="auto"/>
            </w:tcBorders>
          </w:tcPr>
          <w:p>
            <w:pPr>
              <w:spacing w:after="0"/>
              <w:rPr>
                <w:sz w:val="16"/>
                <w:szCs w:val="16"/>
                <w:color w:val="auto"/>
              </w:rPr>
            </w:pPr>
          </w:p>
        </w:tc>
      </w:tr>
      <w:tr>
        <w:trPr>
          <w:trHeight w:val="139"/>
        </w:trPr>
        <w:tc>
          <w:tcPr>
            <w:tcW w:w="2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jc w:val="center"/>
              <w:ind w:right="103"/>
              <w:spacing w:after="0" w:line="139" w:lineRule="exact"/>
              <w:rPr>
                <w:sz w:val="20"/>
                <w:szCs w:val="20"/>
                <w:color w:val="auto"/>
              </w:rPr>
            </w:pPr>
            <w:r>
              <w:rPr>
                <w:rFonts w:ascii="Arial" w:cs="Arial" w:eastAsia="Arial" w:hAnsi="Arial"/>
                <w:sz w:val="15"/>
                <w:szCs w:val="15"/>
                <w:b w:val="1"/>
                <w:bCs w:val="1"/>
                <w:color w:val="auto"/>
              </w:rPr>
              <w:t>August 4,</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94"/>
        </w:trPr>
        <w:tc>
          <w:tcPr>
            <w:tcW w:w="25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2"/>
          </w:tcPr>
          <w:p>
            <w:pPr>
              <w:ind w:left="1820"/>
              <w:spacing w:after="0"/>
              <w:rPr>
                <w:sz w:val="20"/>
                <w:szCs w:val="20"/>
                <w:color w:val="auto"/>
              </w:rPr>
            </w:pPr>
            <w:r>
              <w:rPr>
                <w:rFonts w:ascii="Arial" w:cs="Arial" w:eastAsia="Arial" w:hAnsi="Arial"/>
                <w:sz w:val="15"/>
                <w:szCs w:val="15"/>
                <w:b w:val="1"/>
                <w:bCs w:val="1"/>
                <w:color w:val="auto"/>
              </w:rPr>
              <w:t>August 4, 2018</w:t>
            </w: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July 29, 2017</w:t>
            </w: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July 29, 2017</w:t>
            </w:r>
          </w:p>
        </w:tc>
      </w:tr>
      <w:tr>
        <w:trPr>
          <w:trHeight w:val="199"/>
        </w:trPr>
        <w:tc>
          <w:tcPr>
            <w:tcW w:w="25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0" w:type="dxa"/>
            <w:vAlign w:val="bottom"/>
            <w:gridSpan w:val="2"/>
          </w:tcPr>
          <w:p>
            <w:pPr>
              <w:jc w:val="center"/>
              <w:ind w:right="423"/>
              <w:spacing w:after="0"/>
              <w:rPr>
                <w:sz w:val="20"/>
                <w:szCs w:val="20"/>
                <w:color w:val="auto"/>
              </w:rPr>
            </w:pPr>
            <w:r>
              <w:rPr>
                <w:rFonts w:ascii="Arial" w:cs="Arial" w:eastAsia="Arial" w:hAnsi="Arial"/>
                <w:sz w:val="15"/>
                <w:szCs w:val="15"/>
                <w:color w:val="auto"/>
              </w:rPr>
              <w:t>($ in millions)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7"/>
        </w:trPr>
        <w:tc>
          <w:tcPr>
            <w:tcW w:w="2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Exercised</w:t>
            </w:r>
          </w:p>
        </w:tc>
        <w:tc>
          <w:tcPr>
            <w:tcW w:w="2040" w:type="dxa"/>
            <w:vAlign w:val="bottom"/>
            <w:tcBorders>
              <w:bottom w:val="single" w:sz="8" w:color="auto"/>
            </w:tcBorders>
            <w:shd w:val="clear" w:color="auto" w:fill="CCEEFF"/>
          </w:tcPr>
          <w:p>
            <w:pPr>
              <w:ind w:left="1820"/>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w:t>
            </w:r>
          </w:p>
        </w:tc>
        <w:tc>
          <w:tcPr>
            <w:tcW w:w="4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center"/>
              <w:ind w:left="443"/>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w:t>
            </w:r>
          </w:p>
        </w:tc>
        <w:tc>
          <w:tcPr>
            <w:tcW w:w="92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15</w:t>
            </w:r>
          </w:p>
        </w:tc>
      </w:tr>
    </w:tbl>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aggregate intrinsic value for stock options outstanding, and outstanding and exercisable (the difference between the Company’s closing stock price on the last trading day of the period and the exercise price of the options, multiplied by the number of in-the-money stock options) is presented below:</w:t>
      </w:r>
    </w:p>
    <w:p>
      <w:pPr>
        <w:spacing w:after="0" w:line="74" w:lineRule="exact"/>
        <w:rPr>
          <w:sz w:val="20"/>
          <w:szCs w:val="20"/>
          <w:color w:val="auto"/>
        </w:rPr>
      </w:pPr>
    </w:p>
    <w:p>
      <w:pPr>
        <w:ind w:left="6620"/>
        <w:spacing w:after="0"/>
        <w:rPr>
          <w:sz w:val="20"/>
          <w:szCs w:val="20"/>
          <w:color w:val="auto"/>
        </w:rPr>
      </w:pPr>
      <w:r>
        <w:rPr>
          <w:rFonts w:ascii="Arial" w:cs="Arial" w:eastAsia="Arial" w:hAnsi="Arial"/>
          <w:sz w:val="15"/>
          <w:szCs w:val="15"/>
          <w:b w:val="1"/>
          <w:bCs w:val="1"/>
          <w:color w:val="auto"/>
        </w:rPr>
        <w:t>Twenty-six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Borders>
              <w:top w:val="single" w:sz="8" w:color="auto"/>
              <w:bottom w:val="single" w:sz="8" w:color="auto"/>
            </w:tcBorders>
          </w:tcPr>
          <w:p>
            <w:pPr>
              <w:spacing w:after="0"/>
              <w:rPr>
                <w:sz w:val="14"/>
                <w:szCs w:val="14"/>
                <w:color w:val="auto"/>
              </w:rPr>
            </w:pPr>
          </w:p>
        </w:tc>
        <w:tc>
          <w:tcPr>
            <w:tcW w:w="3580" w:type="dxa"/>
            <w:vAlign w:val="bottom"/>
            <w:tcBorders>
              <w:top w:val="single" w:sz="8" w:color="auto"/>
              <w:bottom w:val="single" w:sz="8" w:color="auto"/>
            </w:tcBorders>
            <w:gridSpan w:val="2"/>
          </w:tcPr>
          <w:p>
            <w:pPr>
              <w:jc w:val="right"/>
              <w:ind w:right="303"/>
              <w:spacing w:after="0" w:line="163" w:lineRule="exact"/>
              <w:rPr>
                <w:sz w:val="20"/>
                <w:szCs w:val="20"/>
                <w:color w:val="auto"/>
              </w:rPr>
            </w:pPr>
            <w:r>
              <w:rPr>
                <w:rFonts w:ascii="Arial" w:cs="Arial" w:eastAsia="Arial" w:hAnsi="Arial"/>
                <w:sz w:val="15"/>
                <w:szCs w:val="15"/>
                <w:b w:val="1"/>
                <w:bCs w:val="1"/>
                <w:color w:val="auto"/>
              </w:rPr>
              <w:t>August 4, 2018</w:t>
            </w:r>
          </w:p>
        </w:tc>
        <w:tc>
          <w:tcPr>
            <w:tcW w:w="3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183"/>
              <w:spacing w:after="0" w:line="163" w:lineRule="exact"/>
              <w:rPr>
                <w:sz w:val="20"/>
                <w:szCs w:val="20"/>
                <w:color w:val="auto"/>
              </w:rPr>
            </w:pPr>
            <w:r>
              <w:rPr>
                <w:rFonts w:ascii="Arial" w:cs="Arial" w:eastAsia="Arial" w:hAnsi="Arial"/>
                <w:sz w:val="15"/>
                <w:szCs w:val="15"/>
                <w:b w:val="1"/>
                <w:bCs w:val="1"/>
                <w:color w:val="auto"/>
                <w:w w:val="99"/>
              </w:rPr>
              <w:t>July 29, 2017</w:t>
            </w:r>
          </w:p>
        </w:tc>
      </w:tr>
      <w:tr>
        <w:trPr>
          <w:trHeight w:val="187"/>
        </w:trPr>
        <w:tc>
          <w:tcPr>
            <w:tcW w:w="40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500" w:type="dxa"/>
            <w:vAlign w:val="bottom"/>
            <w:gridSpan w:val="3"/>
          </w:tcPr>
          <w:p>
            <w:pPr>
              <w:jc w:val="right"/>
              <w:ind w:right="1063"/>
              <w:spacing w:after="0"/>
              <w:rPr>
                <w:sz w:val="20"/>
                <w:szCs w:val="20"/>
                <w:color w:val="auto"/>
              </w:rPr>
            </w:pPr>
            <w:r>
              <w:rPr>
                <w:rFonts w:ascii="Arial" w:cs="Arial" w:eastAsia="Arial" w:hAnsi="Arial"/>
                <w:sz w:val="15"/>
                <w:szCs w:val="15"/>
                <w:color w:val="auto"/>
              </w:rPr>
              <w:t>($ in millions)</w:t>
            </w:r>
          </w:p>
        </w:tc>
      </w:tr>
      <w:tr>
        <w:trPr>
          <w:trHeight w:val="207"/>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Outstanding</w:t>
            </w:r>
          </w:p>
        </w:tc>
        <w:tc>
          <w:tcPr>
            <w:tcW w:w="2600" w:type="dxa"/>
            <w:vAlign w:val="bottom"/>
            <w:shd w:val="clear" w:color="auto" w:fill="CCEEFF"/>
          </w:tcPr>
          <w:p>
            <w:pPr>
              <w:jc w:val="right"/>
              <w:ind w:right="383"/>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15</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207"/>
        </w:trPr>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Outstanding and exercisable</w:t>
            </w:r>
          </w:p>
        </w:tc>
        <w:tc>
          <w:tcPr>
            <w:tcW w:w="26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w:t>
            </w:r>
          </w:p>
        </w:tc>
      </w:tr>
    </w:tbl>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As of August 4, 2018 there was $7 million of total unrecognized compensation cost related to nonvested stock options, which is expected to be recognized over a remaining weighted-average period of 1.5 years.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6" w:name="page17"/>
    <w:bookmarkEnd w:id="16"/>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00" w:type="dxa"/>
            <w:vAlign w:val="bottom"/>
            <w:gridSpan w:val="6"/>
          </w:tcPr>
          <w:p>
            <w:pPr>
              <w:spacing w:after="0"/>
              <w:rPr>
                <w:sz w:val="20"/>
                <w:szCs w:val="20"/>
                <w:color w:val="auto"/>
              </w:rPr>
            </w:pPr>
            <w:r>
              <w:rPr>
                <w:rFonts w:ascii="Arial" w:cs="Arial" w:eastAsia="Arial" w:hAnsi="Arial"/>
                <w:sz w:val="15"/>
                <w:szCs w:val="15"/>
                <w:color w:val="auto"/>
              </w:rPr>
              <w:t>The following table summarizes information about stock options outstanding and exercisable at August 4, 2018:</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0"/>
        </w:trPr>
        <w:tc>
          <w:tcPr>
            <w:tcW w:w="19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Options Outstanding</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5"/>
                <w:szCs w:val="15"/>
                <w:b w:val="1"/>
                <w:bCs w:val="1"/>
                <w:color w:val="auto"/>
              </w:rPr>
              <w:t>Options Exercisable</w:t>
            </w:r>
          </w:p>
        </w:tc>
      </w:tr>
      <w:tr>
        <w:trPr>
          <w:trHeight w:val="151"/>
        </w:trPr>
        <w:tc>
          <w:tcPr>
            <w:tcW w:w="19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6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rPr>
              <w:t>Weighted-</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2"/>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Average</w:t>
            </w:r>
          </w:p>
        </w:tc>
        <w:tc>
          <w:tcPr>
            <w:tcW w:w="240" w:type="dxa"/>
            <w:vAlign w:val="bottom"/>
          </w:tcPr>
          <w:p>
            <w:pPr>
              <w:spacing w:after="0"/>
              <w:rPr>
                <w:sz w:val="15"/>
                <w:szCs w:val="15"/>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Weighted-</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Weighted-</w:t>
            </w:r>
          </w:p>
        </w:tc>
      </w:tr>
      <w:tr>
        <w:trPr>
          <w:trHeight w:val="182"/>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Remaining</w:t>
            </w:r>
          </w:p>
        </w:tc>
        <w:tc>
          <w:tcPr>
            <w:tcW w:w="240" w:type="dxa"/>
            <w:vAlign w:val="bottom"/>
          </w:tcPr>
          <w:p>
            <w:pPr>
              <w:spacing w:after="0"/>
              <w:rPr>
                <w:sz w:val="15"/>
                <w:szCs w:val="15"/>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Average</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Average</w:t>
            </w:r>
          </w:p>
        </w:tc>
      </w:tr>
      <w:tr>
        <w:trPr>
          <w:trHeight w:val="203"/>
        </w:trPr>
        <w:tc>
          <w:tcPr>
            <w:tcW w:w="1940" w:type="dxa"/>
            <w:vAlign w:val="bottom"/>
          </w:tcPr>
          <w:p>
            <w:pPr>
              <w:spacing w:after="0"/>
              <w:rPr>
                <w:sz w:val="20"/>
                <w:szCs w:val="20"/>
                <w:color w:val="auto"/>
              </w:rPr>
            </w:pPr>
            <w:r>
              <w:rPr>
                <w:rFonts w:ascii="Arial" w:cs="Arial" w:eastAsia="Arial" w:hAnsi="Arial"/>
                <w:sz w:val="15"/>
                <w:szCs w:val="15"/>
                <w:b w:val="1"/>
                <w:bCs w:val="1"/>
                <w:color w:val="auto"/>
              </w:rPr>
              <w:t>Range of Exercise</w:t>
            </w:r>
          </w:p>
        </w:tc>
        <w:tc>
          <w:tcPr>
            <w:tcW w:w="1640" w:type="dxa"/>
            <w:vAlign w:val="bottom"/>
          </w:tcPr>
          <w:p>
            <w:pPr>
              <w:jc w:val="right"/>
              <w:ind w:right="223"/>
              <w:spacing w:after="0"/>
              <w:rPr>
                <w:sz w:val="20"/>
                <w:szCs w:val="20"/>
                <w:color w:val="auto"/>
              </w:rPr>
            </w:pPr>
            <w:r>
              <w:rPr>
                <w:rFonts w:ascii="Arial" w:cs="Arial" w:eastAsia="Arial" w:hAnsi="Arial"/>
                <w:sz w:val="15"/>
                <w:szCs w:val="15"/>
                <w:b w:val="1"/>
                <w:bCs w:val="1"/>
                <w:color w:val="auto"/>
              </w:rPr>
              <w:t>Number</w:t>
            </w: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Contractual</w:t>
            </w:r>
          </w:p>
        </w:tc>
        <w:tc>
          <w:tcPr>
            <w:tcW w:w="240" w:type="dxa"/>
            <w:vAlign w:val="bottom"/>
          </w:tcPr>
          <w:p>
            <w:pPr>
              <w:spacing w:after="0"/>
              <w:rPr>
                <w:sz w:val="17"/>
                <w:szCs w:val="17"/>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Exercise</w:t>
            </w:r>
          </w:p>
        </w:tc>
        <w:tc>
          <w:tcPr>
            <w:tcW w:w="1360" w:type="dxa"/>
            <w:vAlign w:val="bottom"/>
          </w:tcPr>
          <w:p>
            <w:pPr>
              <w:jc w:val="right"/>
              <w:ind w:right="383"/>
              <w:spacing w:after="0"/>
              <w:rPr>
                <w:sz w:val="20"/>
                <w:szCs w:val="20"/>
                <w:color w:val="auto"/>
              </w:rPr>
            </w:pPr>
            <w:r>
              <w:rPr>
                <w:rFonts w:ascii="Arial" w:cs="Arial" w:eastAsia="Arial" w:hAnsi="Arial"/>
                <w:sz w:val="15"/>
                <w:szCs w:val="15"/>
                <w:b w:val="1"/>
                <w:bCs w:val="1"/>
                <w:color w:val="auto"/>
              </w:rPr>
              <w:t>Number</w:t>
            </w:r>
          </w:p>
        </w:tc>
        <w:tc>
          <w:tcPr>
            <w:tcW w:w="2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Exercise</w:t>
            </w:r>
          </w:p>
        </w:tc>
      </w:tr>
      <w:tr>
        <w:trPr>
          <w:trHeight w:val="197"/>
        </w:trPr>
        <w:tc>
          <w:tcPr>
            <w:tcW w:w="19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Prices</w:t>
            </w:r>
          </w:p>
        </w:tc>
        <w:tc>
          <w:tcPr>
            <w:tcW w:w="16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Outstanding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Life</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b w:val="1"/>
                <w:bCs w:val="1"/>
                <w:color w:val="auto"/>
              </w:rPr>
              <w:t>Price</w:t>
            </w:r>
          </w:p>
        </w:tc>
        <w:tc>
          <w:tcPr>
            <w:tcW w:w="13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Exercisable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Price</w:t>
            </w:r>
          </w:p>
        </w:tc>
      </w:tr>
      <w:tr>
        <w:trPr>
          <w:trHeight w:val="187"/>
        </w:trPr>
        <w:tc>
          <w:tcPr>
            <w:tcW w:w="1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320" w:type="dxa"/>
            <w:vAlign w:val="bottom"/>
            <w:gridSpan w:val="4"/>
          </w:tcPr>
          <w:p>
            <w:pPr>
              <w:jc w:val="right"/>
              <w:ind w:right="83"/>
              <w:spacing w:after="0"/>
              <w:rPr>
                <w:sz w:val="20"/>
                <w:szCs w:val="20"/>
                <w:color w:val="auto"/>
              </w:rPr>
            </w:pPr>
            <w:r>
              <w:rPr>
                <w:rFonts w:ascii="Arial" w:cs="Arial" w:eastAsia="Arial" w:hAnsi="Arial"/>
                <w:sz w:val="15"/>
                <w:szCs w:val="15"/>
                <w:color w:val="auto"/>
              </w:rPr>
              <w:t>(in thousands, except prices per share and contractual life)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7"/>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$9.85 to $18.84</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6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2.2</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17.10</w:t>
            </w:r>
          </w:p>
        </w:tc>
        <w:tc>
          <w:tcPr>
            <w:tcW w:w="1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240</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17.10</w:t>
            </w:r>
          </w:p>
        </w:tc>
      </w:tr>
      <w:tr>
        <w:trPr>
          <w:trHeight w:val="207"/>
        </w:trPr>
        <w:tc>
          <w:tcPr>
            <w:tcW w:w="1940" w:type="dxa"/>
            <w:vAlign w:val="bottom"/>
          </w:tcPr>
          <w:p>
            <w:pPr>
              <w:spacing w:after="0"/>
              <w:rPr>
                <w:sz w:val="20"/>
                <w:szCs w:val="20"/>
                <w:color w:val="auto"/>
              </w:rPr>
            </w:pPr>
            <w:r>
              <w:rPr>
                <w:rFonts w:ascii="Arial" w:cs="Arial" w:eastAsia="Arial" w:hAnsi="Arial"/>
                <w:sz w:val="15"/>
                <w:szCs w:val="15"/>
                <w:color w:val="auto"/>
              </w:rPr>
              <w:t>$24.75 to $34.75</w:t>
            </w:r>
          </w:p>
        </w:tc>
        <w:tc>
          <w:tcPr>
            <w:tcW w:w="1640" w:type="dxa"/>
            <w:vAlign w:val="bottom"/>
          </w:tcPr>
          <w:p>
            <w:pPr>
              <w:jc w:val="right"/>
              <w:spacing w:after="0"/>
              <w:rPr>
                <w:sz w:val="20"/>
                <w:szCs w:val="20"/>
                <w:color w:val="auto"/>
              </w:rPr>
            </w:pPr>
            <w:r>
              <w:rPr>
                <w:rFonts w:ascii="Arial" w:cs="Arial" w:eastAsia="Arial" w:hAnsi="Arial"/>
                <w:sz w:val="15"/>
                <w:szCs w:val="15"/>
                <w:color w:val="auto"/>
              </w:rPr>
              <w:t>395</w:t>
            </w:r>
          </w:p>
        </w:tc>
        <w:tc>
          <w:tcPr>
            <w:tcW w:w="1660" w:type="dxa"/>
            <w:vAlign w:val="bottom"/>
          </w:tcPr>
          <w:p>
            <w:pPr>
              <w:jc w:val="right"/>
              <w:ind w:right="283"/>
              <w:spacing w:after="0"/>
              <w:rPr>
                <w:sz w:val="20"/>
                <w:szCs w:val="20"/>
                <w:color w:val="auto"/>
              </w:rPr>
            </w:pPr>
            <w:r>
              <w:rPr>
                <w:rFonts w:ascii="Arial" w:cs="Arial" w:eastAsia="Arial" w:hAnsi="Arial"/>
                <w:sz w:val="15"/>
                <w:szCs w:val="15"/>
                <w:color w:val="auto"/>
              </w:rPr>
              <w:t>4.5</w:t>
            </w:r>
          </w:p>
        </w:tc>
        <w:tc>
          <w:tcPr>
            <w:tcW w:w="240" w:type="dxa"/>
            <w:vAlign w:val="bottom"/>
          </w:tcPr>
          <w:p>
            <w:pPr>
              <w:spacing w:after="0"/>
              <w:rPr>
                <w:sz w:val="17"/>
                <w:szCs w:val="17"/>
                <w:color w:val="auto"/>
              </w:rPr>
            </w:pPr>
          </w:p>
        </w:tc>
        <w:tc>
          <w:tcPr>
            <w:tcW w:w="1060" w:type="dxa"/>
            <w:vAlign w:val="bottom"/>
          </w:tcPr>
          <w:p>
            <w:pPr>
              <w:jc w:val="right"/>
              <w:ind w:right="103"/>
              <w:spacing w:after="0"/>
              <w:rPr>
                <w:sz w:val="20"/>
                <w:szCs w:val="20"/>
                <w:color w:val="auto"/>
              </w:rPr>
            </w:pPr>
            <w:r>
              <w:rPr>
                <w:rFonts w:ascii="Arial" w:cs="Arial" w:eastAsia="Arial" w:hAnsi="Arial"/>
                <w:sz w:val="15"/>
                <w:szCs w:val="15"/>
                <w:color w:val="auto"/>
              </w:rPr>
              <w:t>32.16</w:t>
            </w:r>
          </w:p>
        </w:tc>
        <w:tc>
          <w:tcPr>
            <w:tcW w:w="1360" w:type="dxa"/>
            <w:vAlign w:val="bottom"/>
          </w:tcPr>
          <w:p>
            <w:pPr>
              <w:jc w:val="right"/>
              <w:ind w:right="203"/>
              <w:spacing w:after="0"/>
              <w:rPr>
                <w:sz w:val="20"/>
                <w:szCs w:val="20"/>
                <w:color w:val="auto"/>
              </w:rPr>
            </w:pPr>
            <w:r>
              <w:rPr>
                <w:rFonts w:ascii="Arial" w:cs="Arial" w:eastAsia="Arial" w:hAnsi="Arial"/>
                <w:sz w:val="15"/>
                <w:szCs w:val="15"/>
                <w:color w:val="auto"/>
              </w:rPr>
              <w:t>356</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31.88</w:t>
            </w:r>
          </w:p>
        </w:tc>
      </w:tr>
      <w:tr>
        <w:trPr>
          <w:trHeight w:val="207"/>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$44.78 to $45.75</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16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7.7</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44.92</w:t>
            </w:r>
          </w:p>
        </w:tc>
        <w:tc>
          <w:tcPr>
            <w:tcW w:w="1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299</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45.08</w:t>
            </w:r>
          </w:p>
        </w:tc>
      </w:tr>
      <w:tr>
        <w:trPr>
          <w:trHeight w:val="207"/>
        </w:trPr>
        <w:tc>
          <w:tcPr>
            <w:tcW w:w="1940" w:type="dxa"/>
            <w:vAlign w:val="bottom"/>
          </w:tcPr>
          <w:p>
            <w:pPr>
              <w:spacing w:after="0"/>
              <w:rPr>
                <w:sz w:val="20"/>
                <w:szCs w:val="20"/>
                <w:color w:val="auto"/>
              </w:rPr>
            </w:pPr>
            <w:r>
              <w:rPr>
                <w:rFonts w:ascii="Arial" w:cs="Arial" w:eastAsia="Arial" w:hAnsi="Arial"/>
                <w:sz w:val="15"/>
                <w:szCs w:val="15"/>
                <w:color w:val="auto"/>
              </w:rPr>
              <w:t>$46.64 to $62.11</w:t>
            </w:r>
          </w:p>
        </w:tc>
        <w:tc>
          <w:tcPr>
            <w:tcW w:w="1640" w:type="dxa"/>
            <w:vAlign w:val="bottom"/>
          </w:tcPr>
          <w:p>
            <w:pPr>
              <w:jc w:val="right"/>
              <w:spacing w:after="0"/>
              <w:rPr>
                <w:sz w:val="20"/>
                <w:szCs w:val="20"/>
                <w:color w:val="auto"/>
              </w:rPr>
            </w:pPr>
            <w:r>
              <w:rPr>
                <w:rFonts w:ascii="Arial" w:cs="Arial" w:eastAsia="Arial" w:hAnsi="Arial"/>
                <w:sz w:val="15"/>
                <w:szCs w:val="15"/>
                <w:color w:val="auto"/>
              </w:rPr>
              <w:t>699</w:t>
            </w:r>
          </w:p>
        </w:tc>
        <w:tc>
          <w:tcPr>
            <w:tcW w:w="1660" w:type="dxa"/>
            <w:vAlign w:val="bottom"/>
          </w:tcPr>
          <w:p>
            <w:pPr>
              <w:jc w:val="right"/>
              <w:ind w:right="283"/>
              <w:spacing w:after="0"/>
              <w:rPr>
                <w:sz w:val="20"/>
                <w:szCs w:val="20"/>
                <w:color w:val="auto"/>
              </w:rPr>
            </w:pPr>
            <w:r>
              <w:rPr>
                <w:rFonts w:ascii="Arial" w:cs="Arial" w:eastAsia="Arial" w:hAnsi="Arial"/>
                <w:sz w:val="15"/>
                <w:szCs w:val="15"/>
                <w:color w:val="auto"/>
              </w:rPr>
              <w:t>6.0</w:t>
            </w:r>
          </w:p>
        </w:tc>
        <w:tc>
          <w:tcPr>
            <w:tcW w:w="240" w:type="dxa"/>
            <w:vAlign w:val="bottom"/>
          </w:tcPr>
          <w:p>
            <w:pPr>
              <w:spacing w:after="0"/>
              <w:rPr>
                <w:sz w:val="17"/>
                <w:szCs w:val="17"/>
                <w:color w:val="auto"/>
              </w:rPr>
            </w:pPr>
          </w:p>
        </w:tc>
        <w:tc>
          <w:tcPr>
            <w:tcW w:w="1060" w:type="dxa"/>
            <w:vAlign w:val="bottom"/>
          </w:tcPr>
          <w:p>
            <w:pPr>
              <w:jc w:val="right"/>
              <w:ind w:right="103"/>
              <w:spacing w:after="0"/>
              <w:rPr>
                <w:sz w:val="20"/>
                <w:szCs w:val="20"/>
                <w:color w:val="auto"/>
              </w:rPr>
            </w:pPr>
            <w:r>
              <w:rPr>
                <w:rFonts w:ascii="Arial" w:cs="Arial" w:eastAsia="Arial" w:hAnsi="Arial"/>
                <w:sz w:val="15"/>
                <w:szCs w:val="15"/>
                <w:color w:val="auto"/>
              </w:rPr>
              <w:t>60.98</w:t>
            </w:r>
          </w:p>
        </w:tc>
        <w:tc>
          <w:tcPr>
            <w:tcW w:w="1360" w:type="dxa"/>
            <w:vAlign w:val="bottom"/>
          </w:tcPr>
          <w:p>
            <w:pPr>
              <w:jc w:val="right"/>
              <w:ind w:right="203"/>
              <w:spacing w:after="0"/>
              <w:rPr>
                <w:sz w:val="20"/>
                <w:szCs w:val="20"/>
                <w:color w:val="auto"/>
              </w:rPr>
            </w:pPr>
            <w:r>
              <w:rPr>
                <w:rFonts w:ascii="Arial" w:cs="Arial" w:eastAsia="Arial" w:hAnsi="Arial"/>
                <w:sz w:val="15"/>
                <w:szCs w:val="15"/>
                <w:color w:val="auto"/>
              </w:rPr>
              <w:t>683</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61.22</w:t>
            </w:r>
          </w:p>
        </w:tc>
      </w:tr>
      <w:tr>
        <w:trPr>
          <w:trHeight w:val="207"/>
        </w:trPr>
        <w:tc>
          <w:tcPr>
            <w:tcW w:w="1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$63.79 to $73.21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940</w:t>
            </w:r>
          </w:p>
        </w:tc>
        <w:tc>
          <w:tcPr>
            <w:tcW w:w="16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rPr>
              <w:t>7.9</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68.57</w:t>
            </w:r>
          </w:p>
        </w:tc>
        <w:tc>
          <w:tcPr>
            <w:tcW w:w="1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476</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67.13</w:t>
            </w:r>
          </w:p>
        </w:tc>
      </w:tr>
      <w:tr>
        <w:trPr>
          <w:trHeight w:val="179"/>
        </w:trPr>
        <w:tc>
          <w:tcPr>
            <w:tcW w:w="19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2,937</w:t>
            </w:r>
          </w:p>
        </w:tc>
        <w:tc>
          <w:tcPr>
            <w:tcW w:w="16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52.33</w:t>
            </w:r>
          </w:p>
        </w:tc>
        <w:tc>
          <w:tcPr>
            <w:tcW w:w="1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2,054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Stock and Restricted Stock Units</w:t>
      </w:r>
    </w:p>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Restricted shares of the Company’s common stock and restricted stock units (“RSU”) may be awarded to certain officers and key employees of the Company. Additionally, RSU awards are made to employees in connection with the Company’s long-term incentive program and to nonemployee directors. Each RSU represents the right to receive one share of the Company’s common stock provided that the vesting conditions are satisfied. There were 842,768 and 668,120 RSU awards outstanding as of August 4, 2018 and July 29, 2017, respectively.</w:t>
      </w:r>
    </w:p>
    <w:p>
      <w:pPr>
        <w:spacing w:after="0" w:line="141"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Generally, awards fully vest after the passage of time, typically three years. However, RSU awards made in connection with the Company’s performance-based long-term incentive program are earned after the attainment of certain performance metrics and vest after the passage of time. Restricted stock is considered outstanding at the time of grant and the holders have voting rights. Dividends are paid to holders of restricted stock that vest with the passage of time. With regard to performance-based restricted stock, dividends will be accumulated and paid after the performance criteria are met. No dividends are paid or accumulated on RSU awards. Compensation expense is recognized using the market value at the date of grant and is amortized over the vesting period, provided the recipient continues to be employed by the Company.</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Restricted stock and RSU activity for the twenty-six weeks ended August 4, 2018 is summarized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720" w:type="dxa"/>
            <w:vAlign w:val="bottom"/>
          </w:tcPr>
          <w:p>
            <w:pPr>
              <w:jc w:val="center"/>
              <w:ind w:left="783"/>
              <w:spacing w:after="0"/>
              <w:rPr>
                <w:sz w:val="20"/>
                <w:szCs w:val="20"/>
                <w:color w:val="auto"/>
              </w:rPr>
            </w:pPr>
            <w:r>
              <w:rPr>
                <w:rFonts w:ascii="Arial" w:cs="Arial" w:eastAsia="Arial" w:hAnsi="Arial"/>
                <w:sz w:val="15"/>
                <w:szCs w:val="15"/>
                <w:b w:val="1"/>
                <w:bCs w:val="1"/>
                <w:color w:val="auto"/>
              </w:rPr>
              <w:t>Weighted-</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5"/>
        </w:trPr>
        <w:tc>
          <w:tcPr>
            <w:tcW w:w="29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720" w:type="dxa"/>
            <w:vAlign w:val="bottom"/>
          </w:tcPr>
          <w:p>
            <w:pPr>
              <w:jc w:val="center"/>
              <w:ind w:left="763"/>
              <w:spacing w:after="0"/>
              <w:rPr>
                <w:sz w:val="20"/>
                <w:szCs w:val="20"/>
                <w:color w:val="auto"/>
              </w:rPr>
            </w:pPr>
            <w:r>
              <w:rPr>
                <w:rFonts w:ascii="Arial" w:cs="Arial" w:eastAsia="Arial" w:hAnsi="Arial"/>
                <w:sz w:val="15"/>
                <w:szCs w:val="15"/>
                <w:b w:val="1"/>
                <w:bCs w:val="1"/>
                <w:color w:val="auto"/>
              </w:rPr>
              <w:t>Average</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center"/>
              <w:ind w:right="283"/>
              <w:spacing w:after="0"/>
              <w:rPr>
                <w:sz w:val="20"/>
                <w:szCs w:val="20"/>
                <w:color w:val="auto"/>
              </w:rPr>
            </w:pPr>
            <w:r>
              <w:rPr>
                <w:rFonts w:ascii="Arial" w:cs="Arial" w:eastAsia="Arial" w:hAnsi="Arial"/>
                <w:sz w:val="15"/>
                <w:szCs w:val="15"/>
                <w:b w:val="1"/>
                <w:bCs w:val="1"/>
                <w:color w:val="auto"/>
              </w:rPr>
              <w:t>Weighted-</w:t>
            </w:r>
          </w:p>
        </w:tc>
      </w:tr>
      <w:tr>
        <w:trPr>
          <w:trHeight w:val="195"/>
        </w:trPr>
        <w:tc>
          <w:tcPr>
            <w:tcW w:w="2960" w:type="dxa"/>
            <w:vAlign w:val="bottom"/>
          </w:tcPr>
          <w:p>
            <w:pPr>
              <w:spacing w:after="0"/>
              <w:rPr>
                <w:sz w:val="16"/>
                <w:szCs w:val="16"/>
                <w:color w:val="auto"/>
              </w:rPr>
            </w:pPr>
          </w:p>
        </w:tc>
        <w:tc>
          <w:tcPr>
            <w:tcW w:w="2200" w:type="dxa"/>
            <w:vAlign w:val="bottom"/>
          </w:tcPr>
          <w:p>
            <w:pPr>
              <w:jc w:val="center"/>
              <w:ind w:left="1143"/>
              <w:spacing w:after="0"/>
              <w:rPr>
                <w:sz w:val="20"/>
                <w:szCs w:val="20"/>
                <w:color w:val="auto"/>
              </w:rPr>
            </w:pPr>
            <w:r>
              <w:rPr>
                <w:rFonts w:ascii="Arial" w:cs="Arial" w:eastAsia="Arial" w:hAnsi="Arial"/>
                <w:sz w:val="15"/>
                <w:szCs w:val="15"/>
                <w:b w:val="1"/>
                <w:bCs w:val="1"/>
                <w:color w:val="auto"/>
              </w:rPr>
              <w:t>Number</w:t>
            </w:r>
          </w:p>
        </w:tc>
        <w:tc>
          <w:tcPr>
            <w:tcW w:w="1720" w:type="dxa"/>
            <w:vAlign w:val="bottom"/>
          </w:tcPr>
          <w:p>
            <w:pPr>
              <w:jc w:val="center"/>
              <w:ind w:left="783"/>
              <w:spacing w:after="0"/>
              <w:rPr>
                <w:sz w:val="20"/>
                <w:szCs w:val="20"/>
                <w:color w:val="auto"/>
              </w:rPr>
            </w:pPr>
            <w:r>
              <w:rPr>
                <w:rFonts w:ascii="Arial" w:cs="Arial" w:eastAsia="Arial" w:hAnsi="Arial"/>
                <w:sz w:val="15"/>
                <w:szCs w:val="15"/>
                <w:b w:val="1"/>
                <w:bCs w:val="1"/>
                <w:color w:val="auto"/>
              </w:rPr>
              <w:t>Remaining</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center"/>
              <w:ind w:right="263"/>
              <w:spacing w:after="0"/>
              <w:rPr>
                <w:sz w:val="20"/>
                <w:szCs w:val="20"/>
                <w:color w:val="auto"/>
              </w:rPr>
            </w:pPr>
            <w:r>
              <w:rPr>
                <w:rFonts w:ascii="Arial" w:cs="Arial" w:eastAsia="Arial" w:hAnsi="Arial"/>
                <w:sz w:val="15"/>
                <w:szCs w:val="15"/>
                <w:b w:val="1"/>
                <w:bCs w:val="1"/>
                <w:color w:val="auto"/>
              </w:rPr>
              <w:t>Average</w:t>
            </w:r>
          </w:p>
        </w:tc>
      </w:tr>
      <w:tr>
        <w:trPr>
          <w:trHeight w:val="195"/>
        </w:trPr>
        <w:tc>
          <w:tcPr>
            <w:tcW w:w="2960" w:type="dxa"/>
            <w:vAlign w:val="bottom"/>
          </w:tcPr>
          <w:p>
            <w:pPr>
              <w:spacing w:after="0"/>
              <w:rPr>
                <w:sz w:val="16"/>
                <w:szCs w:val="16"/>
                <w:color w:val="auto"/>
              </w:rPr>
            </w:pPr>
          </w:p>
        </w:tc>
        <w:tc>
          <w:tcPr>
            <w:tcW w:w="2200" w:type="dxa"/>
            <w:vAlign w:val="bottom"/>
          </w:tcPr>
          <w:p>
            <w:pPr>
              <w:jc w:val="center"/>
              <w:ind w:left="1143"/>
              <w:spacing w:after="0"/>
              <w:rPr>
                <w:sz w:val="20"/>
                <w:szCs w:val="20"/>
                <w:color w:val="auto"/>
              </w:rPr>
            </w:pPr>
            <w:r>
              <w:rPr>
                <w:rFonts w:ascii="Arial" w:cs="Arial" w:eastAsia="Arial" w:hAnsi="Arial"/>
                <w:sz w:val="15"/>
                <w:szCs w:val="15"/>
                <w:b w:val="1"/>
                <w:bCs w:val="1"/>
                <w:color w:val="auto"/>
                <w:w w:val="98"/>
              </w:rPr>
              <w:t>of</w:t>
            </w:r>
          </w:p>
        </w:tc>
        <w:tc>
          <w:tcPr>
            <w:tcW w:w="1720" w:type="dxa"/>
            <w:vAlign w:val="bottom"/>
          </w:tcPr>
          <w:p>
            <w:pPr>
              <w:jc w:val="center"/>
              <w:ind w:left="783"/>
              <w:spacing w:after="0"/>
              <w:rPr>
                <w:sz w:val="20"/>
                <w:szCs w:val="20"/>
                <w:color w:val="auto"/>
              </w:rPr>
            </w:pPr>
            <w:r>
              <w:rPr>
                <w:rFonts w:ascii="Arial" w:cs="Arial" w:eastAsia="Arial" w:hAnsi="Arial"/>
                <w:sz w:val="15"/>
                <w:szCs w:val="15"/>
                <w:b w:val="1"/>
                <w:bCs w:val="1"/>
                <w:color w:val="auto"/>
              </w:rPr>
              <w:t>Contractual</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center"/>
              <w:ind w:right="283"/>
              <w:spacing w:after="0"/>
              <w:rPr>
                <w:sz w:val="20"/>
                <w:szCs w:val="20"/>
                <w:color w:val="auto"/>
              </w:rPr>
            </w:pPr>
            <w:r>
              <w:rPr>
                <w:rFonts w:ascii="Arial" w:cs="Arial" w:eastAsia="Arial" w:hAnsi="Arial"/>
                <w:sz w:val="15"/>
                <w:szCs w:val="15"/>
                <w:b w:val="1"/>
                <w:bCs w:val="1"/>
                <w:color w:val="auto"/>
              </w:rPr>
              <w:t>Grant Date</w:t>
            </w:r>
          </w:p>
        </w:tc>
      </w:tr>
      <w:tr>
        <w:trPr>
          <w:trHeight w:val="194"/>
        </w:trPr>
        <w:tc>
          <w:tcPr>
            <w:tcW w:w="29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center"/>
              <w:ind w:left="1123"/>
              <w:spacing w:after="0"/>
              <w:rPr>
                <w:sz w:val="20"/>
                <w:szCs w:val="20"/>
                <w:color w:val="auto"/>
              </w:rPr>
            </w:pPr>
            <w:r>
              <w:rPr>
                <w:rFonts w:ascii="Arial" w:cs="Arial" w:eastAsia="Arial" w:hAnsi="Arial"/>
                <w:sz w:val="15"/>
                <w:szCs w:val="15"/>
                <w:b w:val="1"/>
                <w:bCs w:val="1"/>
                <w:color w:val="auto"/>
              </w:rPr>
              <w:t>Shares</w:t>
            </w:r>
          </w:p>
        </w:tc>
        <w:tc>
          <w:tcPr>
            <w:tcW w:w="1720" w:type="dxa"/>
            <w:vAlign w:val="bottom"/>
            <w:tcBorders>
              <w:bottom w:val="single" w:sz="8" w:color="auto"/>
            </w:tcBorders>
          </w:tcPr>
          <w:p>
            <w:pPr>
              <w:jc w:val="center"/>
              <w:ind w:left="763"/>
              <w:spacing w:after="0"/>
              <w:rPr>
                <w:sz w:val="20"/>
                <w:szCs w:val="20"/>
                <w:color w:val="auto"/>
              </w:rPr>
            </w:pPr>
            <w:r>
              <w:rPr>
                <w:rFonts w:ascii="Arial" w:cs="Arial" w:eastAsia="Arial" w:hAnsi="Arial"/>
                <w:sz w:val="15"/>
                <w:szCs w:val="15"/>
                <w:b w:val="1"/>
                <w:bCs w:val="1"/>
                <w:color w:val="auto"/>
              </w:rPr>
              <w:t>Life</w:t>
            </w:r>
          </w:p>
        </w:tc>
        <w:tc>
          <w:tcPr>
            <w:tcW w:w="4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83"/>
              <w:spacing w:after="0"/>
              <w:rPr>
                <w:sz w:val="20"/>
                <w:szCs w:val="20"/>
                <w:color w:val="auto"/>
              </w:rPr>
            </w:pPr>
            <w:r>
              <w:rPr>
                <w:rFonts w:ascii="Arial" w:cs="Arial" w:eastAsia="Arial" w:hAnsi="Arial"/>
                <w:sz w:val="15"/>
                <w:szCs w:val="15"/>
                <w:b w:val="1"/>
                <w:bCs w:val="1"/>
                <w:color w:val="auto"/>
              </w:rPr>
              <w:t>Fair Value</w:t>
            </w:r>
          </w:p>
        </w:tc>
      </w:tr>
      <w:tr>
        <w:trPr>
          <w:trHeight w:val="175"/>
        </w:trPr>
        <w:tc>
          <w:tcPr>
            <w:tcW w:w="2960" w:type="dxa"/>
            <w:vAlign w:val="bottom"/>
          </w:tcPr>
          <w:p>
            <w:pPr>
              <w:spacing w:after="0"/>
              <w:rPr>
                <w:sz w:val="15"/>
                <w:szCs w:val="15"/>
                <w:color w:val="auto"/>
              </w:rPr>
            </w:pPr>
          </w:p>
        </w:tc>
        <w:tc>
          <w:tcPr>
            <w:tcW w:w="2200" w:type="dxa"/>
            <w:vAlign w:val="bottom"/>
          </w:tcPr>
          <w:p>
            <w:pPr>
              <w:jc w:val="center"/>
              <w:ind w:left="1143"/>
              <w:spacing w:after="0"/>
              <w:rPr>
                <w:sz w:val="20"/>
                <w:szCs w:val="20"/>
                <w:color w:val="auto"/>
              </w:rPr>
            </w:pPr>
            <w:r>
              <w:rPr>
                <w:rFonts w:ascii="Arial" w:cs="Arial" w:eastAsia="Arial" w:hAnsi="Arial"/>
                <w:sz w:val="15"/>
                <w:szCs w:val="15"/>
                <w:color w:val="auto"/>
              </w:rPr>
              <w:t>(in thousands)</w:t>
            </w:r>
          </w:p>
        </w:tc>
        <w:tc>
          <w:tcPr>
            <w:tcW w:w="1720" w:type="dxa"/>
            <w:vAlign w:val="bottom"/>
          </w:tcPr>
          <w:p>
            <w:pPr>
              <w:jc w:val="center"/>
              <w:ind w:left="763"/>
              <w:spacing w:after="0"/>
              <w:rPr>
                <w:sz w:val="20"/>
                <w:szCs w:val="20"/>
                <w:color w:val="auto"/>
              </w:rPr>
            </w:pPr>
            <w:r>
              <w:rPr>
                <w:rFonts w:ascii="Arial" w:cs="Arial" w:eastAsia="Arial" w:hAnsi="Arial"/>
                <w:sz w:val="15"/>
                <w:szCs w:val="15"/>
                <w:color w:val="auto"/>
              </w:rPr>
              <w:t>(in years)</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283"/>
              <w:spacing w:after="0"/>
              <w:rPr>
                <w:sz w:val="20"/>
                <w:szCs w:val="20"/>
                <w:color w:val="auto"/>
              </w:rPr>
            </w:pPr>
            <w:r>
              <w:rPr>
                <w:rFonts w:ascii="Arial" w:cs="Arial" w:eastAsia="Arial" w:hAnsi="Arial"/>
                <w:sz w:val="15"/>
                <w:szCs w:val="15"/>
                <w:color w:val="auto"/>
              </w:rPr>
              <w:t>(per share)</w:t>
            </w:r>
          </w:p>
        </w:tc>
      </w:tr>
      <w:tr>
        <w:trPr>
          <w:trHeight w:val="195"/>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Nonvested at beginning of year</w:t>
            </w:r>
          </w:p>
        </w:tc>
        <w:tc>
          <w:tcPr>
            <w:tcW w:w="2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1383"/>
              <w:spacing w:after="0"/>
              <w:rPr>
                <w:sz w:val="20"/>
                <w:szCs w:val="20"/>
                <w:color w:val="auto"/>
              </w:rPr>
            </w:pPr>
            <w:r>
              <w:rPr>
                <w:rFonts w:ascii="Arial" w:cs="Arial" w:eastAsia="Arial" w:hAnsi="Arial"/>
                <w:sz w:val="15"/>
                <w:szCs w:val="15"/>
                <w:color w:val="auto"/>
                <w:w w:val="95"/>
              </w:rPr>
              <w:t>374</w:t>
            </w: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59.15</w:t>
            </w:r>
          </w:p>
        </w:tc>
      </w:tr>
      <w:tr>
        <w:trPr>
          <w:trHeight w:val="195"/>
        </w:trPr>
        <w:tc>
          <w:tcPr>
            <w:tcW w:w="2960" w:type="dxa"/>
            <w:vAlign w:val="bottom"/>
          </w:tcPr>
          <w:p>
            <w:pPr>
              <w:spacing w:after="0"/>
              <w:rPr>
                <w:sz w:val="20"/>
                <w:szCs w:val="20"/>
                <w:color w:val="auto"/>
              </w:rPr>
            </w:pPr>
            <w:r>
              <w:rPr>
                <w:rFonts w:ascii="Arial" w:cs="Arial" w:eastAsia="Arial" w:hAnsi="Arial"/>
                <w:sz w:val="15"/>
                <w:szCs w:val="15"/>
                <w:color w:val="auto"/>
              </w:rPr>
              <w:t xml:space="preserve">Granted </w:t>
            </w:r>
            <w:r>
              <w:rPr>
                <w:rFonts w:ascii="Arial" w:cs="Arial" w:eastAsia="Arial" w:hAnsi="Arial"/>
                <w:sz w:val="8"/>
                <w:szCs w:val="8"/>
                <w:color w:val="auto"/>
              </w:rPr>
              <w:t>(1)</w:t>
            </w:r>
          </w:p>
        </w:tc>
        <w:tc>
          <w:tcPr>
            <w:tcW w:w="2200" w:type="dxa"/>
            <w:vAlign w:val="bottom"/>
          </w:tcPr>
          <w:p>
            <w:pPr>
              <w:spacing w:after="0"/>
              <w:rPr>
                <w:sz w:val="16"/>
                <w:szCs w:val="16"/>
                <w:color w:val="auto"/>
              </w:rPr>
            </w:pPr>
          </w:p>
        </w:tc>
        <w:tc>
          <w:tcPr>
            <w:tcW w:w="1720" w:type="dxa"/>
            <w:vAlign w:val="bottom"/>
          </w:tcPr>
          <w:p>
            <w:pPr>
              <w:jc w:val="right"/>
              <w:ind w:right="1383"/>
              <w:spacing w:after="0"/>
              <w:rPr>
                <w:sz w:val="20"/>
                <w:szCs w:val="20"/>
                <w:color w:val="auto"/>
              </w:rPr>
            </w:pPr>
            <w:r>
              <w:rPr>
                <w:rFonts w:ascii="Arial" w:cs="Arial" w:eastAsia="Arial" w:hAnsi="Arial"/>
                <w:sz w:val="15"/>
                <w:szCs w:val="15"/>
                <w:color w:val="auto"/>
                <w:w w:val="95"/>
              </w:rPr>
              <w:t>651</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47.29</w:t>
            </w:r>
          </w:p>
        </w:tc>
      </w:tr>
      <w:tr>
        <w:trPr>
          <w:trHeight w:val="195"/>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Vested</w:t>
            </w:r>
          </w:p>
        </w:tc>
        <w:tc>
          <w:tcPr>
            <w:tcW w:w="2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1343"/>
              <w:spacing w:after="0"/>
              <w:rPr>
                <w:sz w:val="20"/>
                <w:szCs w:val="20"/>
                <w:color w:val="auto"/>
              </w:rPr>
            </w:pPr>
            <w:r>
              <w:rPr>
                <w:rFonts w:ascii="Arial" w:cs="Arial" w:eastAsia="Arial" w:hAnsi="Arial"/>
                <w:sz w:val="15"/>
                <w:szCs w:val="15"/>
                <w:color w:val="auto"/>
              </w:rPr>
              <w:t>(94)</w:t>
            </w: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63.37</w:t>
            </w:r>
          </w:p>
        </w:tc>
      </w:tr>
      <w:tr>
        <w:trPr>
          <w:trHeight w:val="219"/>
        </w:trPr>
        <w:tc>
          <w:tcPr>
            <w:tcW w:w="2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xml:space="preserve">Cancelled </w:t>
            </w:r>
            <w:r>
              <w:rPr>
                <w:rFonts w:ascii="Arial" w:cs="Arial" w:eastAsia="Arial" w:hAnsi="Arial"/>
                <w:sz w:val="8"/>
                <w:szCs w:val="8"/>
                <w:color w:val="auto"/>
              </w:rPr>
              <w:t>(2)</w:t>
            </w:r>
          </w:p>
        </w:tc>
        <w:tc>
          <w:tcPr>
            <w:tcW w:w="2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43"/>
              <w:spacing w:after="0"/>
              <w:rPr>
                <w:sz w:val="20"/>
                <w:szCs w:val="20"/>
                <w:color w:val="auto"/>
              </w:rPr>
            </w:pPr>
            <w:r>
              <w:rPr>
                <w:rFonts w:ascii="Arial" w:cs="Arial" w:eastAsia="Arial" w:hAnsi="Arial"/>
                <w:sz w:val="15"/>
                <w:szCs w:val="15"/>
                <w:color w:val="auto"/>
              </w:rPr>
              <w:t>(80)</w:t>
            </w:r>
          </w:p>
        </w:tc>
        <w:tc>
          <w:tcPr>
            <w:tcW w:w="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58.92</w:t>
            </w:r>
          </w:p>
        </w:tc>
      </w:tr>
      <w:tr>
        <w:trPr>
          <w:trHeight w:val="167"/>
        </w:trPr>
        <w:tc>
          <w:tcPr>
            <w:tcW w:w="296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Nonvested at August 4, 2018</w:t>
            </w:r>
          </w:p>
        </w:tc>
        <w:tc>
          <w:tcPr>
            <w:tcW w:w="220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1383"/>
              <w:spacing w:after="0" w:line="163" w:lineRule="exact"/>
              <w:rPr>
                <w:sz w:val="20"/>
                <w:szCs w:val="20"/>
                <w:color w:val="auto"/>
              </w:rPr>
            </w:pPr>
            <w:r>
              <w:rPr>
                <w:rFonts w:ascii="Arial" w:cs="Arial" w:eastAsia="Arial" w:hAnsi="Arial"/>
                <w:sz w:val="15"/>
                <w:szCs w:val="15"/>
                <w:color w:val="auto"/>
                <w:w w:val="95"/>
              </w:rPr>
              <w:t>851</w:t>
            </w:r>
          </w:p>
        </w:tc>
        <w:tc>
          <w:tcPr>
            <w:tcW w:w="440" w:type="dxa"/>
            <w:vAlign w:val="bottom"/>
            <w:tcBorders>
              <w:bottom w:val="single" w:sz="8" w:color="auto"/>
            </w:tcBorders>
            <w:shd w:val="clear" w:color="auto" w:fill="CCEEFF"/>
          </w:tcPr>
          <w:p>
            <w:pPr>
              <w:jc w:val="right"/>
              <w:ind w:right="163"/>
              <w:spacing w:after="0" w:line="163" w:lineRule="exact"/>
              <w:rPr>
                <w:sz w:val="20"/>
                <w:szCs w:val="20"/>
                <w:color w:val="auto"/>
              </w:rPr>
            </w:pPr>
            <w:r>
              <w:rPr>
                <w:rFonts w:ascii="Arial" w:cs="Arial" w:eastAsia="Arial" w:hAnsi="Arial"/>
                <w:sz w:val="15"/>
                <w:szCs w:val="15"/>
                <w:color w:val="auto"/>
                <w:w w:val="86"/>
              </w:rPr>
              <w:t>2.3</w:t>
            </w:r>
          </w:p>
        </w:tc>
        <w:tc>
          <w:tcPr>
            <w:tcW w:w="400" w:type="dxa"/>
            <w:vAlign w:val="bottom"/>
            <w:tcBorders>
              <w:bottom w:val="single" w:sz="8" w:color="auto"/>
            </w:tcBorders>
            <w:shd w:val="clear" w:color="auto" w:fill="CCEEFF"/>
          </w:tcPr>
          <w:p>
            <w:pPr>
              <w:jc w:val="right"/>
              <w:ind w:right="23"/>
              <w:spacing w:after="0" w:line="163"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49.63</w:t>
            </w:r>
          </w:p>
        </w:tc>
      </w:tr>
      <w:tr>
        <w:trPr>
          <w:trHeight w:val="182"/>
        </w:trPr>
        <w:tc>
          <w:tcPr>
            <w:tcW w:w="2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Aggregate value ($ in millions)</w:t>
            </w:r>
          </w:p>
        </w:tc>
        <w:tc>
          <w:tcPr>
            <w:tcW w:w="2200" w:type="dxa"/>
            <w:vAlign w:val="bottom"/>
            <w:tcBorders>
              <w:bottom w:val="single" w:sz="8" w:color="auto"/>
            </w:tcBorders>
          </w:tcPr>
          <w:p>
            <w:pPr>
              <w:jc w:val="right"/>
              <w:ind w:right="1203"/>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tcPr>
          <w:p>
            <w:pPr>
              <w:jc w:val="right"/>
              <w:ind w:right="1383"/>
              <w:spacing w:after="0"/>
              <w:rPr>
                <w:sz w:val="20"/>
                <w:szCs w:val="20"/>
                <w:color w:val="auto"/>
              </w:rPr>
            </w:pPr>
            <w:r>
              <w:rPr>
                <w:rFonts w:ascii="Arial" w:cs="Arial" w:eastAsia="Arial" w:hAnsi="Arial"/>
                <w:sz w:val="15"/>
                <w:szCs w:val="15"/>
                <w:color w:val="auto"/>
              </w:rPr>
              <w:t>42</w:t>
            </w:r>
          </w:p>
        </w:tc>
        <w:tc>
          <w:tcPr>
            <w:tcW w:w="4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bl>
    <w:p>
      <w:pPr>
        <w:spacing w:after="0" w:line="158" w:lineRule="exact"/>
        <w:rPr>
          <w:sz w:val="20"/>
          <w:szCs w:val="20"/>
          <w:color w:val="auto"/>
        </w:rPr>
      </w:pPr>
    </w:p>
    <w:p>
      <w:pPr>
        <w:jc w:val="both"/>
        <w:ind w:left="660" w:right="120" w:hanging="375"/>
        <w:spacing w:after="0" w:line="239" w:lineRule="auto"/>
        <w:tabs>
          <w:tab w:leader="none" w:pos="660" w:val="left"/>
        </w:tabs>
        <w:numPr>
          <w:ilvl w:val="0"/>
          <w:numId w:val="7"/>
        </w:numPr>
        <w:rPr>
          <w:rFonts w:ascii="Arial" w:cs="Arial" w:eastAsia="Arial" w:hAnsi="Arial"/>
          <w:sz w:val="11"/>
          <w:szCs w:val="11"/>
          <w:color w:val="auto"/>
        </w:rPr>
      </w:pPr>
      <w:r>
        <w:rPr>
          <w:rFonts w:ascii="Arial" w:cs="Arial" w:eastAsia="Arial" w:hAnsi="Arial"/>
          <w:sz w:val="12"/>
          <w:szCs w:val="12"/>
          <w:color w:val="auto"/>
        </w:rPr>
        <w:t>Approximately 0.4 million performance-based RSUs were granted during the first quarter of 2018 and are included as granted in the table above. The number of performance-based RSUs that are ultimately earned may vary from 0% to 200% of target depending on the achievement relative to the Company’s predefined financial performance targets.</w:t>
      </w:r>
    </w:p>
    <w:p>
      <w:pPr>
        <w:spacing w:after="0" w:line="98" w:lineRule="exact"/>
        <w:rPr>
          <w:rFonts w:ascii="Arial" w:cs="Arial" w:eastAsia="Arial" w:hAnsi="Arial"/>
          <w:sz w:val="11"/>
          <w:szCs w:val="11"/>
          <w:color w:val="auto"/>
        </w:rPr>
      </w:pPr>
    </w:p>
    <w:p>
      <w:pPr>
        <w:ind w:left="660" w:right="120" w:hanging="375"/>
        <w:spacing w:after="0" w:line="246" w:lineRule="auto"/>
        <w:tabs>
          <w:tab w:leader="none" w:pos="660" w:val="left"/>
        </w:tabs>
        <w:numPr>
          <w:ilvl w:val="0"/>
          <w:numId w:val="7"/>
        </w:numPr>
        <w:rPr>
          <w:rFonts w:ascii="Arial" w:cs="Arial" w:eastAsia="Arial" w:hAnsi="Arial"/>
          <w:sz w:val="11"/>
          <w:szCs w:val="11"/>
          <w:color w:val="auto"/>
        </w:rPr>
      </w:pPr>
      <w:r>
        <w:rPr>
          <w:rFonts w:ascii="Arial" w:cs="Arial" w:eastAsia="Arial" w:hAnsi="Arial"/>
          <w:sz w:val="12"/>
          <w:szCs w:val="12"/>
          <w:color w:val="auto"/>
        </w:rPr>
        <w:t>In addition to forfeitures of restricted stock and RSUs, cancellations include adjustments that were made to performance-based RSUs previously granted. These adjustments reflect changes in estimates based upon the Company’s current performance against predefined financial targets.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7" w:name="page18"/>
    <w:bookmarkEnd w:id="17"/>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total value of awards for which restrictions lapsed during the twenty-six weeks ended August 4, 2018 and July 29, 2017 was $6 million and $14 million, respectively. As of August 4, 2018, there was $29 million of total unrecognized compensation cost related to nonvested restricted awards.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Legal Proceedings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 Additionally, the Company is a defendant in a purported meal break class action in California and a purported class action in New York alleging failure to pay for all hours worked by employees. The Company and certain officers of the Company are defendants in a purported securities law class action in New York. Additionally, the directors and certain officers of the Company are defendants in a related derivative action.</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5"/>
          <w:szCs w:val="15"/>
          <w:color w:val="auto"/>
        </w:rPr>
        <w:t>For the last several years, the Company and the Company’s U.S. retirement plan have been defendants in a class action (</w:t>
      </w:r>
      <w:r>
        <w:rPr>
          <w:rFonts w:ascii="Arial" w:cs="Arial" w:eastAsia="Arial" w:hAnsi="Arial"/>
          <w:sz w:val="15"/>
          <w:szCs w:val="15"/>
          <w:i w:val="1"/>
          <w:iCs w:val="1"/>
          <w:color w:val="auto"/>
        </w:rPr>
        <w:t>Osberg v.</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Foot Locker Inc. </w:t>
      </w:r>
      <w:r>
        <w:rPr>
          <w:rFonts w:ascii="Arial" w:cs="Arial" w:eastAsia="Arial" w:hAnsi="Arial"/>
          <w:sz w:val="15"/>
          <w:szCs w:val="15"/>
          <w:color w:val="auto"/>
        </w:rPr>
        <w:t>et ano., filed in the U.S. District Court for the Southern District of New York) in which the plaintiff alleged that, in</w:t>
      </w:r>
      <w:r>
        <w:rPr>
          <w:rFonts w:ascii="Arial" w:cs="Arial" w:eastAsia="Arial" w:hAnsi="Arial"/>
          <w:sz w:val="15"/>
          <w:szCs w:val="15"/>
          <w:i w:val="1"/>
          <w:iCs w:val="1"/>
          <w:color w:val="auto"/>
        </w:rPr>
        <w:t xml:space="preserve"> </w:t>
      </w:r>
      <w:r>
        <w:rPr>
          <w:rFonts w:ascii="Arial" w:cs="Arial" w:eastAsia="Arial" w:hAnsi="Arial"/>
          <w:sz w:val="15"/>
          <w:szCs w:val="15"/>
          <w:color w:val="auto"/>
        </w:rPr>
        <w:t>connection with the 1996 conversion of the retirement plan to a defined benefit plan with a cash balance formula, the Company and the retirement plan failed to properly advise plan participants of the “wear-away” effect of the conversion. In early 2018, the Company exhausted all of its legal remedies and is required to reform the pension plan consistent with the trial court’s decision and judgment. During the second quarter of 2018, the court entered its final judgment, including the ruling on the fairness of the class counsel fees. The amount accrued as of February 3, 2018 was $278 million. During the first quarter of 2018 the amount of the accrual was increased by $7 million related to a change in the estimated value of the judgment, based on additional facts as to how the reformation should be calculated. Additionally, interest was accrued as mandated by the provisions of the required plan reformation of $2 million and $6 million for the thirteen and twenty-six weeks ended August 4, 2018, respectively, bringing the total amount accrued to $291 million. In June 2018, the Company paid $97 million to class counsel representing the court-approved fees. The remaining balance of $194 million was reclassified to the pension plan obligation in connection with the reformation.</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Management does not believe that the outcome of any such legal proceedings pending against the Company or its consolidated subsidiaries, as described above, would have a material adverse effect on the Company’s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200" w:lineRule="exact"/>
        <w:rPr>
          <w:sz w:val="20"/>
          <w:szCs w:val="20"/>
          <w:color w:val="auto"/>
        </w:rPr>
      </w:pPr>
    </w:p>
    <w:p>
      <w:pPr>
        <w:spacing w:after="0" w:line="254" w:lineRule="exact"/>
        <w:rPr>
          <w:sz w:val="20"/>
          <w:szCs w:val="20"/>
          <w:color w:val="auto"/>
        </w:rPr>
      </w:pPr>
    </w:p>
    <w:p>
      <w:pPr>
        <w:ind w:right="2020"/>
        <w:spacing w:after="0" w:line="486" w:lineRule="auto"/>
        <w:rPr>
          <w:sz w:val="20"/>
          <w:szCs w:val="20"/>
          <w:color w:val="auto"/>
        </w:rPr>
      </w:pPr>
      <w:r>
        <w:rPr>
          <w:rFonts w:ascii="Arial" w:cs="Arial" w:eastAsia="Arial" w:hAnsi="Arial"/>
          <w:sz w:val="15"/>
          <w:szCs w:val="15"/>
          <w:b w:val="1"/>
          <w:bCs w:val="1"/>
          <w:i w:val="1"/>
          <w:iCs w:val="1"/>
          <w:color w:val="auto"/>
        </w:rPr>
        <w:t xml:space="preserve">Item 2. Management’s Discussion and Analysis of Financial Condition and Results of Operations </w:t>
      </w:r>
      <w:r>
        <w:rPr>
          <w:rFonts w:ascii="Arial" w:cs="Arial" w:eastAsia="Arial" w:hAnsi="Arial"/>
          <w:sz w:val="15"/>
          <w:szCs w:val="15"/>
          <w:b w:val="1"/>
          <w:bCs w:val="1"/>
          <w:color w:val="auto"/>
        </w:rPr>
        <w:t>Disclosure Regarding Forward-Looking Statements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U.S. Securities and Exchange Commission.</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These forward-looking statements are based largely on our expectations and judgments and are subject to a number of risks and uncertainties, many of which are unforeseeable and beyond our control. For additional discussion on risks and uncertainties that may affect forward-looking statements, see “Risk Factors” disclosed in the 2017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color w:val="auto"/>
        </w:rPr>
        <w:t>Business Overview</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Foot Locker, Inc., through its subsidiaries, is one of the largest athletic footwear and apparel retailers in the world. The Foot Locker brand is one of the most widely recognized names in the markets in which we operate, epitomizing premium quality for the active lifestyle customer. Through various marketing channels and experiences, including social, digital, broadcast, and print media, as well as various sports sponsorships and events, we reinforce our image with a consistent message </w:t>
      </w:r>
      <w:r>
        <w:rPr>
          <w:rFonts w:ascii="Arial" w:cs="Arial" w:eastAsia="Arial" w:hAnsi="Arial"/>
          <w:sz w:val="15"/>
          <w:szCs w:val="15"/>
          <w:i w:val="1"/>
          <w:iCs w:val="1"/>
          <w:color w:val="auto"/>
        </w:rPr>
        <w:t>—</w:t>
      </w:r>
      <w:r>
        <w:rPr>
          <w:rFonts w:ascii="Arial" w:cs="Arial" w:eastAsia="Arial" w:hAnsi="Arial"/>
          <w:sz w:val="15"/>
          <w:szCs w:val="15"/>
          <w:color w:val="auto"/>
        </w:rPr>
        <w:t xml:space="preserve"> namely, that we are a destination for premium athletically-inspired shoes and apparel with a wide selection of merchandise in a full-service environment.</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identify our operating segments according to how our business activities are managed and evaluated by our chief operating decision maker, our CEO. Prior to fiscal 2018, we had two reportable segments, Athletic Stores and Direct-to-Customers. Beginning in fiscal 2018, the Company has changed its organizational and internal reporting structure in order to execute our omni-channel strategy. This change resulted in the combination of our stores and direct-to-customer financial results.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 xml:space="preserve">The Company has determined that it has two operating segments, North America and International. Our North America operating segment includes the results of the following banners operating in the U.S. and Canada: Foot Locker, Kids Foot Locker, Lady Foot Locker, Champs Sports, Footaction, and SIX:02, including each of their related e-commerce businesses, as well as our Eastbay business that includes internet, catalog, and team services and sales. Our International operating segment includes the results of the following banners operating in Europe, Australia, and New Zealand: Foot Locker, Runners Point, Sidestep, and Kids Foot Locker, including each of their related e-commerce businesses. We have further aggregated these operating segments into one reportable segment based upon their shared customer base and similar economic characteristics. Please see Item 1. “Financial Statements,” Note 3, </w:t>
      </w:r>
      <w:r>
        <w:rPr>
          <w:rFonts w:ascii="Arial" w:cs="Arial" w:eastAsia="Arial" w:hAnsi="Arial"/>
          <w:sz w:val="15"/>
          <w:szCs w:val="15"/>
          <w:i w:val="1"/>
          <w:iCs w:val="1"/>
          <w:color w:val="auto"/>
        </w:rPr>
        <w:t>Segment Information</w:t>
      </w:r>
      <w:r>
        <w:rPr>
          <w:rFonts w:ascii="Arial" w:cs="Arial" w:eastAsia="Arial" w:hAnsi="Arial"/>
          <w:sz w:val="15"/>
          <w:szCs w:val="15"/>
          <w:color w:val="auto"/>
        </w:rPr>
        <w:t xml:space="preserve"> for further information on this change.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Store Count</w:t>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At August 4, 2018, we operated 3,276 stores as compared with 3,310 and 3,359 stores at February 3, 2018 and July 29, 2017, respectively. A total of 117 franchised stores were operating at August 4, 2018, as compared with 112 and 82 stores at February 3, 2018 and July 29, 2017, respectively. Revenue from the franchised stores was not significant for any of the periods presented. These stores are not included in the operating store count above.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Reconciliation of Non-GAAP Measures</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Company presents certain non-GAAP measures, such as sales changes excluding foreign currency fluctuations, adjusted net income before income taxes, adjusted net income, and adjusted diluted earnings per share. Throughout the following discussions, where amounts are expressed as excluding the effects of foreign currency fluctuations, such changes are determined by translating all amounts in both years using the prior-year average foreign exchange rates.</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present these non-GAAP measures because we believe they assist investors in comparing our performance across reporting periods on a consistent basis by excluding items that are not indicative of our core business. Presenting amounts on a constant currency basis is useful to investors because it enables them to better understand the changes in our businesses that are not related to currency movements. In addition, these non-GAAP measures are useful in assessing the Company’s progress in achieving its long-term financial objectives.</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non-GAAP financial information is provided in addition to, and not as an alternative to, the Company’s reported results prepared in accordance with GAAP. The Company estimates the tax effect of the non-GAAP adjustments by applying its marginal rate to each of the respective items.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sectPr>
      </w:pPr>
    </w:p>
    <w:bookmarkStart w:id="19" w:name="page20"/>
    <w:bookmarkEnd w:id="19"/>
    <w:p>
      <w:pPr>
        <w:jc w:val="both"/>
        <w:spacing w:after="0" w:line="254" w:lineRule="auto"/>
        <w:rPr>
          <w:sz w:val="20"/>
          <w:szCs w:val="20"/>
          <w:color w:val="auto"/>
        </w:rPr>
      </w:pPr>
      <w:r>
        <w:rPr>
          <w:rFonts w:ascii="Arial" w:cs="Arial" w:eastAsia="Arial" w:hAnsi="Arial"/>
          <w:sz w:val="15"/>
          <w:szCs w:val="15"/>
          <w:color w:val="auto"/>
        </w:rPr>
        <w:t>Presented below is a reconciliation of GAAP and non-GAAP results for the thirteen and twenty-six weeks ended August 4, 2018 and July 29, 2017, respectively.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5"/>
                <w:szCs w:val="15"/>
                <w:b w:val="1"/>
                <w:bCs w:val="1"/>
                <w:color w:val="auto"/>
              </w:rPr>
              <w:t>Thirteen weeks ended</w:t>
            </w: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5"/>
                <w:szCs w:val="15"/>
                <w:b w:val="1"/>
                <w:bCs w:val="1"/>
                <w:color w:val="auto"/>
              </w:rPr>
              <w:t>Twenty-six weeks ended</w:t>
            </w:r>
          </w:p>
        </w:tc>
        <w:tc>
          <w:tcPr>
            <w:tcW w:w="0" w:type="dxa"/>
            <w:vAlign w:val="bottom"/>
          </w:tcPr>
          <w:p>
            <w:pPr>
              <w:spacing w:after="0"/>
              <w:rPr>
                <w:sz w:val="1"/>
                <w:szCs w:val="1"/>
                <w:color w:val="auto"/>
              </w:rPr>
            </w:pPr>
          </w:p>
        </w:tc>
      </w:tr>
      <w:tr>
        <w:trPr>
          <w:trHeight w:val="163"/>
        </w:trPr>
        <w:tc>
          <w:tcPr>
            <w:tcW w:w="4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83"/>
              <w:spacing w:after="0" w:line="164" w:lineRule="exact"/>
              <w:rPr>
                <w:sz w:val="20"/>
                <w:szCs w:val="20"/>
                <w:color w:val="auto"/>
              </w:rPr>
            </w:pPr>
            <w:r>
              <w:rPr>
                <w:rFonts w:ascii="Arial" w:cs="Arial" w:eastAsia="Arial" w:hAnsi="Arial"/>
                <w:sz w:val="15"/>
                <w:szCs w:val="15"/>
                <w:b w:val="1"/>
                <w:bCs w:val="1"/>
                <w:color w:val="auto"/>
              </w:rPr>
              <w:t>August 4,</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63"/>
              <w:spacing w:after="0" w:line="164" w:lineRule="exact"/>
              <w:rPr>
                <w:sz w:val="20"/>
                <w:szCs w:val="20"/>
                <w:color w:val="auto"/>
              </w:rPr>
            </w:pPr>
            <w:r>
              <w:rPr>
                <w:rFonts w:ascii="Arial" w:cs="Arial" w:eastAsia="Arial" w:hAnsi="Arial"/>
                <w:sz w:val="15"/>
                <w:szCs w:val="15"/>
                <w:b w:val="1"/>
                <w:bCs w:val="1"/>
                <w:color w:val="auto"/>
              </w:rPr>
              <w:t>August 4,</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2018</w:t>
            </w:r>
          </w:p>
        </w:tc>
        <w:tc>
          <w:tcPr>
            <w:tcW w:w="122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5"/>
                <w:szCs w:val="15"/>
                <w:b w:val="1"/>
                <w:bCs w:val="1"/>
                <w:color w:val="auto"/>
              </w:rPr>
              <w:t>July 29, 2017</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July 29, 2017</w:t>
            </w: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60" w:type="dxa"/>
            <w:vAlign w:val="bottom"/>
            <w:gridSpan w:val="3"/>
          </w:tcPr>
          <w:p>
            <w:pPr>
              <w:jc w:val="right"/>
              <w:ind w:right="703"/>
              <w:spacing w:after="0"/>
              <w:rPr>
                <w:sz w:val="20"/>
                <w:szCs w:val="20"/>
                <w:color w:val="auto"/>
              </w:rPr>
            </w:pPr>
            <w:r>
              <w:rPr>
                <w:rFonts w:ascii="Arial" w:cs="Arial" w:eastAsia="Arial" w:hAnsi="Arial"/>
                <w:sz w:val="15"/>
                <w:szCs w:val="15"/>
                <w:color w:val="auto"/>
              </w:rPr>
              <w:t>($ in millions)</w:t>
            </w: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Pre-tax income: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40" w:type="dxa"/>
            <w:vAlign w:val="bottom"/>
          </w:tcPr>
          <w:p>
            <w:pPr>
              <w:spacing w:after="0"/>
              <w:rPr>
                <w:sz w:val="20"/>
                <w:szCs w:val="20"/>
                <w:color w:val="auto"/>
              </w:rPr>
            </w:pPr>
            <w:r>
              <w:rPr>
                <w:rFonts w:ascii="Arial" w:cs="Arial" w:eastAsia="Arial" w:hAnsi="Arial"/>
                <w:sz w:val="15"/>
                <w:szCs w:val="15"/>
                <w:color w:val="auto"/>
              </w:rPr>
              <w:t>Income before income taxes</w:t>
            </w: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43"/>
              <w:spacing w:after="0"/>
              <w:rPr>
                <w:sz w:val="20"/>
                <w:szCs w:val="20"/>
                <w:color w:val="auto"/>
              </w:rPr>
            </w:pPr>
            <w:r>
              <w:rPr>
                <w:rFonts w:ascii="Arial" w:cs="Arial" w:eastAsia="Arial" w:hAnsi="Arial"/>
                <w:sz w:val="15"/>
                <w:szCs w:val="15"/>
                <w:b w:val="1"/>
                <w:bCs w:val="1"/>
                <w:color w:val="auto"/>
              </w:rPr>
              <w:t>115</w:t>
            </w:r>
          </w:p>
        </w:tc>
        <w:tc>
          <w:tcPr>
            <w:tcW w:w="46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73</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344</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342</w:t>
            </w: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Pre-tax amounts excluded from GAAP:</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4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Pension litigation charge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3</w:t>
            </w: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50</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15</w:t>
            </w: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Adjusted income before income taxes (non-GAAP)</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118</w:t>
            </w:r>
          </w:p>
        </w:tc>
        <w:tc>
          <w:tcPr>
            <w:tcW w:w="4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359</w:t>
            </w:r>
          </w:p>
        </w:tc>
        <w:tc>
          <w:tcPr>
            <w:tcW w:w="4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392</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After-tax income: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40" w:type="dxa"/>
            <w:vAlign w:val="bottom"/>
          </w:tcPr>
          <w:p>
            <w:pPr>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43"/>
              <w:spacing w:after="0"/>
              <w:rPr>
                <w:sz w:val="20"/>
                <w:szCs w:val="20"/>
                <w:color w:val="auto"/>
              </w:rPr>
            </w:pPr>
            <w:r>
              <w:rPr>
                <w:rFonts w:ascii="Arial" w:cs="Arial" w:eastAsia="Arial" w:hAnsi="Arial"/>
                <w:sz w:val="15"/>
                <w:szCs w:val="15"/>
                <w:b w:val="1"/>
                <w:bCs w:val="1"/>
                <w:color w:val="auto"/>
              </w:rPr>
              <w:t>88</w:t>
            </w:r>
          </w:p>
        </w:tc>
        <w:tc>
          <w:tcPr>
            <w:tcW w:w="46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51</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253</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After-tax adjustments excluded from GAAP:</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240" w:type="dxa"/>
            <w:vAlign w:val="bottom"/>
          </w:tcPr>
          <w:p>
            <w:pPr>
              <w:ind w:left="200"/>
              <w:spacing w:after="0"/>
              <w:rPr>
                <w:sz w:val="20"/>
                <w:szCs w:val="20"/>
                <w:color w:val="auto"/>
              </w:rPr>
            </w:pPr>
            <w:r>
              <w:rPr>
                <w:rFonts w:ascii="Arial" w:cs="Arial" w:eastAsia="Arial" w:hAnsi="Arial"/>
                <w:sz w:val="15"/>
                <w:szCs w:val="15"/>
                <w:color w:val="auto"/>
              </w:rPr>
              <w:t>Pension litigation charge, net of income tax benefit of $1,</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240" w:type="dxa"/>
            <w:vAlign w:val="bottom"/>
          </w:tcPr>
          <w:p>
            <w:pPr>
              <w:ind w:left="300"/>
              <w:spacing w:after="0"/>
              <w:rPr>
                <w:sz w:val="20"/>
                <w:szCs w:val="20"/>
                <w:color w:val="auto"/>
              </w:rPr>
            </w:pPr>
            <w:r>
              <w:rPr>
                <w:rFonts w:ascii="Arial" w:cs="Arial" w:eastAsia="Arial" w:hAnsi="Arial"/>
                <w:sz w:val="15"/>
                <w:szCs w:val="15"/>
                <w:color w:val="auto"/>
              </w:rPr>
              <w:t>$20, $4, and $20 million</w:t>
            </w:r>
          </w:p>
        </w:tc>
        <w:tc>
          <w:tcPr>
            <w:tcW w:w="30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b w:val="1"/>
                <w:bCs w:val="1"/>
                <w:color w:val="auto"/>
              </w:rPr>
              <w:t>2</w:t>
            </w:r>
          </w:p>
        </w:tc>
        <w:tc>
          <w:tcPr>
            <w:tcW w:w="46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30</w:t>
            </w:r>
          </w:p>
        </w:tc>
        <w:tc>
          <w:tcPr>
            <w:tcW w:w="200" w:type="dxa"/>
            <w:vAlign w:val="bottom"/>
          </w:tcPr>
          <w:p>
            <w:pPr>
              <w:spacing w:after="0"/>
              <w:rPr>
                <w:sz w:val="17"/>
                <w:szCs w:val="17"/>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11</w:t>
            </w: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 tax reform</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4240" w:type="dxa"/>
            <w:vAlign w:val="bottom"/>
          </w:tcPr>
          <w:p>
            <w:pPr>
              <w:ind w:left="200"/>
              <w:spacing w:after="0"/>
              <w:rPr>
                <w:sz w:val="20"/>
                <w:szCs w:val="20"/>
                <w:color w:val="auto"/>
              </w:rPr>
            </w:pPr>
            <w:r>
              <w:rPr>
                <w:rFonts w:ascii="Arial" w:cs="Arial" w:eastAsia="Arial" w:hAnsi="Arial"/>
                <w:sz w:val="15"/>
                <w:szCs w:val="15"/>
                <w:color w:val="auto"/>
              </w:rPr>
              <w:t>Tax benefit related to enacted change in foreign branch</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w:t>
            </w: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24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currency regulations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Adjusted net income (non-GAAP)</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88</w:t>
            </w:r>
          </w:p>
        </w:tc>
        <w:tc>
          <w:tcPr>
            <w:tcW w:w="4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262</w:t>
            </w:r>
          </w:p>
        </w:tc>
        <w:tc>
          <w:tcPr>
            <w:tcW w:w="4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Earnings per share: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40" w:type="dxa"/>
            <w:vAlign w:val="bottom"/>
          </w:tcPr>
          <w:p>
            <w:pPr>
              <w:spacing w:after="0"/>
              <w:rPr>
                <w:sz w:val="20"/>
                <w:szCs w:val="20"/>
                <w:color w:val="auto"/>
              </w:rPr>
            </w:pPr>
            <w:r>
              <w:rPr>
                <w:rFonts w:ascii="Arial" w:cs="Arial" w:eastAsia="Arial" w:hAnsi="Arial"/>
                <w:sz w:val="15"/>
                <w:szCs w:val="15"/>
                <w:color w:val="auto"/>
              </w:rPr>
              <w:t>Diluted EPS</w:t>
            </w: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43"/>
              <w:spacing w:after="0"/>
              <w:rPr>
                <w:sz w:val="20"/>
                <w:szCs w:val="20"/>
                <w:color w:val="auto"/>
              </w:rPr>
            </w:pPr>
            <w:r>
              <w:rPr>
                <w:rFonts w:ascii="Arial" w:cs="Arial" w:eastAsia="Arial" w:hAnsi="Arial"/>
                <w:sz w:val="15"/>
                <w:szCs w:val="15"/>
                <w:b w:val="1"/>
                <w:bCs w:val="1"/>
                <w:color w:val="auto"/>
              </w:rPr>
              <w:t>0.75</w:t>
            </w:r>
          </w:p>
        </w:tc>
        <w:tc>
          <w:tcPr>
            <w:tcW w:w="46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0.39</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2.14</w:t>
            </w:r>
          </w:p>
        </w:tc>
        <w:tc>
          <w:tcPr>
            <w:tcW w:w="4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Diluted EPS amounts excluded from GAAP:</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40" w:type="dxa"/>
            <w:vAlign w:val="bottom"/>
          </w:tcPr>
          <w:p>
            <w:pPr>
              <w:ind w:left="200"/>
              <w:spacing w:after="0"/>
              <w:rPr>
                <w:sz w:val="20"/>
                <w:szCs w:val="20"/>
                <w:color w:val="auto"/>
              </w:rPr>
            </w:pPr>
            <w:r>
              <w:rPr>
                <w:rFonts w:ascii="Arial" w:cs="Arial" w:eastAsia="Arial" w:hAnsi="Arial"/>
                <w:sz w:val="15"/>
                <w:szCs w:val="15"/>
                <w:color w:val="auto"/>
              </w:rPr>
              <w:t>Pension litigation charge</w:t>
            </w:r>
          </w:p>
        </w:tc>
        <w:tc>
          <w:tcPr>
            <w:tcW w:w="30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b w:val="1"/>
                <w:bCs w:val="1"/>
                <w:color w:val="auto"/>
              </w:rPr>
              <w:t>0.02</w:t>
            </w:r>
          </w:p>
        </w:tc>
        <w:tc>
          <w:tcPr>
            <w:tcW w:w="460" w:type="dxa"/>
            <w:vAlign w:val="bottom"/>
          </w:tcPr>
          <w:p>
            <w:pPr>
              <w:spacing w:after="0"/>
              <w:rPr>
                <w:sz w:val="17"/>
                <w:szCs w:val="17"/>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0.23</w:t>
            </w:r>
          </w:p>
        </w:tc>
        <w:tc>
          <w:tcPr>
            <w:tcW w:w="200" w:type="dxa"/>
            <w:vAlign w:val="bottom"/>
          </w:tcPr>
          <w:p>
            <w:pPr>
              <w:spacing w:after="0"/>
              <w:rPr>
                <w:sz w:val="17"/>
                <w:szCs w:val="17"/>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rPr>
              <w:t>0.09</w:t>
            </w: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0.23</w:t>
            </w: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U.S. tax reform</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(0.01)</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(0.01)</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5"/>
        </w:trPr>
        <w:tc>
          <w:tcPr>
            <w:tcW w:w="4240" w:type="dxa"/>
            <w:vAlign w:val="bottom"/>
          </w:tcPr>
          <w:p>
            <w:pPr>
              <w:ind w:left="200"/>
              <w:spacing w:after="0" w:line="165" w:lineRule="exact"/>
              <w:rPr>
                <w:sz w:val="20"/>
                <w:szCs w:val="20"/>
                <w:color w:val="auto"/>
              </w:rPr>
            </w:pPr>
            <w:r>
              <w:rPr>
                <w:rFonts w:ascii="Arial" w:cs="Arial" w:eastAsia="Arial" w:hAnsi="Arial"/>
                <w:sz w:val="15"/>
                <w:szCs w:val="15"/>
                <w:color w:val="auto"/>
              </w:rPr>
              <w:t>Tax benefit related to enacted change in foreign branch</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(0.01)</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(0.01)</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4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currency regulations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Adjusted diluted EPS (non-GAAP)</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0.75</w:t>
            </w:r>
          </w:p>
        </w:tc>
        <w:tc>
          <w:tcPr>
            <w:tcW w:w="4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2.21</w:t>
            </w:r>
          </w:p>
        </w:tc>
        <w:tc>
          <w:tcPr>
            <w:tcW w:w="4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During the thirteen and twenty-six weeks ended August 4, 2018, the Company recorded pre-tax charges of $3 million and $15 million, respectively, in connection with its U.S. retirement plan litigation and required plan reformation. These charges represented $2 million after-tax ($0.02 per share) and $11 million after-tax ($0.09 per share), respectively. During the thirteen and twenty-six weeks ended July 29, 2017, the Company recorded a charge related to the same litigation of $50 million, $30 million after-tax or $0.23 per share. Please see Item 1. “Financial Statements,” Note 14,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for further information on these charges.</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During the fourth quarter of 2017, the United States enacted tax reform legislation that included a broad range of business tax provisions. During the second quarter of 2018, we revised the provisional amount that was originally recorded which resulted in a benefit of $1 million. We revised our estimate of the amount of foreign tax credits that we expect to utilize. Our accounting for tax reform is still incomplete as we have not finalized the deemed repatriation of deferred foreign income and prior-year deferred tax activity. We are continuing to gather additional information to complete our accounting for these items and expect to complete our accounting within the one-year time period provided by SAB 118. Any adjustment to these amounts during the measurement period will be recorded in income tax expense in the period in which the analysis is complete.</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5"/>
          <w:szCs w:val="15"/>
          <w:color w:val="auto"/>
        </w:rPr>
        <w:t>During the second quarter of 2018, the U.S. Treasury issued a notice that delayed the effective date of regulations under Internal Revenue Code Section 987. These regulations, which were promulgated in December 2016, changed our method for determining the tax effects of foreign currency translation gains and losses for our foreign businesses that are operated as branches and are reported in a currency other than the currency of their parent. As a result of the delay in the effective date, the Company updated its calculations for the effect of these regulations, which resulted in an increase to deferred tax assets and a corresponding reduction in our income tax provision in the amount of $1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color w:val="auto"/>
        </w:rPr>
        <w:t>Results of Operations</w:t>
      </w:r>
    </w:p>
    <w:p>
      <w:pPr>
        <w:spacing w:after="0" w:line="12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We evaluate performance based on several factors, of which the primary financial measure is the banner’s financial results referred to as division profit. Division profit reflects income before income taxes, pension litigation charge, corporate expense, non-operating income, and net interest income. The following table summarizes our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5"/>
                <w:szCs w:val="15"/>
                <w:b w:val="1"/>
                <w:bCs w:val="1"/>
                <w:color w:val="auto"/>
              </w:rPr>
              <w:t>Thirteen weeks ended</w:t>
            </w: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5"/>
                <w:szCs w:val="15"/>
                <w:b w:val="1"/>
                <w:bCs w:val="1"/>
                <w:color w:val="auto"/>
              </w:rPr>
              <w:t>Twenty-six weeks ended</w:t>
            </w:r>
          </w:p>
        </w:tc>
      </w:tr>
      <w:tr>
        <w:trPr>
          <w:trHeight w:val="196"/>
        </w:trPr>
        <w:tc>
          <w:tcPr>
            <w:tcW w:w="3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jc w:val="right"/>
              <w:ind w:right="283"/>
              <w:spacing w:after="0"/>
              <w:rPr>
                <w:sz w:val="20"/>
                <w:szCs w:val="20"/>
                <w:color w:val="auto"/>
              </w:rPr>
            </w:pPr>
            <w:r>
              <w:rPr>
                <w:rFonts w:ascii="Arial" w:cs="Arial" w:eastAsia="Arial" w:hAnsi="Arial"/>
                <w:sz w:val="15"/>
                <w:szCs w:val="15"/>
                <w:b w:val="1"/>
                <w:bCs w:val="1"/>
                <w:color w:val="auto"/>
                <w:w w:val="99"/>
              </w:rPr>
              <w:t>August 4,</w:t>
            </w:r>
          </w:p>
        </w:tc>
        <w:tc>
          <w:tcPr>
            <w:tcW w:w="280" w:type="dxa"/>
            <w:vAlign w:val="bottom"/>
          </w:tcPr>
          <w:p>
            <w:pPr>
              <w:spacing w:after="0"/>
              <w:rPr>
                <w:sz w:val="17"/>
                <w:szCs w:val="17"/>
                <w:color w:val="auto"/>
              </w:rPr>
            </w:pPr>
          </w:p>
        </w:tc>
        <w:tc>
          <w:tcPr>
            <w:tcW w:w="1020" w:type="dxa"/>
            <w:vAlign w:val="bottom"/>
          </w:tcPr>
          <w:p>
            <w:pPr>
              <w:jc w:val="right"/>
              <w:ind w:right="343"/>
              <w:spacing w:after="0"/>
              <w:rPr>
                <w:sz w:val="20"/>
                <w:szCs w:val="20"/>
                <w:color w:val="auto"/>
              </w:rPr>
            </w:pPr>
            <w:r>
              <w:rPr>
                <w:rFonts w:ascii="Arial" w:cs="Arial" w:eastAsia="Arial" w:hAnsi="Arial"/>
                <w:sz w:val="15"/>
                <w:szCs w:val="15"/>
                <w:b w:val="1"/>
                <w:bCs w:val="1"/>
                <w:color w:val="auto"/>
              </w:rPr>
              <w:t>July 29,</w:t>
            </w:r>
          </w:p>
        </w:tc>
        <w:tc>
          <w:tcPr>
            <w:tcW w:w="240" w:type="dxa"/>
            <w:vAlign w:val="bottom"/>
          </w:tcPr>
          <w:p>
            <w:pPr>
              <w:spacing w:after="0"/>
              <w:rPr>
                <w:sz w:val="17"/>
                <w:szCs w:val="17"/>
                <w:color w:val="auto"/>
              </w:rPr>
            </w:pPr>
          </w:p>
        </w:tc>
        <w:tc>
          <w:tcPr>
            <w:tcW w:w="1040" w:type="dxa"/>
            <w:vAlign w:val="bottom"/>
          </w:tcPr>
          <w:p>
            <w:pPr>
              <w:jc w:val="right"/>
              <w:ind w:right="263"/>
              <w:spacing w:after="0"/>
              <w:rPr>
                <w:sz w:val="20"/>
                <w:szCs w:val="20"/>
                <w:color w:val="auto"/>
              </w:rPr>
            </w:pPr>
            <w:r>
              <w:rPr>
                <w:rFonts w:ascii="Arial" w:cs="Arial" w:eastAsia="Arial" w:hAnsi="Arial"/>
                <w:sz w:val="15"/>
                <w:szCs w:val="15"/>
                <w:b w:val="1"/>
                <w:bCs w:val="1"/>
                <w:color w:val="auto"/>
                <w:w w:val="99"/>
              </w:rPr>
              <w:t>August 4,</w:t>
            </w:r>
          </w:p>
        </w:tc>
        <w:tc>
          <w:tcPr>
            <w:tcW w:w="260" w:type="dxa"/>
            <w:vAlign w:val="bottom"/>
          </w:tcPr>
          <w:p>
            <w:pPr>
              <w:spacing w:after="0"/>
              <w:rPr>
                <w:sz w:val="17"/>
                <w:szCs w:val="17"/>
                <w:color w:val="auto"/>
              </w:rPr>
            </w:pPr>
          </w:p>
        </w:tc>
        <w:tc>
          <w:tcPr>
            <w:tcW w:w="860" w:type="dxa"/>
            <w:vAlign w:val="bottom"/>
          </w:tcPr>
          <w:p>
            <w:pPr>
              <w:jc w:val="right"/>
              <w:ind w:right="183"/>
              <w:spacing w:after="0"/>
              <w:rPr>
                <w:sz w:val="20"/>
                <w:szCs w:val="20"/>
                <w:color w:val="auto"/>
              </w:rPr>
            </w:pPr>
            <w:r>
              <w:rPr>
                <w:rFonts w:ascii="Arial" w:cs="Arial" w:eastAsia="Arial" w:hAnsi="Arial"/>
                <w:sz w:val="15"/>
                <w:szCs w:val="15"/>
                <w:b w:val="1"/>
                <w:bCs w:val="1"/>
                <w:color w:val="auto"/>
              </w:rPr>
              <w:t>July 29,</w:t>
            </w:r>
          </w:p>
        </w:tc>
      </w:tr>
      <w:tr>
        <w:trPr>
          <w:trHeight w:val="197"/>
        </w:trPr>
        <w:tc>
          <w:tcPr>
            <w:tcW w:w="3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2017</w:t>
            </w:r>
          </w:p>
        </w:tc>
      </w:tr>
      <w:tr>
        <w:trPr>
          <w:trHeight w:val="187"/>
        </w:trPr>
        <w:tc>
          <w:tcPr>
            <w:tcW w:w="3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3"/>
          </w:tcPr>
          <w:p>
            <w:pPr>
              <w:jc w:val="right"/>
              <w:ind w:right="823"/>
              <w:spacing w:after="0"/>
              <w:rPr>
                <w:sz w:val="20"/>
                <w:szCs w:val="20"/>
                <w:color w:val="auto"/>
              </w:rPr>
            </w:pPr>
            <w:r>
              <w:rPr>
                <w:rFonts w:ascii="Arial" w:cs="Arial" w:eastAsia="Arial" w:hAnsi="Arial"/>
                <w:sz w:val="15"/>
                <w:szCs w:val="15"/>
                <w:color w:val="auto"/>
              </w:rPr>
              <w:t>($ in millions)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7"/>
        </w:trPr>
        <w:tc>
          <w:tcPr>
            <w:tcW w:w="3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Sales</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1,782</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1,701</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3,807</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3,702</w:t>
            </w:r>
          </w:p>
        </w:tc>
      </w:tr>
      <w:tr>
        <w:trPr>
          <w:trHeight w:val="207"/>
        </w:trPr>
        <w:tc>
          <w:tcPr>
            <w:tcW w:w="3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5"/>
        </w:trPr>
        <w:tc>
          <w:tcPr>
            <w:tcW w:w="3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Results</w:t>
            </w:r>
          </w:p>
        </w:tc>
        <w:tc>
          <w:tcPr>
            <w:tcW w:w="1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7"/>
        </w:trPr>
        <w:tc>
          <w:tcPr>
            <w:tcW w:w="3100" w:type="dxa"/>
            <w:vAlign w:val="bottom"/>
          </w:tcPr>
          <w:p>
            <w:pPr>
              <w:spacing w:after="0"/>
              <w:rPr>
                <w:sz w:val="20"/>
                <w:szCs w:val="20"/>
                <w:color w:val="auto"/>
              </w:rPr>
            </w:pPr>
            <w:r>
              <w:rPr>
                <w:rFonts w:ascii="Arial" w:cs="Arial" w:eastAsia="Arial" w:hAnsi="Arial"/>
                <w:sz w:val="15"/>
                <w:szCs w:val="15"/>
                <w:color w:val="auto"/>
              </w:rPr>
              <w:t>Division profit</w:t>
            </w:r>
          </w:p>
        </w:tc>
        <w:tc>
          <w:tcPr>
            <w:tcW w:w="1240" w:type="dxa"/>
            <w:vAlign w:val="bottom"/>
          </w:tcPr>
          <w:p>
            <w:pPr>
              <w:spacing w:after="0"/>
              <w:rPr>
                <w:sz w:val="17"/>
                <w:szCs w:val="17"/>
                <w:color w:val="auto"/>
              </w:rPr>
            </w:pPr>
          </w:p>
        </w:tc>
        <w:tc>
          <w:tcPr>
            <w:tcW w:w="1060" w:type="dxa"/>
            <w:vAlign w:val="bottom"/>
          </w:tcPr>
          <w:p>
            <w:pPr>
              <w:jc w:val="right"/>
              <w:ind w:right="123"/>
              <w:spacing w:after="0"/>
              <w:rPr>
                <w:sz w:val="20"/>
                <w:szCs w:val="20"/>
                <w:color w:val="auto"/>
              </w:rPr>
            </w:pPr>
            <w:r>
              <w:rPr>
                <w:rFonts w:ascii="Arial" w:cs="Arial" w:eastAsia="Arial" w:hAnsi="Arial"/>
                <w:sz w:val="15"/>
                <w:szCs w:val="15"/>
                <w:b w:val="1"/>
                <w:bCs w:val="1"/>
                <w:color w:val="auto"/>
              </w:rPr>
              <w:t>131</w:t>
            </w:r>
          </w:p>
        </w:tc>
        <w:tc>
          <w:tcPr>
            <w:tcW w:w="280" w:type="dxa"/>
            <w:vAlign w:val="bottom"/>
          </w:tcPr>
          <w:p>
            <w:pPr>
              <w:spacing w:after="0"/>
              <w:rPr>
                <w:sz w:val="17"/>
                <w:szCs w:val="17"/>
                <w:color w:val="auto"/>
              </w:rPr>
            </w:pP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129</w:t>
            </w:r>
          </w:p>
        </w:tc>
        <w:tc>
          <w:tcPr>
            <w:tcW w:w="240" w:type="dxa"/>
            <w:vAlign w:val="bottom"/>
          </w:tcPr>
          <w:p>
            <w:pPr>
              <w:spacing w:after="0"/>
              <w:rPr>
                <w:sz w:val="17"/>
                <w:szCs w:val="17"/>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b w:val="1"/>
                <w:bCs w:val="1"/>
                <w:color w:val="auto"/>
              </w:rPr>
              <w:t>378</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412</w:t>
            </w:r>
          </w:p>
        </w:tc>
      </w:tr>
      <w:tr>
        <w:trPr>
          <w:trHeight w:val="219"/>
        </w:trPr>
        <w:tc>
          <w:tcPr>
            <w:tcW w:w="310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Less: Pension litigation </w:t>
            </w:r>
            <w:r>
              <w:rPr>
                <w:rFonts w:ascii="Arial" w:cs="Arial" w:eastAsia="Arial" w:hAnsi="Arial"/>
                <w:sz w:val="8"/>
                <w:szCs w:val="8"/>
                <w:color w:val="auto"/>
              </w:rPr>
              <w:t>(1)</w:t>
            </w: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50</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231"/>
        </w:trPr>
        <w:tc>
          <w:tcPr>
            <w:tcW w:w="3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8"/>
                <w:szCs w:val="8"/>
                <w:color w:val="auto"/>
              </w:rPr>
              <w:t>(2)</w:t>
            </w:r>
          </w:p>
        </w:tc>
        <w:tc>
          <w:tcPr>
            <w:tcW w:w="1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16</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7</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27</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r>
      <w:tr>
        <w:trPr>
          <w:trHeight w:val="187"/>
        </w:trPr>
        <w:tc>
          <w:tcPr>
            <w:tcW w:w="310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1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112</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72</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336</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r>
      <w:tr>
        <w:trPr>
          <w:trHeight w:val="207"/>
        </w:trPr>
        <w:tc>
          <w:tcPr>
            <w:tcW w:w="3100" w:type="dxa"/>
            <w:vAlign w:val="bottom"/>
          </w:tcPr>
          <w:p>
            <w:pPr>
              <w:spacing w:after="0"/>
              <w:rPr>
                <w:sz w:val="20"/>
                <w:szCs w:val="20"/>
                <w:color w:val="auto"/>
              </w:rPr>
            </w:pPr>
            <w:r>
              <w:rPr>
                <w:rFonts w:ascii="Arial" w:cs="Arial" w:eastAsia="Arial" w:hAnsi="Arial"/>
                <w:sz w:val="15"/>
                <w:szCs w:val="15"/>
                <w:color w:val="auto"/>
              </w:rPr>
              <w:t>Interest income, net</w:t>
            </w:r>
          </w:p>
        </w:tc>
        <w:tc>
          <w:tcPr>
            <w:tcW w:w="1240" w:type="dxa"/>
            <w:vAlign w:val="bottom"/>
          </w:tcPr>
          <w:p>
            <w:pPr>
              <w:spacing w:after="0"/>
              <w:rPr>
                <w:sz w:val="17"/>
                <w:szCs w:val="17"/>
                <w:color w:val="auto"/>
              </w:rPr>
            </w:pPr>
          </w:p>
        </w:tc>
        <w:tc>
          <w:tcPr>
            <w:tcW w:w="1060" w:type="dxa"/>
            <w:vAlign w:val="bottom"/>
          </w:tcPr>
          <w:p>
            <w:pPr>
              <w:jc w:val="right"/>
              <w:ind w:right="83"/>
              <w:spacing w:after="0"/>
              <w:rPr>
                <w:sz w:val="20"/>
                <w:szCs w:val="20"/>
                <w:color w:val="auto"/>
              </w:rPr>
            </w:pPr>
            <w:r>
              <w:rPr>
                <w:rFonts w:ascii="Arial" w:cs="Arial" w:eastAsia="Arial" w:hAnsi="Arial"/>
                <w:sz w:val="15"/>
                <w:szCs w:val="15"/>
                <w:b w:val="1"/>
                <w:bCs w:val="1"/>
                <w:color w:val="auto"/>
              </w:rPr>
              <w:t>(1)</w:t>
            </w:r>
          </w:p>
        </w:tc>
        <w:tc>
          <w:tcPr>
            <w:tcW w:w="280" w:type="dxa"/>
            <w:vAlign w:val="bottom"/>
          </w:tcPr>
          <w:p>
            <w:pPr>
              <w:spacing w:after="0"/>
              <w:rPr>
                <w:sz w:val="17"/>
                <w:szCs w:val="17"/>
                <w:color w:val="auto"/>
              </w:rPr>
            </w:pP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b w:val="1"/>
                <w:bCs w:val="1"/>
                <w:color w:val="auto"/>
              </w:rPr>
              <w:t>(3)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7"/>
        </w:trPr>
        <w:tc>
          <w:tcPr>
            <w:tcW w:w="3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 xml:space="preserve">Other income </w:t>
            </w:r>
            <w:r>
              <w:rPr>
                <w:rFonts w:ascii="Arial" w:cs="Arial" w:eastAsia="Arial" w:hAnsi="Arial"/>
                <w:sz w:val="8"/>
                <w:szCs w:val="8"/>
                <w:color w:val="auto"/>
              </w:rPr>
              <w:t>(3)</w:t>
            </w:r>
          </w:p>
        </w:tc>
        <w:tc>
          <w:tcPr>
            <w:tcW w:w="1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2</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179"/>
        </w:trPr>
        <w:tc>
          <w:tcPr>
            <w:tcW w:w="3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Income before income taxes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115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73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344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342</w:t>
            </w:r>
          </w:p>
        </w:tc>
      </w:tr>
    </w:tbl>
    <w:p>
      <w:pPr>
        <w:spacing w:after="0" w:line="170" w:lineRule="exact"/>
        <w:rPr>
          <w:sz w:val="20"/>
          <w:szCs w:val="20"/>
          <w:color w:val="auto"/>
        </w:rPr>
      </w:pPr>
    </w:p>
    <w:p>
      <w:pPr>
        <w:jc w:val="both"/>
        <w:ind w:left="660" w:right="120" w:hanging="375"/>
        <w:spacing w:after="0" w:line="239" w:lineRule="auto"/>
        <w:tabs>
          <w:tab w:leader="none" w:pos="660" w:val="left"/>
        </w:tabs>
        <w:numPr>
          <w:ilvl w:val="0"/>
          <w:numId w:val="8"/>
        </w:numPr>
        <w:rPr>
          <w:rFonts w:ascii="Arial" w:cs="Arial" w:eastAsia="Arial" w:hAnsi="Arial"/>
          <w:sz w:val="11"/>
          <w:szCs w:val="11"/>
          <w:color w:val="auto"/>
        </w:rPr>
      </w:pPr>
      <w:r>
        <w:rPr>
          <w:rFonts w:ascii="Arial" w:cs="Arial" w:eastAsia="Arial" w:hAnsi="Arial"/>
          <w:sz w:val="12"/>
          <w:szCs w:val="12"/>
          <w:color w:val="auto"/>
        </w:rPr>
        <w:t xml:space="preserve">Included in the thirteen and twenty-six weeks ended August 4, 2018 are pre-tax charges of $3 million and $15 million, respectively, relating to a pension litigation matter described further in Note 14, </w:t>
      </w:r>
      <w:r>
        <w:rPr>
          <w:rFonts w:ascii="Arial" w:cs="Arial" w:eastAsia="Arial" w:hAnsi="Arial"/>
          <w:sz w:val="12"/>
          <w:szCs w:val="12"/>
          <w:i w:val="1"/>
          <w:iCs w:val="1"/>
          <w:color w:val="auto"/>
        </w:rPr>
        <w:t>Legal Proceedings</w:t>
      </w:r>
      <w:r>
        <w:rPr>
          <w:rFonts w:ascii="Arial" w:cs="Arial" w:eastAsia="Arial" w:hAnsi="Arial"/>
          <w:sz w:val="12"/>
          <w:szCs w:val="12"/>
          <w:color w:val="auto"/>
        </w:rPr>
        <w:t>. Included in the thirteen and twenty-six weeks ended July 29, 2017 are pre-tax charges of $50 million in both periods relating to the same matter.</w:t>
      </w:r>
    </w:p>
    <w:p>
      <w:pPr>
        <w:spacing w:after="0" w:line="98" w:lineRule="exact"/>
        <w:rPr>
          <w:rFonts w:ascii="Arial" w:cs="Arial" w:eastAsia="Arial" w:hAnsi="Arial"/>
          <w:sz w:val="11"/>
          <w:szCs w:val="11"/>
          <w:color w:val="auto"/>
        </w:rPr>
      </w:pPr>
    </w:p>
    <w:p>
      <w:pPr>
        <w:jc w:val="both"/>
        <w:ind w:left="640" w:right="120" w:hanging="355"/>
        <w:spacing w:after="0" w:line="204" w:lineRule="auto"/>
        <w:tabs>
          <w:tab w:leader="none" w:pos="640" w:val="left"/>
        </w:tabs>
        <w:numPr>
          <w:ilvl w:val="0"/>
          <w:numId w:val="8"/>
        </w:numPr>
        <w:rPr>
          <w:rFonts w:ascii="Arial" w:cs="Arial" w:eastAsia="Arial" w:hAnsi="Arial"/>
          <w:sz w:val="21"/>
          <w:szCs w:val="21"/>
          <w:color w:val="auto"/>
          <w:vertAlign w:val="superscript"/>
        </w:rPr>
      </w:pPr>
      <w:r>
        <w:rPr>
          <w:rFonts w:ascii="Arial" w:cs="Arial" w:eastAsia="Arial" w:hAnsi="Arial"/>
          <w:sz w:val="12"/>
          <w:szCs w:val="12"/>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 Depreciation and amortization included in corporate expense was $5 million and $9 million for the thirteen and twenty-six weeks ended August 4, 2018, respectively, as compared with $4 million and $7 million for the corresponding prior-year periods.</w:t>
      </w:r>
    </w:p>
    <w:p>
      <w:pPr>
        <w:spacing w:after="0" w:line="209" w:lineRule="exact"/>
        <w:rPr>
          <w:rFonts w:ascii="Arial" w:cs="Arial" w:eastAsia="Arial" w:hAnsi="Arial"/>
          <w:sz w:val="21"/>
          <w:szCs w:val="21"/>
          <w:color w:val="auto"/>
          <w:vertAlign w:val="superscript"/>
        </w:rPr>
      </w:pPr>
    </w:p>
    <w:p>
      <w:pPr>
        <w:jc w:val="both"/>
        <w:ind w:left="640" w:right="120"/>
        <w:spacing w:after="0" w:line="236" w:lineRule="auto"/>
        <w:rPr>
          <w:rFonts w:ascii="Arial" w:cs="Arial" w:eastAsia="Arial" w:hAnsi="Arial"/>
          <w:sz w:val="21"/>
          <w:szCs w:val="21"/>
          <w:color w:val="auto"/>
          <w:vertAlign w:val="superscript"/>
        </w:rPr>
      </w:pPr>
      <w:r>
        <w:rPr>
          <w:rFonts w:ascii="Arial" w:cs="Arial" w:eastAsia="Arial" w:hAnsi="Arial"/>
          <w:sz w:val="12"/>
          <w:szCs w:val="12"/>
          <w:color w:val="auto"/>
        </w:rPr>
        <w:t>The allocation of corporate expense to the operating divisions is adjusted annually based upon an internal study; accordingly, the allocation increased by $10 million and $20 million for the thirteen and twenty-six weeks ended August 4, 2018 thus reducing corporate expense. Excluding the corporate allocation change as well as depreciation and amortization, corporate expense increased by $18 million and $23 million for the thirteen and twenty-six weeks ended August 4, 2018, respectively. The increase for the thirteen and twenty-six weeks ended August 4, 2018 was primarily due to an increase in incentive compensation as well as increased corporate support costs primarily related to information technology.</w:t>
      </w:r>
    </w:p>
    <w:p>
      <w:pPr>
        <w:spacing w:after="0" w:line="270" w:lineRule="exact"/>
        <w:rPr>
          <w:rFonts w:ascii="Arial" w:cs="Arial" w:eastAsia="Arial" w:hAnsi="Arial"/>
          <w:sz w:val="21"/>
          <w:szCs w:val="21"/>
          <w:color w:val="auto"/>
          <w:vertAlign w:val="superscript"/>
        </w:rPr>
      </w:pPr>
    </w:p>
    <w:p>
      <w:pPr>
        <w:jc w:val="both"/>
        <w:ind w:left="660" w:right="120" w:hanging="375"/>
        <w:spacing w:after="0" w:line="239" w:lineRule="auto"/>
        <w:tabs>
          <w:tab w:leader="none" w:pos="660" w:val="left"/>
        </w:tabs>
        <w:numPr>
          <w:ilvl w:val="0"/>
          <w:numId w:val="8"/>
        </w:numPr>
        <w:rPr>
          <w:rFonts w:ascii="Arial" w:cs="Arial" w:eastAsia="Arial" w:hAnsi="Arial"/>
          <w:sz w:val="11"/>
          <w:szCs w:val="11"/>
          <w:color w:val="auto"/>
        </w:rPr>
      </w:pPr>
      <w:r>
        <w:rPr>
          <w:rFonts w:ascii="Arial" w:cs="Arial" w:eastAsia="Arial" w:hAnsi="Arial"/>
          <w:sz w:val="12"/>
          <w:szCs w:val="12"/>
          <w:color w:val="auto"/>
        </w:rPr>
        <w:t>Other income includes non-operating items, such as lease termination gains, royalty income, changes in fair value, premiums paid, realized gains and losses associated with foreign currency option contracts, changes in the market value of our available-for-sale security, and net benefit expense related to our pension and postretirement programs excluding the service cost component.</w:t>
      </w:r>
    </w:p>
    <w:p>
      <w:pPr>
        <w:spacing w:after="0" w:line="208" w:lineRule="exact"/>
        <w:rPr>
          <w:sz w:val="20"/>
          <w:szCs w:val="20"/>
          <w:color w:val="auto"/>
        </w:rPr>
      </w:pPr>
    </w:p>
    <w:p>
      <w:pPr>
        <w:ind w:left="660" w:right="120"/>
        <w:spacing w:after="0" w:line="246" w:lineRule="auto"/>
        <w:rPr>
          <w:sz w:val="20"/>
          <w:szCs w:val="20"/>
          <w:color w:val="auto"/>
        </w:rPr>
      </w:pPr>
      <w:r>
        <w:rPr>
          <w:rFonts w:ascii="Arial" w:cs="Arial" w:eastAsia="Arial" w:hAnsi="Arial"/>
          <w:sz w:val="12"/>
          <w:szCs w:val="12"/>
          <w:color w:val="auto"/>
        </w:rPr>
        <w:t>The increase in other income for the thirteen and twenty-six weeks ended August 4, 2018 as compared with the corresponding prior-year period primarily reflects increased royalty income and lease termination gains.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Sales</w:t>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All references to comparable-store sales for a given period relate to sales of stores that were open at the period-end and had been open for more than one year. The computation of consolidated comparable-store sales also includes our direct-to-customer channel. Stores opened or closed during the period are not included in the comparable-store base; however, stores closed temporarily for relocation or remodeling are included. Computations exclude the effect of foreign currency fluctuations.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Sales increased by $81 million, or 4.8 percent, to $1,782 million for the thirteen weeks ended August 4, 2018, from $1,701 million for the thirteen weeks ended July 29, 2017. For the twenty-six weeks ended August 4, 2018, sales of $3,807 million increased 2.8 percent from sales of $3,702 million in the corresponding prior-year period. Excluding the effect of foreign currency fluctuations, total sales increased by 3.9 percent and 0.9 percent for the thirteen and twenty-six weeks ended August 4, 2018, respectively. Total comparable sales increased by 0.5 percent for the thirteen weeks ended August 4, 2018 and decreased 1.2 percent for the twenty-six weeks ended August 4, 2018 as compared with the corresponding prior-year periods. The main difference between the change in comparable sales and the total change in sales represented the shift caused by the 53</w:t>
      </w:r>
      <w:r>
        <w:rPr>
          <w:rFonts w:ascii="Arial" w:cs="Arial" w:eastAsia="Arial" w:hAnsi="Arial"/>
          <w:sz w:val="8"/>
          <w:szCs w:val="8"/>
          <w:color w:val="auto"/>
        </w:rPr>
        <w:t>rd</w:t>
      </w:r>
      <w:r>
        <w:rPr>
          <w:rFonts w:ascii="Arial" w:cs="Arial" w:eastAsia="Arial" w:hAnsi="Arial"/>
          <w:sz w:val="15"/>
          <w:szCs w:val="15"/>
          <w:color w:val="auto"/>
        </w:rPr>
        <w:t xml:space="preserve"> week of 2017, which caused more of the higher-volume back-to-school selling period to be included in this quarter’s results.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sectPr>
      </w:pPr>
    </w:p>
    <w:bookmarkStart w:id="21" w:name="page22"/>
    <w:bookmarkEnd w:id="21"/>
    <w:p>
      <w:pPr>
        <w:spacing w:after="0"/>
        <w:rPr>
          <w:sz w:val="20"/>
          <w:szCs w:val="20"/>
          <w:color w:val="auto"/>
        </w:rPr>
      </w:pPr>
      <w:r>
        <w:rPr>
          <w:rFonts w:ascii="Arial" w:cs="Arial" w:eastAsia="Arial" w:hAnsi="Arial"/>
          <w:sz w:val="15"/>
          <w:szCs w:val="15"/>
          <w:color w:val="auto"/>
        </w:rPr>
        <w:t>The information shown below represents certain sales metrics by sales channel: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5"/>
                <w:szCs w:val="15"/>
                <w:b w:val="1"/>
                <w:bCs w:val="1"/>
                <w:color w:val="auto"/>
              </w:rPr>
              <w:t>Thirteen weeks ended</w:t>
            </w: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5"/>
                <w:szCs w:val="15"/>
                <w:b w:val="1"/>
                <w:bCs w:val="1"/>
                <w:color w:val="auto"/>
              </w:rPr>
              <w:t>Twenty-six weeks ended</w:t>
            </w:r>
          </w:p>
        </w:tc>
      </w:tr>
      <w:tr>
        <w:trPr>
          <w:trHeight w:val="175"/>
        </w:trPr>
        <w:tc>
          <w:tcPr>
            <w:tcW w:w="2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b w:val="1"/>
                <w:bCs w:val="1"/>
                <w:color w:val="auto"/>
              </w:rPr>
              <w:t>August 4,</w:t>
            </w:r>
          </w:p>
        </w:tc>
        <w:tc>
          <w:tcPr>
            <w:tcW w:w="260" w:type="dxa"/>
            <w:vAlign w:val="bottom"/>
          </w:tcPr>
          <w:p>
            <w:pPr>
              <w:spacing w:after="0"/>
              <w:rPr>
                <w:sz w:val="15"/>
                <w:szCs w:val="15"/>
                <w:color w:val="auto"/>
              </w:rPr>
            </w:pPr>
          </w:p>
        </w:tc>
        <w:tc>
          <w:tcPr>
            <w:tcW w:w="1120" w:type="dxa"/>
            <w:vAlign w:val="bottom"/>
          </w:tcPr>
          <w:p>
            <w:pPr>
              <w:jc w:val="right"/>
              <w:ind w:right="363"/>
              <w:spacing w:after="0"/>
              <w:rPr>
                <w:sz w:val="20"/>
                <w:szCs w:val="20"/>
                <w:color w:val="auto"/>
              </w:rPr>
            </w:pPr>
            <w:r>
              <w:rPr>
                <w:rFonts w:ascii="Arial" w:cs="Arial" w:eastAsia="Arial" w:hAnsi="Arial"/>
                <w:sz w:val="15"/>
                <w:szCs w:val="15"/>
                <w:b w:val="1"/>
                <w:bCs w:val="1"/>
                <w:color w:val="auto"/>
              </w:rPr>
              <w:t>July 29,</w:t>
            </w:r>
          </w:p>
        </w:tc>
        <w:tc>
          <w:tcPr>
            <w:tcW w:w="240" w:type="dxa"/>
            <w:vAlign w:val="bottom"/>
          </w:tcPr>
          <w:p>
            <w:pPr>
              <w:spacing w:after="0"/>
              <w:rPr>
                <w:sz w:val="15"/>
                <w:szCs w:val="15"/>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b w:val="1"/>
                <w:bCs w:val="1"/>
                <w:color w:val="auto"/>
              </w:rPr>
              <w:t>August 4,</w:t>
            </w:r>
          </w:p>
        </w:tc>
        <w:tc>
          <w:tcPr>
            <w:tcW w:w="280" w:type="dxa"/>
            <w:vAlign w:val="bottom"/>
          </w:tcPr>
          <w:p>
            <w:pPr>
              <w:spacing w:after="0"/>
              <w:rPr>
                <w:sz w:val="15"/>
                <w:szCs w:val="15"/>
                <w:color w:val="auto"/>
              </w:rPr>
            </w:pPr>
          </w:p>
        </w:tc>
        <w:tc>
          <w:tcPr>
            <w:tcW w:w="1100" w:type="dxa"/>
            <w:vAlign w:val="bottom"/>
          </w:tcPr>
          <w:p>
            <w:pPr>
              <w:jc w:val="right"/>
              <w:ind w:right="343"/>
              <w:spacing w:after="0"/>
              <w:rPr>
                <w:sz w:val="20"/>
                <w:szCs w:val="20"/>
                <w:color w:val="auto"/>
              </w:rPr>
            </w:pPr>
            <w:r>
              <w:rPr>
                <w:rFonts w:ascii="Arial" w:cs="Arial" w:eastAsia="Arial" w:hAnsi="Arial"/>
                <w:sz w:val="15"/>
                <w:szCs w:val="15"/>
                <w:b w:val="1"/>
                <w:bCs w:val="1"/>
                <w:color w:val="auto"/>
              </w:rPr>
              <w:t>July 29,</w:t>
            </w:r>
          </w:p>
        </w:tc>
      </w:tr>
      <w:tr>
        <w:trPr>
          <w:trHeight w:val="194"/>
        </w:trPr>
        <w:tc>
          <w:tcPr>
            <w:tcW w:w="28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r>
      <w:tr>
        <w:trPr>
          <w:trHeight w:val="175"/>
        </w:trPr>
        <w:tc>
          <w:tcPr>
            <w:tcW w:w="2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3"/>
          </w:tcPr>
          <w:p>
            <w:pPr>
              <w:jc w:val="right"/>
              <w:ind w:right="863"/>
              <w:spacing w:after="0"/>
              <w:rPr>
                <w:sz w:val="20"/>
                <w:szCs w:val="20"/>
                <w:color w:val="auto"/>
              </w:rPr>
            </w:pPr>
            <w:r>
              <w:rPr>
                <w:rFonts w:ascii="Arial" w:cs="Arial" w:eastAsia="Arial" w:hAnsi="Arial"/>
                <w:sz w:val="15"/>
                <w:szCs w:val="15"/>
                <w:color w:val="auto"/>
              </w:rPr>
              <w:t>($ in millions)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7"/>
        </w:trPr>
        <w:tc>
          <w:tcPr>
            <w:tcW w:w="28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Stores</w:t>
            </w: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2840" w:type="dxa"/>
            <w:vAlign w:val="bottom"/>
          </w:tcPr>
          <w:p>
            <w:pPr>
              <w:spacing w:after="0"/>
              <w:rPr>
                <w:sz w:val="20"/>
                <w:szCs w:val="20"/>
                <w:color w:val="auto"/>
              </w:rPr>
            </w:pPr>
            <w:r>
              <w:rPr>
                <w:rFonts w:ascii="Arial" w:cs="Arial" w:eastAsia="Arial" w:hAnsi="Arial"/>
                <w:sz w:val="15"/>
                <w:szCs w:val="15"/>
                <w:color w:val="auto"/>
              </w:rPr>
              <w:t>Sales</w:t>
            </w:r>
          </w:p>
        </w:tc>
        <w:tc>
          <w:tcPr>
            <w:tcW w:w="98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163"/>
              <w:spacing w:after="0"/>
              <w:rPr>
                <w:sz w:val="20"/>
                <w:szCs w:val="20"/>
                <w:color w:val="auto"/>
              </w:rPr>
            </w:pPr>
            <w:r>
              <w:rPr>
                <w:rFonts w:ascii="Arial" w:cs="Arial" w:eastAsia="Arial" w:hAnsi="Arial"/>
                <w:sz w:val="15"/>
                <w:szCs w:val="15"/>
                <w:b w:val="1"/>
                <w:bCs w:val="1"/>
                <w:color w:val="auto"/>
              </w:rPr>
              <w:t>1,542</w:t>
            </w:r>
          </w:p>
        </w:tc>
        <w:tc>
          <w:tcPr>
            <w:tcW w:w="2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63"/>
              <w:spacing w:after="0"/>
              <w:rPr>
                <w:sz w:val="20"/>
                <w:szCs w:val="20"/>
                <w:color w:val="auto"/>
              </w:rPr>
            </w:pPr>
            <w:r>
              <w:rPr>
                <w:rFonts w:ascii="Arial" w:cs="Arial" w:eastAsia="Arial" w:hAnsi="Arial"/>
                <w:sz w:val="15"/>
                <w:szCs w:val="15"/>
                <w:color w:val="auto"/>
              </w:rPr>
              <w:t>1,485</w:t>
            </w:r>
          </w:p>
        </w:tc>
        <w:tc>
          <w:tcPr>
            <w:tcW w:w="24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143"/>
              <w:spacing w:after="0"/>
              <w:rPr>
                <w:sz w:val="20"/>
                <w:szCs w:val="20"/>
                <w:color w:val="auto"/>
              </w:rPr>
            </w:pPr>
            <w:r>
              <w:rPr>
                <w:rFonts w:ascii="Arial" w:cs="Arial" w:eastAsia="Arial" w:hAnsi="Arial"/>
                <w:sz w:val="15"/>
                <w:szCs w:val="15"/>
                <w:b w:val="1"/>
                <w:bCs w:val="1"/>
                <w:color w:val="auto"/>
              </w:rPr>
              <w:t>3,285</w:t>
            </w: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3"/>
              <w:spacing w:after="0"/>
              <w:rPr>
                <w:sz w:val="20"/>
                <w:szCs w:val="20"/>
                <w:color w:val="auto"/>
              </w:rPr>
            </w:pPr>
            <w:r>
              <w:rPr>
                <w:rFonts w:ascii="Arial" w:cs="Arial" w:eastAsia="Arial" w:hAnsi="Arial"/>
                <w:sz w:val="15"/>
                <w:szCs w:val="15"/>
                <w:color w:val="auto"/>
              </w:rPr>
              <w:t>3,207</w:t>
            </w:r>
          </w:p>
        </w:tc>
      </w:tr>
      <w:tr>
        <w:trPr>
          <w:trHeight w:val="207"/>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 Change</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14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57</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78</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2840" w:type="dxa"/>
            <w:vAlign w:val="bottom"/>
          </w:tcPr>
          <w:p>
            <w:pPr>
              <w:spacing w:after="0"/>
              <w:rPr>
                <w:sz w:val="20"/>
                <w:szCs w:val="20"/>
                <w:color w:val="auto"/>
              </w:rPr>
            </w:pPr>
            <w:r>
              <w:rPr>
                <w:rFonts w:ascii="Arial" w:cs="Arial" w:eastAsia="Arial" w:hAnsi="Arial"/>
                <w:sz w:val="15"/>
                <w:szCs w:val="15"/>
                <w:color w:val="auto"/>
              </w:rPr>
              <w:t>% Change</w:t>
            </w:r>
          </w:p>
        </w:tc>
        <w:tc>
          <w:tcPr>
            <w:tcW w:w="9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3.8 %</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2.4 %</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 of total sales</w:t>
            </w: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86.5 %</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87.3 %</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86.3 %</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86.6 %</w:t>
            </w:r>
          </w:p>
        </w:tc>
      </w:tr>
      <w:tr>
        <w:trPr>
          <w:trHeight w:val="207"/>
        </w:trPr>
        <w:tc>
          <w:tcPr>
            <w:tcW w:w="2840" w:type="dxa"/>
            <w:vAlign w:val="bottom"/>
          </w:tcPr>
          <w:p>
            <w:pPr>
              <w:spacing w:after="0"/>
              <w:rPr>
                <w:sz w:val="20"/>
                <w:szCs w:val="20"/>
                <w:color w:val="auto"/>
              </w:rPr>
            </w:pPr>
            <w:r>
              <w:rPr>
                <w:rFonts w:ascii="Arial" w:cs="Arial" w:eastAsia="Arial" w:hAnsi="Arial"/>
                <w:sz w:val="15"/>
                <w:szCs w:val="15"/>
                <w:color w:val="auto"/>
              </w:rPr>
              <w:t>Comparable sales (decrease)</w:t>
            </w:r>
          </w:p>
        </w:tc>
        <w:tc>
          <w:tcPr>
            <w:tcW w:w="9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(0.8)%</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(7.5)%</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(2.0)%</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07"/>
        </w:trPr>
        <w:tc>
          <w:tcPr>
            <w:tcW w:w="2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2840" w:type="dxa"/>
            <w:vAlign w:val="bottom"/>
          </w:tcPr>
          <w:p>
            <w:pPr>
              <w:spacing w:after="0"/>
              <w:rPr>
                <w:sz w:val="20"/>
                <w:szCs w:val="20"/>
                <w:color w:val="auto"/>
              </w:rPr>
            </w:pPr>
            <w:r>
              <w:rPr>
                <w:rFonts w:ascii="Arial" w:cs="Arial" w:eastAsia="Arial" w:hAnsi="Arial"/>
                <w:sz w:val="15"/>
                <w:szCs w:val="15"/>
                <w:b w:val="1"/>
                <w:bCs w:val="1"/>
                <w:color w:val="auto"/>
              </w:rPr>
              <w:t>Direct-to-customers</w:t>
            </w: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Sales</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14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240</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216</w:t>
            </w:r>
          </w:p>
        </w:tc>
        <w:tc>
          <w:tcPr>
            <w:tcW w:w="2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522</w:t>
            </w:r>
          </w:p>
        </w:tc>
        <w:tc>
          <w:tcPr>
            <w:tcW w:w="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495</w:t>
            </w:r>
          </w:p>
        </w:tc>
      </w:tr>
      <w:tr>
        <w:trPr>
          <w:trHeight w:val="207"/>
        </w:trPr>
        <w:tc>
          <w:tcPr>
            <w:tcW w:w="2840" w:type="dxa"/>
            <w:vAlign w:val="bottom"/>
          </w:tcPr>
          <w:p>
            <w:pPr>
              <w:spacing w:after="0"/>
              <w:rPr>
                <w:sz w:val="20"/>
                <w:szCs w:val="20"/>
                <w:color w:val="auto"/>
              </w:rPr>
            </w:pPr>
            <w:r>
              <w:rPr>
                <w:rFonts w:ascii="Arial" w:cs="Arial" w:eastAsia="Arial" w:hAnsi="Arial"/>
                <w:sz w:val="15"/>
                <w:szCs w:val="15"/>
                <w:color w:val="auto"/>
              </w:rPr>
              <w:t>$ Change</w:t>
            </w:r>
          </w:p>
        </w:tc>
        <w:tc>
          <w:tcPr>
            <w:tcW w:w="98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163"/>
              <w:spacing w:after="0"/>
              <w:rPr>
                <w:sz w:val="20"/>
                <w:szCs w:val="20"/>
                <w:color w:val="auto"/>
              </w:rPr>
            </w:pPr>
            <w:r>
              <w:rPr>
                <w:rFonts w:ascii="Arial" w:cs="Arial" w:eastAsia="Arial" w:hAnsi="Arial"/>
                <w:sz w:val="15"/>
                <w:szCs w:val="15"/>
                <w:b w:val="1"/>
                <w:bCs w:val="1"/>
                <w:color w:val="auto"/>
              </w:rPr>
              <w:t>24</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143"/>
              <w:spacing w:after="0"/>
              <w:rPr>
                <w:sz w:val="20"/>
                <w:szCs w:val="20"/>
                <w:color w:val="auto"/>
              </w:rPr>
            </w:pPr>
            <w:r>
              <w:rPr>
                <w:rFonts w:ascii="Arial" w:cs="Arial" w:eastAsia="Arial" w:hAnsi="Arial"/>
                <w:sz w:val="15"/>
                <w:szCs w:val="15"/>
                <w:b w:val="1"/>
                <w:bCs w:val="1"/>
                <w:color w:val="auto"/>
              </w:rPr>
              <w:t>27</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 Change</w:t>
            </w: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11.1 %</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5.5 %</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2840" w:type="dxa"/>
            <w:vAlign w:val="bottom"/>
          </w:tcPr>
          <w:p>
            <w:pPr>
              <w:spacing w:after="0"/>
              <w:rPr>
                <w:sz w:val="20"/>
                <w:szCs w:val="20"/>
                <w:color w:val="auto"/>
              </w:rPr>
            </w:pPr>
            <w:r>
              <w:rPr>
                <w:rFonts w:ascii="Arial" w:cs="Arial" w:eastAsia="Arial" w:hAnsi="Arial"/>
                <w:sz w:val="15"/>
                <w:szCs w:val="15"/>
                <w:color w:val="auto"/>
              </w:rPr>
              <w:t>% of total sales</w:t>
            </w:r>
          </w:p>
        </w:tc>
        <w:tc>
          <w:tcPr>
            <w:tcW w:w="9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13.5 %</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12.7 %</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13.7 %</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13.4 %</w:t>
            </w:r>
          </w:p>
        </w:tc>
      </w:tr>
      <w:tr>
        <w:trPr>
          <w:trHeight w:val="207"/>
        </w:trPr>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Comparable sales increase</w:t>
            </w:r>
          </w:p>
        </w:tc>
        <w:tc>
          <w:tcPr>
            <w:tcW w:w="9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9.3 %</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5.4 %</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3.8 %</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9.1 %</w:t>
            </w:r>
          </w:p>
        </w:tc>
      </w:tr>
    </w:tbl>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Effective with the first quarter of 2018, the Company discloses one reportable segment and, accordingly, the following discussion describes the changes in sales by banner on an omni-channel basis, meaning that each banner’s results are inclusive of its store and e-commerce activity.</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5"/>
          <w:szCs w:val="15"/>
          <w:color w:val="auto"/>
        </w:rPr>
        <w:t>Excluding the effect of foreign currency, the increase in sales for both the thirteen and twenty-six weeks ended August 4, 2018 primarily reflects sales gains in our Champs Sports, Foot Locker in the U.S., and Kids Foot Locker banners. Our e-commerce businesses in Europe and the U.S. contributed to the sales gains for both the quarter and year-to-date periods. These increases were partially offset by the continued sales decline in our international banners including Foot Locker, Runners Point, and Sidestep. Footaction’s results for the second quarter were essentially flat with the corresponding prior-year period, although for the year-to-date period sales declined.</w:t>
      </w:r>
    </w:p>
    <w:p>
      <w:pPr>
        <w:spacing w:after="0" w:line="35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For both the thirteen and twenty-six weeks ended August 4, 2018, our direct-to-customers channel generated positive comparable sales results and was offset by a decline experienced in the stores channel. From a product perspective for the combined channels, the increase in the quarter was driven by gains in the apparel category, partially offset by a decline in the footwear category. The year-to-date decline in comparable sales was attributable to a decrease in footwear sales.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increase in the apparel category for both the quarter and year-to-date periods reflected the continued success in men’s and children’s branded apparel, which was offset, in part, by declines in men’s private-label apparel.</w:t>
      </w:r>
    </w:p>
    <w:p>
      <w:pPr>
        <w:spacing w:after="0" w:line="14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comparable sales decline in footwear for the thirteen weeks ended August 4, 2018 reflected decreases in women’s and children’s footwear sales, partially offset by gains in sales of men’s footwear. All of these wearer segments experienced comparable declines for the year-to-date period of 2018. For both the quarter and year-to-date periods, the comparable sales decline in women’s footwear primarily reflected decreases in sales of women’s running and court styles. This was the result of our prior-year success of certain women’s offerings with no comparable offerings in the current year. The increase in men’s footwear for the thirteen weeks ended August 4, 2018 primarily represented gains in sales of running styles, which was partially offset by declines in sales of men’s basketball styles. For the year-to-date period, sales of men’s footwear posted a slight comparable sales decline as the gains in sales of running footwear styles were not enough to compensate for the decline in sales of basketball styles.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2"/>
        </w:trPr>
        <w:tc>
          <w:tcPr>
            <w:tcW w:w="3960" w:type="dxa"/>
            <w:vAlign w:val="bottom"/>
            <w:gridSpan w:val="2"/>
          </w:tcPr>
          <w:p>
            <w:pPr>
              <w:spacing w:after="0"/>
              <w:rPr>
                <w:sz w:val="20"/>
                <w:szCs w:val="20"/>
                <w:color w:val="auto"/>
              </w:rPr>
            </w:pPr>
            <w:r>
              <w:rPr>
                <w:rFonts w:ascii="Arial" w:cs="Arial" w:eastAsia="Arial" w:hAnsi="Arial"/>
                <w:sz w:val="15"/>
                <w:szCs w:val="15"/>
                <w:i w:val="1"/>
                <w:iCs w:val="1"/>
                <w:color w:val="auto"/>
              </w:rPr>
              <w:t>Gross Margin</w:t>
            </w:r>
          </w:p>
        </w:tc>
        <w:tc>
          <w:tcPr>
            <w:tcW w:w="2660" w:type="dxa"/>
            <w:vAlign w:val="bottom"/>
            <w:gridSpan w:val="2"/>
            <w:vMerge w:val="restart"/>
          </w:tcPr>
          <w:p>
            <w:pPr>
              <w:jc w:val="right"/>
              <w:ind w:right="423"/>
              <w:spacing w:after="0"/>
              <w:rPr>
                <w:sz w:val="20"/>
                <w:szCs w:val="20"/>
                <w:color w:val="auto"/>
              </w:rPr>
            </w:pPr>
            <w:r>
              <w:rPr>
                <w:rFonts w:ascii="Arial" w:cs="Arial" w:eastAsia="Arial" w:hAnsi="Arial"/>
                <w:sz w:val="15"/>
                <w:szCs w:val="15"/>
                <w:b w:val="1"/>
                <w:bCs w:val="1"/>
                <w:color w:val="auto"/>
              </w:rPr>
              <w:t>Thirteen weeks ended</w:t>
            </w:r>
          </w:p>
        </w:tc>
        <w:tc>
          <w:tcPr>
            <w:tcW w:w="2480" w:type="dxa"/>
            <w:vAlign w:val="bottom"/>
            <w:gridSpan w:val="2"/>
            <w:vMerge w:val="restart"/>
          </w:tcPr>
          <w:p>
            <w:pPr>
              <w:jc w:val="right"/>
              <w:ind w:right="223"/>
              <w:spacing w:after="0"/>
              <w:rPr>
                <w:sz w:val="20"/>
                <w:szCs w:val="20"/>
                <w:color w:val="auto"/>
              </w:rPr>
            </w:pPr>
            <w:r>
              <w:rPr>
                <w:rFonts w:ascii="Arial" w:cs="Arial" w:eastAsia="Arial" w:hAnsi="Arial"/>
                <w:sz w:val="15"/>
                <w:szCs w:val="15"/>
                <w:b w:val="1"/>
                <w:bCs w:val="1"/>
                <w:color w:val="auto"/>
              </w:rPr>
              <w:t>Twenty-six weeks ended</w:t>
            </w:r>
          </w:p>
        </w:tc>
        <w:tc>
          <w:tcPr>
            <w:tcW w:w="0" w:type="dxa"/>
            <w:vAlign w:val="bottom"/>
          </w:tcPr>
          <w:p>
            <w:pPr>
              <w:spacing w:after="0"/>
              <w:rPr>
                <w:sz w:val="1"/>
                <w:szCs w:val="1"/>
                <w:color w:val="auto"/>
              </w:rPr>
            </w:pPr>
          </w:p>
        </w:tc>
      </w:tr>
      <w:tr>
        <w:trPr>
          <w:trHeight w:val="199"/>
        </w:trPr>
        <w:tc>
          <w:tcPr>
            <w:tcW w:w="920" w:type="dxa"/>
            <w:vAlign w:val="bottom"/>
            <w:tcBorders>
              <w:top w:val="single" w:sz="8" w:color="auto"/>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2"/>
            <w:vMerge w:val="continue"/>
          </w:tcPr>
          <w:p>
            <w:pPr>
              <w:spacing w:after="0"/>
              <w:rPr>
                <w:sz w:val="17"/>
                <w:szCs w:val="17"/>
                <w:color w:val="auto"/>
              </w:rPr>
            </w:pPr>
          </w:p>
        </w:tc>
        <w:tc>
          <w:tcPr>
            <w:tcW w:w="24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9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August 4, 2018</w:t>
            </w:r>
          </w:p>
        </w:tc>
        <w:tc>
          <w:tcPr>
            <w:tcW w:w="1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July 29, 2017</w:t>
            </w: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August 4, 2018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July 29, 2017</w:t>
            </w:r>
          </w:p>
        </w:tc>
        <w:tc>
          <w:tcPr>
            <w:tcW w:w="0" w:type="dxa"/>
            <w:vAlign w:val="bottom"/>
          </w:tcPr>
          <w:p>
            <w:pPr>
              <w:spacing w:after="0"/>
              <w:rPr>
                <w:sz w:val="1"/>
                <w:szCs w:val="1"/>
                <w:color w:val="auto"/>
              </w:rPr>
            </w:pPr>
          </w:p>
        </w:tc>
      </w:tr>
      <w:tr>
        <w:trPr>
          <w:trHeight w:val="187"/>
        </w:trPr>
        <w:tc>
          <w:tcPr>
            <w:tcW w:w="3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Gross margin rate</w:t>
            </w:r>
          </w:p>
        </w:tc>
        <w:tc>
          <w:tcPr>
            <w:tcW w:w="140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30.2 %</w:t>
            </w:r>
          </w:p>
        </w:tc>
        <w:tc>
          <w:tcPr>
            <w:tcW w:w="12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29.6 %</w:t>
            </w:r>
          </w:p>
        </w:tc>
        <w:tc>
          <w:tcPr>
            <w:tcW w:w="13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31.7 %</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32.0 %</w:t>
            </w:r>
          </w:p>
        </w:tc>
        <w:tc>
          <w:tcPr>
            <w:tcW w:w="0" w:type="dxa"/>
            <w:vAlign w:val="bottom"/>
          </w:tcPr>
          <w:p>
            <w:pPr>
              <w:spacing w:after="0"/>
              <w:rPr>
                <w:sz w:val="1"/>
                <w:szCs w:val="1"/>
                <w:color w:val="auto"/>
              </w:rPr>
            </w:pPr>
          </w:p>
        </w:tc>
      </w:tr>
      <w:tr>
        <w:trPr>
          <w:trHeight w:val="207"/>
        </w:trPr>
        <w:tc>
          <w:tcPr>
            <w:tcW w:w="3960" w:type="dxa"/>
            <w:vAlign w:val="bottom"/>
            <w:gridSpan w:val="2"/>
          </w:tcPr>
          <w:p>
            <w:pPr>
              <w:spacing w:after="0"/>
              <w:rPr>
                <w:sz w:val="20"/>
                <w:szCs w:val="20"/>
                <w:color w:val="auto"/>
              </w:rPr>
            </w:pPr>
            <w:r>
              <w:rPr>
                <w:rFonts w:ascii="Arial" w:cs="Arial" w:eastAsia="Arial" w:hAnsi="Arial"/>
                <w:sz w:val="15"/>
                <w:szCs w:val="15"/>
                <w:color w:val="auto"/>
              </w:rPr>
              <w:t>Basis point change in the gross margin rate</w:t>
            </w:r>
          </w:p>
        </w:tc>
        <w:tc>
          <w:tcPr>
            <w:tcW w:w="1400" w:type="dxa"/>
            <w:vAlign w:val="bottom"/>
          </w:tcPr>
          <w:p>
            <w:pPr>
              <w:jc w:val="right"/>
              <w:ind w:right="303"/>
              <w:spacing w:after="0"/>
              <w:rPr>
                <w:sz w:val="20"/>
                <w:szCs w:val="20"/>
                <w:color w:val="auto"/>
              </w:rPr>
            </w:pPr>
            <w:r>
              <w:rPr>
                <w:rFonts w:ascii="Arial" w:cs="Arial" w:eastAsia="Arial" w:hAnsi="Arial"/>
                <w:sz w:val="15"/>
                <w:szCs w:val="15"/>
                <w:b w:val="1"/>
                <w:bCs w:val="1"/>
                <w:color w:val="auto"/>
              </w:rPr>
              <w:t>60</w:t>
            </w:r>
          </w:p>
        </w:tc>
        <w:tc>
          <w:tcPr>
            <w:tcW w:w="1260" w:type="dxa"/>
            <w:vAlign w:val="bottom"/>
          </w:tcPr>
          <w:p>
            <w:pPr>
              <w:spacing w:after="0"/>
              <w:rPr>
                <w:sz w:val="17"/>
                <w:szCs w:val="17"/>
                <w:color w:val="auto"/>
              </w:rPr>
            </w:pPr>
          </w:p>
        </w:tc>
        <w:tc>
          <w:tcPr>
            <w:tcW w:w="1360" w:type="dxa"/>
            <w:vAlign w:val="bottom"/>
          </w:tcPr>
          <w:p>
            <w:pPr>
              <w:jc w:val="right"/>
              <w:ind w:right="263"/>
              <w:spacing w:after="0"/>
              <w:rPr>
                <w:sz w:val="20"/>
                <w:szCs w:val="20"/>
                <w:color w:val="auto"/>
              </w:rPr>
            </w:pPr>
            <w:r>
              <w:rPr>
                <w:rFonts w:ascii="Arial" w:cs="Arial" w:eastAsia="Arial" w:hAnsi="Arial"/>
                <w:sz w:val="15"/>
                <w:szCs w:val="15"/>
                <w:b w:val="1"/>
                <w:bCs w:val="1"/>
                <w:color w:val="auto"/>
              </w:rPr>
              <w:t>(30)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Components of the change-</w:t>
            </w:r>
          </w:p>
        </w:tc>
        <w:tc>
          <w:tcPr>
            <w:tcW w:w="1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3960" w:type="dxa"/>
            <w:vAlign w:val="bottom"/>
            <w:gridSpan w:val="2"/>
          </w:tcPr>
          <w:p>
            <w:pPr>
              <w:ind w:left="200"/>
              <w:spacing w:after="0"/>
              <w:rPr>
                <w:sz w:val="20"/>
                <w:szCs w:val="20"/>
                <w:color w:val="auto"/>
              </w:rPr>
            </w:pPr>
            <w:r>
              <w:rPr>
                <w:rFonts w:ascii="Arial" w:cs="Arial" w:eastAsia="Arial" w:hAnsi="Arial"/>
                <w:sz w:val="15"/>
                <w:szCs w:val="15"/>
                <w:color w:val="auto"/>
              </w:rPr>
              <w:t>Increase/ (decrease) in the merchandise margin rate</w:t>
            </w:r>
          </w:p>
        </w:tc>
        <w:tc>
          <w:tcPr>
            <w:tcW w:w="1400" w:type="dxa"/>
            <w:vAlign w:val="bottom"/>
          </w:tcPr>
          <w:p>
            <w:pPr>
              <w:jc w:val="right"/>
              <w:ind w:right="303"/>
              <w:spacing w:after="0"/>
              <w:rPr>
                <w:sz w:val="20"/>
                <w:szCs w:val="20"/>
                <w:color w:val="auto"/>
              </w:rPr>
            </w:pPr>
            <w:r>
              <w:rPr>
                <w:rFonts w:ascii="Arial" w:cs="Arial" w:eastAsia="Arial" w:hAnsi="Arial"/>
                <w:sz w:val="15"/>
                <w:szCs w:val="15"/>
                <w:b w:val="1"/>
                <w:bCs w:val="1"/>
                <w:color w:val="auto"/>
              </w:rPr>
              <w:t>30</w:t>
            </w:r>
          </w:p>
        </w:tc>
        <w:tc>
          <w:tcPr>
            <w:tcW w:w="1260" w:type="dxa"/>
            <w:vAlign w:val="bottom"/>
          </w:tcPr>
          <w:p>
            <w:pPr>
              <w:spacing w:after="0"/>
              <w:rPr>
                <w:sz w:val="24"/>
                <w:szCs w:val="24"/>
                <w:color w:val="auto"/>
              </w:rPr>
            </w:pPr>
          </w:p>
        </w:tc>
        <w:tc>
          <w:tcPr>
            <w:tcW w:w="1360" w:type="dxa"/>
            <w:vAlign w:val="bottom"/>
          </w:tcPr>
          <w:p>
            <w:pPr>
              <w:jc w:val="right"/>
              <w:ind w:right="263"/>
              <w:spacing w:after="0"/>
              <w:rPr>
                <w:sz w:val="20"/>
                <w:szCs w:val="20"/>
                <w:color w:val="auto"/>
              </w:rPr>
            </w:pPr>
            <w:r>
              <w:rPr>
                <w:rFonts w:ascii="Arial" w:cs="Arial" w:eastAsia="Arial" w:hAnsi="Arial"/>
                <w:sz w:val="15"/>
                <w:szCs w:val="15"/>
                <w:b w:val="1"/>
                <w:bCs w:val="1"/>
                <w:color w:val="auto"/>
              </w:rPr>
              <w:t>(10)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Lower / (higher) occupancy and buyers'</w:t>
            </w:r>
          </w:p>
        </w:tc>
        <w:tc>
          <w:tcPr>
            <w:tcW w:w="1400" w:type="dxa"/>
            <w:vAlign w:val="bottom"/>
            <w:vMerge w:val="restart"/>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30</w:t>
            </w:r>
          </w:p>
        </w:tc>
        <w:tc>
          <w:tcPr>
            <w:tcW w:w="126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(20)</w:t>
            </w: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6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5"/>
                <w:szCs w:val="15"/>
                <w:color w:val="auto"/>
              </w:rPr>
              <w:t>compensation expense rate</w:t>
            </w:r>
          </w:p>
        </w:tc>
        <w:tc>
          <w:tcPr>
            <w:tcW w:w="14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vMerge w:val="continue"/>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Gross margin is calculated as sales minus cost of sales. Cost of sales includes: the cost of merchandise, freight, distribution costs including related depreciation expense, shipping and handling, occupancy and buyers’ compensation. Occupancy costs include rent, common area maintenance charges, real estate taxes, general maintenance, and utilities.</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The gross margin rate increased by 60 basis points for the thirteen weeks ended August 4, 2018 and decreased by 30 basis points for the twenty-six weeks ended August 4, 2018, as compared with the corresponding prior-year periods. The merchandise margin rate improvement for the thirteen weeks ended August 4, 2018 primarily reflected lower markdown rates as we increased full-price selling during the current quarter. For the twenty-six weeks ended August 4, 2018, the gross margin rate was lower primarily due to additional promotional activity during the first quarter to maintain appropriate inventory levels. For both the quarter and year-to-date periods, shipping and handling revenue declined as a result of higher free shipping offers, which negatively affected the merchandise margin rate.</w:t>
      </w:r>
    </w:p>
    <w:p>
      <w:pPr>
        <w:spacing w:after="0" w:line="32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occupancy and buyer’s compensation expense rate decreased for the thirteen weeks ended August 4, 2018, which reflected the higher sales, in part due to the shift that resulted due to the 53</w:t>
      </w:r>
      <w:r>
        <w:rPr>
          <w:rFonts w:ascii="Arial" w:cs="Arial" w:eastAsia="Arial" w:hAnsi="Arial"/>
          <w:sz w:val="8"/>
          <w:szCs w:val="8"/>
          <w:color w:val="auto"/>
        </w:rPr>
        <w:t>rd</w:t>
      </w:r>
      <w:r>
        <w:rPr>
          <w:rFonts w:ascii="Arial" w:cs="Arial" w:eastAsia="Arial" w:hAnsi="Arial"/>
          <w:sz w:val="15"/>
          <w:szCs w:val="15"/>
          <w:color w:val="auto"/>
        </w:rPr>
        <w:t xml:space="preserve"> week of 2017, during the quarter as compared with a relatively fixed rent cost. However, the rate increased for the twenty-six weeks ended August 4, 2018 as the increase in sales was not enough to compensate for the increased rent-related costs primarily attributed to several high-profile location leases entered into recently.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60" w:type="dxa"/>
            <w:vAlign w:val="bottom"/>
            <w:gridSpan w:val="3"/>
          </w:tcPr>
          <w:p>
            <w:pPr>
              <w:spacing w:after="0"/>
              <w:rPr>
                <w:sz w:val="20"/>
                <w:szCs w:val="20"/>
                <w:color w:val="auto"/>
              </w:rPr>
            </w:pPr>
            <w:r>
              <w:rPr>
                <w:rFonts w:ascii="Arial" w:cs="Arial" w:eastAsia="Arial" w:hAnsi="Arial"/>
                <w:sz w:val="15"/>
                <w:szCs w:val="15"/>
                <w:i w:val="1"/>
                <w:iCs w:val="1"/>
                <w:color w:val="auto"/>
              </w:rPr>
              <w:t>Selling, General and Administrative Expenses (SG&amp;A)</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84"/>
        </w:trPr>
        <w:tc>
          <w:tcPr>
            <w:tcW w:w="27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5"/>
                <w:szCs w:val="15"/>
                <w:b w:val="1"/>
                <w:bCs w:val="1"/>
                <w:color w:val="auto"/>
              </w:rPr>
              <w:t>Thirteen weeks ended</w:t>
            </w: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Twenty-six weeks ended</w:t>
            </w:r>
          </w:p>
        </w:tc>
      </w:tr>
      <w:tr>
        <w:trPr>
          <w:trHeight w:val="151"/>
        </w:trPr>
        <w:tc>
          <w:tcPr>
            <w:tcW w:w="2780" w:type="dxa"/>
            <w:vAlign w:val="bottom"/>
          </w:tcPr>
          <w:p>
            <w:pPr>
              <w:spacing w:after="0"/>
              <w:rPr>
                <w:sz w:val="13"/>
                <w:szCs w:val="13"/>
                <w:color w:val="auto"/>
              </w:rPr>
            </w:pPr>
          </w:p>
        </w:tc>
        <w:tc>
          <w:tcPr>
            <w:tcW w:w="2040" w:type="dxa"/>
            <w:vAlign w:val="bottom"/>
            <w:gridSpan w:val="3"/>
          </w:tcPr>
          <w:p>
            <w:pPr>
              <w:jc w:val="center"/>
              <w:ind w:left="383"/>
              <w:spacing w:after="0" w:line="151" w:lineRule="exact"/>
              <w:rPr>
                <w:sz w:val="20"/>
                <w:szCs w:val="20"/>
                <w:color w:val="auto"/>
              </w:rPr>
            </w:pPr>
            <w:r>
              <w:rPr>
                <w:rFonts w:ascii="Arial" w:cs="Arial" w:eastAsia="Arial" w:hAnsi="Arial"/>
                <w:sz w:val="15"/>
                <w:szCs w:val="15"/>
                <w:b w:val="1"/>
                <w:bCs w:val="1"/>
                <w:color w:val="auto"/>
              </w:rPr>
              <w:t>August 4,</w:t>
            </w:r>
          </w:p>
        </w:tc>
        <w:tc>
          <w:tcPr>
            <w:tcW w:w="940" w:type="dxa"/>
            <w:vAlign w:val="bottom"/>
          </w:tcPr>
          <w:p>
            <w:pPr>
              <w:jc w:val="center"/>
              <w:ind w:left="303"/>
              <w:spacing w:after="0" w:line="151" w:lineRule="exact"/>
              <w:rPr>
                <w:sz w:val="20"/>
                <w:szCs w:val="20"/>
                <w:color w:val="auto"/>
              </w:rPr>
            </w:pPr>
            <w:r>
              <w:rPr>
                <w:rFonts w:ascii="Arial" w:cs="Arial" w:eastAsia="Arial" w:hAnsi="Arial"/>
                <w:sz w:val="15"/>
                <w:szCs w:val="15"/>
                <w:b w:val="1"/>
                <w:bCs w:val="1"/>
                <w:color w:val="auto"/>
              </w:rPr>
              <w:t>July 29,</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343"/>
              <w:spacing w:after="0" w:line="151" w:lineRule="exact"/>
              <w:rPr>
                <w:sz w:val="20"/>
                <w:szCs w:val="20"/>
                <w:color w:val="auto"/>
              </w:rPr>
            </w:pPr>
            <w:r>
              <w:rPr>
                <w:rFonts w:ascii="Arial" w:cs="Arial" w:eastAsia="Arial" w:hAnsi="Arial"/>
                <w:sz w:val="15"/>
                <w:szCs w:val="15"/>
                <w:b w:val="1"/>
                <w:bCs w:val="1"/>
                <w:color w:val="auto"/>
              </w:rPr>
              <w:t>August 4,</w:t>
            </w:r>
          </w:p>
        </w:tc>
        <w:tc>
          <w:tcPr>
            <w:tcW w:w="240" w:type="dxa"/>
            <w:vAlign w:val="bottom"/>
          </w:tcPr>
          <w:p>
            <w:pPr>
              <w:spacing w:after="0"/>
              <w:rPr>
                <w:sz w:val="13"/>
                <w:szCs w:val="13"/>
                <w:color w:val="auto"/>
              </w:rPr>
            </w:pPr>
          </w:p>
        </w:tc>
        <w:tc>
          <w:tcPr>
            <w:tcW w:w="1200" w:type="dxa"/>
            <w:vAlign w:val="bottom"/>
          </w:tcPr>
          <w:p>
            <w:pPr>
              <w:jc w:val="right"/>
              <w:ind w:right="443"/>
              <w:spacing w:after="0" w:line="151" w:lineRule="exact"/>
              <w:rPr>
                <w:sz w:val="20"/>
                <w:szCs w:val="20"/>
                <w:color w:val="auto"/>
              </w:rPr>
            </w:pPr>
            <w:r>
              <w:rPr>
                <w:rFonts w:ascii="Arial" w:cs="Arial" w:eastAsia="Arial" w:hAnsi="Arial"/>
                <w:sz w:val="15"/>
                <w:szCs w:val="15"/>
                <w:b w:val="1"/>
                <w:bCs w:val="1"/>
                <w:color w:val="auto"/>
              </w:rPr>
              <w:t>July 29,</w:t>
            </w:r>
          </w:p>
        </w:tc>
      </w:tr>
      <w:tr>
        <w:trPr>
          <w:trHeight w:val="194"/>
        </w:trPr>
        <w:tc>
          <w:tcPr>
            <w:tcW w:w="27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2018</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2017</w:t>
            </w: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2018</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2017</w:t>
            </w:r>
          </w:p>
        </w:tc>
      </w:tr>
      <w:tr>
        <w:trPr>
          <w:trHeight w:val="187"/>
        </w:trPr>
        <w:tc>
          <w:tcPr>
            <w:tcW w:w="2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40" w:type="dxa"/>
            <w:vAlign w:val="bottom"/>
            <w:gridSpan w:val="4"/>
          </w:tcPr>
          <w:p>
            <w:pPr>
              <w:jc w:val="right"/>
              <w:ind w:right="963"/>
              <w:spacing w:after="0"/>
              <w:rPr>
                <w:sz w:val="20"/>
                <w:szCs w:val="20"/>
                <w:color w:val="auto"/>
              </w:rPr>
            </w:pPr>
            <w:r>
              <w:rPr>
                <w:rFonts w:ascii="Arial" w:cs="Arial" w:eastAsia="Arial" w:hAnsi="Arial"/>
                <w:sz w:val="15"/>
                <w:szCs w:val="15"/>
                <w:color w:val="auto"/>
              </w:rPr>
              <w:t>($ in millions)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SG&amp;A</w:t>
            </w:r>
          </w:p>
        </w:tc>
        <w:tc>
          <w:tcPr>
            <w:tcW w:w="9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380</w:t>
            </w:r>
          </w:p>
        </w:tc>
        <w:tc>
          <w:tcPr>
            <w:tcW w:w="94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339</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765</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710</w:t>
            </w:r>
          </w:p>
        </w:tc>
      </w:tr>
      <w:tr>
        <w:trPr>
          <w:trHeight w:val="207"/>
        </w:trPr>
        <w:tc>
          <w:tcPr>
            <w:tcW w:w="2780" w:type="dxa"/>
            <w:vAlign w:val="bottom"/>
          </w:tcPr>
          <w:p>
            <w:pPr>
              <w:spacing w:after="0"/>
              <w:rPr>
                <w:sz w:val="20"/>
                <w:szCs w:val="20"/>
                <w:color w:val="auto"/>
              </w:rPr>
            </w:pPr>
            <w:r>
              <w:rPr>
                <w:rFonts w:ascii="Arial" w:cs="Arial" w:eastAsia="Arial" w:hAnsi="Arial"/>
                <w:sz w:val="15"/>
                <w:szCs w:val="15"/>
                <w:color w:val="auto"/>
              </w:rPr>
              <w:t>$ Change</w:t>
            </w:r>
          </w:p>
        </w:tc>
        <w:tc>
          <w:tcPr>
            <w:tcW w:w="92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spacing w:after="0"/>
              <w:rPr>
                <w:sz w:val="17"/>
                <w:szCs w:val="17"/>
                <w:color w:val="auto"/>
              </w:rPr>
            </w:pPr>
          </w:p>
        </w:tc>
        <w:tc>
          <w:tcPr>
            <w:tcW w:w="560" w:type="dxa"/>
            <w:vAlign w:val="bottom"/>
          </w:tcPr>
          <w:p>
            <w:pPr>
              <w:jc w:val="right"/>
              <w:ind w:right="143"/>
              <w:spacing w:after="0"/>
              <w:rPr>
                <w:sz w:val="20"/>
                <w:szCs w:val="20"/>
                <w:color w:val="auto"/>
              </w:rPr>
            </w:pPr>
            <w:r>
              <w:rPr>
                <w:rFonts w:ascii="Arial" w:cs="Arial" w:eastAsia="Arial" w:hAnsi="Arial"/>
                <w:sz w:val="15"/>
                <w:szCs w:val="15"/>
                <w:b w:val="1"/>
                <w:bCs w:val="1"/>
                <w:color w:val="auto"/>
              </w:rPr>
              <w:t>41</w:t>
            </w: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Pr>
          <w:p>
            <w:pPr>
              <w:jc w:val="right"/>
              <w:ind w:right="123"/>
              <w:spacing w:after="0"/>
              <w:rPr>
                <w:sz w:val="20"/>
                <w:szCs w:val="20"/>
                <w:color w:val="auto"/>
              </w:rPr>
            </w:pPr>
            <w:r>
              <w:rPr>
                <w:rFonts w:ascii="Arial" w:cs="Arial" w:eastAsia="Arial" w:hAnsi="Arial"/>
                <w:sz w:val="15"/>
                <w:szCs w:val="15"/>
                <w:b w:val="1"/>
                <w:bCs w:val="1"/>
                <w:color w:val="auto"/>
              </w:rPr>
              <w:t>55</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 Change</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12.1 %</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7.7 %</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7"/>
        </w:trPr>
        <w:tc>
          <w:tcPr>
            <w:tcW w:w="2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SG&amp;A as a percentage of sales</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21.3 %</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19.9 %</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20.1 %</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19.2 %</w:t>
            </w:r>
          </w:p>
        </w:tc>
      </w:tr>
    </w:tbl>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SG&amp;A increased by $41 million, or by 140 basis points, to $380 million for the thirteen weeks ended August 4, 2018, as compared with the corresponding prior-year period. For the twenty-six weeks ended August 4, 2018, SG&amp;A increased by $55 million, or by 90 basis points, to $765 million, as compared with the corresponding prior-year period. The effect of foreign currency fluctuations for the current quarter and year-to-date periods was not significant.</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The higher SG&amp;A expense rate for both the quarter and year-to-date periods reflected higher wages, higher incentive compensation expense, and an increase in costs incurred in connection with our ongoing investment in various technology and infrastructure projects. Corporate expense (a component of SG&amp;A) increased during the quarter and year-to-date periods also reflecting increased incentive compensation expense. The increase in incentive compensation expense was the result of a reduction in the prior year due to the underperformance of our results. The increase for the year-to-date period was partially offset by a benefit of $5 million recorded in the first quarter relating to insurance recoveries for damaged inventory and fixed assets for losses incurred last year during Hurricane Maria.</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08" w:right="13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2"/>
        </w:trPr>
        <w:tc>
          <w:tcPr>
            <w:tcW w:w="2740" w:type="dxa"/>
            <w:vAlign w:val="bottom"/>
            <w:gridSpan w:val="2"/>
          </w:tcPr>
          <w:p>
            <w:pPr>
              <w:spacing w:after="0"/>
              <w:rPr>
                <w:sz w:val="20"/>
                <w:szCs w:val="20"/>
                <w:color w:val="auto"/>
              </w:rPr>
            </w:pPr>
            <w:r>
              <w:rPr>
                <w:rFonts w:ascii="Arial" w:cs="Arial" w:eastAsia="Arial" w:hAnsi="Arial"/>
                <w:sz w:val="15"/>
                <w:szCs w:val="15"/>
                <w:i w:val="1"/>
                <w:iCs w:val="1"/>
                <w:color w:val="auto"/>
              </w:rPr>
              <w:t>Depreciation and Amortization</w:t>
            </w: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84"/>
        </w:trPr>
        <w:tc>
          <w:tcPr>
            <w:tcW w:w="2060" w:type="dxa"/>
            <w:vAlign w:val="bottom"/>
            <w:tcBorders>
              <w:top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5"/>
                <w:szCs w:val="15"/>
                <w:b w:val="1"/>
                <w:bCs w:val="1"/>
                <w:color w:val="auto"/>
              </w:rPr>
              <w:t>Thirteen weeks ended</w:t>
            </w:r>
          </w:p>
        </w:tc>
        <w:tc>
          <w:tcPr>
            <w:tcW w:w="3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5"/>
                <w:szCs w:val="15"/>
                <w:b w:val="1"/>
                <w:bCs w:val="1"/>
                <w:color w:val="auto"/>
              </w:rPr>
              <w:t>Twenty-six weeks ended</w:t>
            </w:r>
          </w:p>
        </w:tc>
        <w:tc>
          <w:tcPr>
            <w:tcW w:w="460" w:type="dxa"/>
            <w:vAlign w:val="bottom"/>
            <w:tcBorders>
              <w:bottom w:val="single" w:sz="8" w:color="auto"/>
            </w:tcBorders>
          </w:tcPr>
          <w:p>
            <w:pPr>
              <w:spacing w:after="0"/>
              <w:rPr>
                <w:sz w:val="24"/>
                <w:szCs w:val="24"/>
                <w:color w:val="auto"/>
              </w:rPr>
            </w:pPr>
          </w:p>
        </w:tc>
      </w:tr>
      <w:tr>
        <w:trPr>
          <w:trHeight w:val="151"/>
        </w:trPr>
        <w:tc>
          <w:tcPr>
            <w:tcW w:w="2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4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August 4,</w:t>
            </w:r>
          </w:p>
        </w:tc>
        <w:tc>
          <w:tcPr>
            <w:tcW w:w="440" w:type="dxa"/>
            <w:vAlign w:val="bottom"/>
          </w:tcPr>
          <w:p>
            <w:pPr>
              <w:spacing w:after="0"/>
              <w:rPr>
                <w:sz w:val="13"/>
                <w:szCs w:val="13"/>
                <w:color w:val="auto"/>
              </w:rPr>
            </w:pPr>
          </w:p>
        </w:tc>
        <w:tc>
          <w:tcPr>
            <w:tcW w:w="1000" w:type="dxa"/>
            <w:vAlign w:val="bottom"/>
          </w:tcPr>
          <w:p>
            <w:pPr>
              <w:jc w:val="center"/>
              <w:ind w:left="243"/>
              <w:spacing w:after="0" w:line="151" w:lineRule="exact"/>
              <w:rPr>
                <w:sz w:val="20"/>
                <w:szCs w:val="20"/>
                <w:color w:val="auto"/>
              </w:rPr>
            </w:pPr>
            <w:r>
              <w:rPr>
                <w:rFonts w:ascii="Arial" w:cs="Arial" w:eastAsia="Arial" w:hAnsi="Arial"/>
                <w:sz w:val="15"/>
                <w:szCs w:val="15"/>
                <w:b w:val="1"/>
                <w:bCs w:val="1"/>
                <w:color w:val="auto"/>
              </w:rPr>
              <w:t>July 29,</w:t>
            </w:r>
          </w:p>
        </w:tc>
        <w:tc>
          <w:tcPr>
            <w:tcW w:w="340" w:type="dxa"/>
            <w:vAlign w:val="bottom"/>
          </w:tcPr>
          <w:p>
            <w:pPr>
              <w:spacing w:after="0"/>
              <w:rPr>
                <w:sz w:val="13"/>
                <w:szCs w:val="13"/>
                <w:color w:val="auto"/>
              </w:rPr>
            </w:pPr>
          </w:p>
        </w:tc>
        <w:tc>
          <w:tcPr>
            <w:tcW w:w="108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August 4,</w:t>
            </w:r>
          </w:p>
        </w:tc>
        <w:tc>
          <w:tcPr>
            <w:tcW w:w="420" w:type="dxa"/>
            <w:vAlign w:val="bottom"/>
          </w:tcPr>
          <w:p>
            <w:pPr>
              <w:spacing w:after="0"/>
              <w:rPr>
                <w:sz w:val="13"/>
                <w:szCs w:val="13"/>
                <w:color w:val="auto"/>
              </w:rPr>
            </w:pPr>
          </w:p>
        </w:tc>
        <w:tc>
          <w:tcPr>
            <w:tcW w:w="980" w:type="dxa"/>
            <w:vAlign w:val="bottom"/>
          </w:tcPr>
          <w:p>
            <w:pPr>
              <w:jc w:val="center"/>
              <w:ind w:left="223"/>
              <w:spacing w:after="0" w:line="151" w:lineRule="exact"/>
              <w:rPr>
                <w:sz w:val="20"/>
                <w:szCs w:val="20"/>
                <w:color w:val="auto"/>
              </w:rPr>
            </w:pPr>
            <w:r>
              <w:rPr>
                <w:rFonts w:ascii="Arial" w:cs="Arial" w:eastAsia="Arial" w:hAnsi="Arial"/>
                <w:sz w:val="15"/>
                <w:szCs w:val="15"/>
                <w:b w:val="1"/>
                <w:bCs w:val="1"/>
                <w:color w:val="auto"/>
              </w:rPr>
              <w:t>July 29,</w:t>
            </w:r>
          </w:p>
        </w:tc>
        <w:tc>
          <w:tcPr>
            <w:tcW w:w="460" w:type="dxa"/>
            <w:vAlign w:val="bottom"/>
          </w:tcPr>
          <w:p>
            <w:pPr>
              <w:spacing w:after="0"/>
              <w:rPr>
                <w:sz w:val="13"/>
                <w:szCs w:val="13"/>
                <w:color w:val="auto"/>
              </w:rPr>
            </w:pPr>
          </w:p>
        </w:tc>
      </w:tr>
      <w:tr>
        <w:trPr>
          <w:trHeight w:val="194"/>
        </w:trPr>
        <w:tc>
          <w:tcPr>
            <w:tcW w:w="2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2018</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2018</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2017</w:t>
            </w:r>
          </w:p>
        </w:tc>
        <w:tc>
          <w:tcPr>
            <w:tcW w:w="460" w:type="dxa"/>
            <w:vAlign w:val="bottom"/>
            <w:tcBorders>
              <w:bottom w:val="single" w:sz="8" w:color="auto"/>
            </w:tcBorders>
          </w:tcPr>
          <w:p>
            <w:pPr>
              <w:spacing w:after="0"/>
              <w:rPr>
                <w:sz w:val="16"/>
                <w:szCs w:val="16"/>
                <w:color w:val="auto"/>
              </w:rPr>
            </w:pPr>
          </w:p>
        </w:tc>
      </w:tr>
      <w:tr>
        <w:trPr>
          <w:trHeight w:val="187"/>
        </w:trPr>
        <w:tc>
          <w:tcPr>
            <w:tcW w:w="2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20" w:type="dxa"/>
            <w:vAlign w:val="bottom"/>
            <w:gridSpan w:val="3"/>
          </w:tcPr>
          <w:p>
            <w:pPr>
              <w:jc w:val="right"/>
              <w:ind w:right="543"/>
              <w:spacing w:after="0"/>
              <w:rPr>
                <w:sz w:val="20"/>
                <w:szCs w:val="20"/>
                <w:color w:val="auto"/>
              </w:rPr>
            </w:pPr>
            <w:r>
              <w:rPr>
                <w:rFonts w:ascii="Arial" w:cs="Arial" w:eastAsia="Arial" w:hAnsi="Arial"/>
                <w:sz w:val="15"/>
                <w:szCs w:val="15"/>
                <w:color w:val="auto"/>
              </w:rPr>
              <w:t>($ in millions)</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7"/>
        </w:trPr>
        <w:tc>
          <w:tcPr>
            <w:tcW w:w="2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1640" w:type="dxa"/>
            <w:vAlign w:val="bottom"/>
            <w:shd w:val="clear" w:color="auto" w:fill="CCEEFF"/>
          </w:tcPr>
          <w:p>
            <w:pPr>
              <w:jc w:val="right"/>
              <w:ind w:right="823"/>
              <w:spacing w:after="0"/>
              <w:rPr>
                <w:sz w:val="20"/>
                <w:szCs w:val="20"/>
                <w:color w:val="auto"/>
              </w:rPr>
            </w:pPr>
            <w:r>
              <w:rPr>
                <w:rFonts w:ascii="Arial" w:cs="Arial" w:eastAsia="Arial" w:hAnsi="Arial"/>
                <w:sz w:val="15"/>
                <w:szCs w:val="15"/>
                <w:b w:val="1"/>
                <w:bCs w:val="1"/>
                <w:color w:val="auto"/>
              </w:rPr>
              <w:t>$</w:t>
            </w:r>
          </w:p>
        </w:tc>
        <w:tc>
          <w:tcPr>
            <w:tcW w:w="4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44</w:t>
            </w: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w:t>
            </w:r>
          </w:p>
        </w:tc>
        <w:tc>
          <w:tcPr>
            <w:tcW w:w="1080" w:type="dxa"/>
            <w:vAlign w:val="bottom"/>
            <w:shd w:val="clear" w:color="auto" w:fill="CCEEFF"/>
          </w:tcPr>
          <w:p>
            <w:pPr>
              <w:jc w:val="right"/>
              <w:ind w:right="803"/>
              <w:spacing w:after="0"/>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89</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83</w:t>
            </w:r>
          </w:p>
        </w:tc>
      </w:tr>
      <w:tr>
        <w:trPr>
          <w:trHeight w:val="207"/>
        </w:trPr>
        <w:tc>
          <w:tcPr>
            <w:tcW w:w="2740" w:type="dxa"/>
            <w:vAlign w:val="bottom"/>
            <w:gridSpan w:val="2"/>
          </w:tcPr>
          <w:p>
            <w:pPr>
              <w:spacing w:after="0"/>
              <w:rPr>
                <w:sz w:val="20"/>
                <w:szCs w:val="20"/>
                <w:color w:val="auto"/>
              </w:rPr>
            </w:pPr>
            <w:r>
              <w:rPr>
                <w:rFonts w:ascii="Arial" w:cs="Arial" w:eastAsia="Arial" w:hAnsi="Arial"/>
                <w:sz w:val="15"/>
                <w:szCs w:val="15"/>
                <w:color w:val="auto"/>
              </w:rPr>
              <w:t>$ Change</w:t>
            </w:r>
          </w:p>
        </w:tc>
        <w:tc>
          <w:tcPr>
            <w:tcW w:w="1640" w:type="dxa"/>
            <w:vAlign w:val="bottom"/>
          </w:tcPr>
          <w:p>
            <w:pPr>
              <w:jc w:val="right"/>
              <w:ind w:right="823"/>
              <w:spacing w:after="0"/>
              <w:rPr>
                <w:sz w:val="20"/>
                <w:szCs w:val="20"/>
                <w:color w:val="auto"/>
              </w:rPr>
            </w:pPr>
            <w:r>
              <w:rPr>
                <w:rFonts w:ascii="Arial" w:cs="Arial" w:eastAsia="Arial" w:hAnsi="Arial"/>
                <w:sz w:val="15"/>
                <w:szCs w:val="15"/>
                <w:b w:val="1"/>
                <w:bCs w:val="1"/>
                <w:color w:val="auto"/>
              </w:rPr>
              <w:t>$</w:t>
            </w:r>
          </w:p>
        </w:tc>
        <w:tc>
          <w:tcPr>
            <w:tcW w:w="440" w:type="dxa"/>
            <w:vAlign w:val="bottom"/>
          </w:tcPr>
          <w:p>
            <w:pPr>
              <w:jc w:val="right"/>
              <w:ind w:right="143"/>
              <w:spacing w:after="0"/>
              <w:rPr>
                <w:sz w:val="20"/>
                <w:szCs w:val="20"/>
                <w:color w:val="auto"/>
              </w:rPr>
            </w:pPr>
            <w:r>
              <w:rPr>
                <w:rFonts w:ascii="Arial" w:cs="Arial" w:eastAsia="Arial" w:hAnsi="Arial"/>
                <w:sz w:val="15"/>
                <w:szCs w:val="15"/>
                <w:b w:val="1"/>
                <w:bCs w:val="1"/>
                <w:color w:val="auto"/>
              </w:rPr>
              <w:t>2</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803"/>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jc w:val="right"/>
              <w:ind w:right="123"/>
              <w:spacing w:after="0"/>
              <w:rPr>
                <w:sz w:val="20"/>
                <w:szCs w:val="20"/>
                <w:color w:val="auto"/>
              </w:rPr>
            </w:pPr>
            <w:r>
              <w:rPr>
                <w:rFonts w:ascii="Arial" w:cs="Arial" w:eastAsia="Arial" w:hAnsi="Arial"/>
                <w:sz w:val="15"/>
                <w:szCs w:val="15"/>
                <w:b w:val="1"/>
                <w:bCs w:val="1"/>
                <w:color w:val="auto"/>
              </w:rPr>
              <w:t>6</w:t>
            </w: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7"/>
        </w:trPr>
        <w:tc>
          <w:tcPr>
            <w:tcW w:w="27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 Change</w:t>
            </w:r>
          </w:p>
        </w:tc>
        <w:tc>
          <w:tcPr>
            <w:tcW w:w="16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8"/>
              </w:rPr>
              <w:t>4.8 %</w:t>
            </w:r>
          </w:p>
        </w:tc>
        <w:tc>
          <w:tcPr>
            <w:tcW w:w="10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8"/>
              </w:rPr>
              <w:t>7.2 %</w:t>
            </w:r>
          </w:p>
        </w:tc>
        <w:tc>
          <w:tcPr>
            <w:tcW w:w="9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r>
    </w:tbl>
    <w:p>
      <w:pPr>
        <w:spacing w:after="0" w:line="12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Depreciation and amortization increased by $2 million and $6 million for the thirteen and twenty-six weeks ended August 4, 2018, respectively, as compared with the corresponding prior-year period. The increase in depreciation and amortization reflected ongoing capital spending on store projects, enhancing our digital capabilities, and various other technologies and infrastructure.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20" w:type="dxa"/>
            <w:vAlign w:val="bottom"/>
            <w:gridSpan w:val="2"/>
          </w:tcPr>
          <w:p>
            <w:pPr>
              <w:spacing w:after="0"/>
              <w:rPr>
                <w:sz w:val="20"/>
                <w:szCs w:val="20"/>
                <w:color w:val="auto"/>
              </w:rPr>
            </w:pPr>
            <w:r>
              <w:rPr>
                <w:rFonts w:ascii="Arial" w:cs="Arial" w:eastAsia="Arial" w:hAnsi="Arial"/>
                <w:sz w:val="15"/>
                <w:szCs w:val="15"/>
                <w:i w:val="1"/>
                <w:iCs w:val="1"/>
                <w:color w:val="auto"/>
              </w:rPr>
              <w:t>Division Profit</w:t>
            </w: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8"/>
        </w:trPr>
        <w:tc>
          <w:tcPr>
            <w:tcW w:w="940" w:type="dxa"/>
            <w:vAlign w:val="bottom"/>
            <w:tcBorders>
              <w:top w:val="single" w:sz="8" w:color="auto"/>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5"/>
                <w:szCs w:val="15"/>
                <w:b w:val="1"/>
                <w:bCs w:val="1"/>
                <w:color w:val="auto"/>
              </w:rPr>
              <w:t>Thirteen weeks ended</w:t>
            </w:r>
          </w:p>
        </w:tc>
        <w:tc>
          <w:tcPr>
            <w:tcW w:w="5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Twenty-six weeks ended</w:t>
            </w:r>
          </w:p>
        </w:tc>
      </w:tr>
      <w:tr>
        <w:trPr>
          <w:trHeight w:val="151"/>
        </w:trPr>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40" w:type="dxa"/>
            <w:vAlign w:val="bottom"/>
          </w:tcPr>
          <w:p>
            <w:pPr>
              <w:jc w:val="right"/>
              <w:ind w:right="363"/>
              <w:spacing w:after="0" w:line="151" w:lineRule="exact"/>
              <w:rPr>
                <w:sz w:val="20"/>
                <w:szCs w:val="20"/>
                <w:color w:val="auto"/>
              </w:rPr>
            </w:pPr>
            <w:r>
              <w:rPr>
                <w:rFonts w:ascii="Arial" w:cs="Arial" w:eastAsia="Arial" w:hAnsi="Arial"/>
                <w:sz w:val="15"/>
                <w:szCs w:val="15"/>
                <w:b w:val="1"/>
                <w:bCs w:val="1"/>
                <w:color w:val="auto"/>
              </w:rPr>
              <w:t>August 4,</w:t>
            </w:r>
          </w:p>
        </w:tc>
        <w:tc>
          <w:tcPr>
            <w:tcW w:w="960" w:type="dxa"/>
            <w:vAlign w:val="bottom"/>
          </w:tcPr>
          <w:p>
            <w:pPr>
              <w:jc w:val="center"/>
              <w:ind w:left="283"/>
              <w:spacing w:after="0" w:line="151" w:lineRule="exact"/>
              <w:rPr>
                <w:sz w:val="20"/>
                <w:szCs w:val="20"/>
                <w:color w:val="auto"/>
              </w:rPr>
            </w:pPr>
            <w:r>
              <w:rPr>
                <w:rFonts w:ascii="Arial" w:cs="Arial" w:eastAsia="Arial" w:hAnsi="Arial"/>
                <w:sz w:val="15"/>
                <w:szCs w:val="15"/>
                <w:b w:val="1"/>
                <w:bCs w:val="1"/>
                <w:color w:val="auto"/>
              </w:rPr>
              <w:t>July 29,</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403"/>
              <w:spacing w:after="0" w:line="151" w:lineRule="exact"/>
              <w:rPr>
                <w:sz w:val="20"/>
                <w:szCs w:val="20"/>
                <w:color w:val="auto"/>
              </w:rPr>
            </w:pPr>
            <w:r>
              <w:rPr>
                <w:rFonts w:ascii="Arial" w:cs="Arial" w:eastAsia="Arial" w:hAnsi="Arial"/>
                <w:sz w:val="15"/>
                <w:szCs w:val="15"/>
                <w:b w:val="1"/>
                <w:bCs w:val="1"/>
                <w:color w:val="auto"/>
              </w:rPr>
              <w:t>August 4,</w:t>
            </w:r>
          </w:p>
        </w:tc>
        <w:tc>
          <w:tcPr>
            <w:tcW w:w="220" w:type="dxa"/>
            <w:vAlign w:val="bottom"/>
          </w:tcPr>
          <w:p>
            <w:pPr>
              <w:spacing w:after="0"/>
              <w:rPr>
                <w:sz w:val="13"/>
                <w:szCs w:val="13"/>
                <w:color w:val="auto"/>
              </w:rPr>
            </w:pPr>
          </w:p>
        </w:tc>
        <w:tc>
          <w:tcPr>
            <w:tcW w:w="1160" w:type="dxa"/>
            <w:vAlign w:val="bottom"/>
          </w:tcPr>
          <w:p>
            <w:pPr>
              <w:jc w:val="right"/>
              <w:ind w:right="443"/>
              <w:spacing w:after="0" w:line="151" w:lineRule="exact"/>
              <w:rPr>
                <w:sz w:val="20"/>
                <w:szCs w:val="20"/>
                <w:color w:val="auto"/>
              </w:rPr>
            </w:pPr>
            <w:r>
              <w:rPr>
                <w:rFonts w:ascii="Arial" w:cs="Arial" w:eastAsia="Arial" w:hAnsi="Arial"/>
                <w:sz w:val="15"/>
                <w:szCs w:val="15"/>
                <w:b w:val="1"/>
                <w:bCs w:val="1"/>
                <w:color w:val="auto"/>
              </w:rPr>
              <w:t>July 29,</w:t>
            </w:r>
          </w:p>
        </w:tc>
      </w:tr>
      <w:tr>
        <w:trPr>
          <w:trHeight w:val="194"/>
        </w:trPr>
        <w:tc>
          <w:tcPr>
            <w:tcW w:w="9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2018</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2017</w:t>
            </w: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2017</w:t>
            </w:r>
          </w:p>
        </w:tc>
      </w:tr>
      <w:tr>
        <w:trPr>
          <w:trHeight w:val="187"/>
        </w:trPr>
        <w:tc>
          <w:tcPr>
            <w:tcW w:w="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900" w:type="dxa"/>
            <w:vAlign w:val="bottom"/>
            <w:gridSpan w:val="4"/>
          </w:tcPr>
          <w:p>
            <w:pPr>
              <w:jc w:val="right"/>
              <w:ind w:right="1023"/>
              <w:spacing w:after="0"/>
              <w:rPr>
                <w:sz w:val="20"/>
                <w:szCs w:val="20"/>
                <w:color w:val="auto"/>
              </w:rPr>
            </w:pPr>
            <w:r>
              <w:rPr>
                <w:rFonts w:ascii="Arial" w:cs="Arial" w:eastAsia="Arial" w:hAnsi="Arial"/>
                <w:sz w:val="15"/>
                <w:szCs w:val="15"/>
                <w:color w:val="auto"/>
              </w:rPr>
              <w:t>($ in millions)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7"/>
        </w:trPr>
        <w:tc>
          <w:tcPr>
            <w:tcW w:w="2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Division profit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2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131</w:t>
            </w:r>
          </w:p>
        </w:tc>
        <w:tc>
          <w:tcPr>
            <w:tcW w:w="96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129</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378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412</w:t>
            </w:r>
          </w:p>
        </w:tc>
      </w:tr>
      <w:tr>
        <w:trPr>
          <w:trHeight w:val="207"/>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Division profit margin</w:t>
            </w:r>
          </w:p>
        </w:tc>
        <w:tc>
          <w:tcPr>
            <w:tcW w:w="1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7.4 %</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7.6 %</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9.9 %</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11.1 %</w:t>
            </w:r>
          </w:p>
        </w:tc>
      </w:tr>
    </w:tbl>
    <w:p>
      <w:pPr>
        <w:spacing w:after="0" w:line="140"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Division profit increased by 1.6 percent for the thirteen weeks ended August 4, 2018 and decreased 8.3 percent for the twenty-six weeks ended August 4, 2018, as compared with the corresponding prior-year periods. The increase in division profit for the thirteen weeks ended August 4, 2018 reflects an increase in the gross margin rate as compared with the corresponding prior-year period. For the twenty-six weeks ended August 4, 2018, both the decline in our gross margin rate and the increase in our SG&amp;A expense rate contributed to the decrease in division profit.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Interest Income, Net</w:t>
            </w: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8"/>
        </w:trPr>
        <w:tc>
          <w:tcPr>
            <w:tcW w:w="1400" w:type="dxa"/>
            <w:vAlign w:val="bottom"/>
          </w:tcPr>
          <w:p>
            <w:pPr>
              <w:spacing w:after="0"/>
              <w:rPr>
                <w:sz w:val="24"/>
                <w:szCs w:val="24"/>
                <w:color w:val="auto"/>
              </w:rPr>
            </w:pPr>
          </w:p>
        </w:tc>
        <w:tc>
          <w:tcPr>
            <w:tcW w:w="4540" w:type="dxa"/>
            <w:vAlign w:val="bottom"/>
            <w:gridSpan w:val="3"/>
          </w:tcPr>
          <w:p>
            <w:pPr>
              <w:jc w:val="right"/>
              <w:ind w:right="203"/>
              <w:spacing w:after="0"/>
              <w:rPr>
                <w:sz w:val="20"/>
                <w:szCs w:val="20"/>
                <w:color w:val="auto"/>
              </w:rPr>
            </w:pPr>
            <w:r>
              <w:rPr>
                <w:rFonts w:ascii="Arial" w:cs="Arial" w:eastAsia="Arial" w:hAnsi="Arial"/>
                <w:sz w:val="15"/>
                <w:szCs w:val="15"/>
                <w:b w:val="1"/>
                <w:bCs w:val="1"/>
                <w:color w:val="auto"/>
              </w:rPr>
              <w:t>Thirteen weeks ended</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4"/>
          </w:tcPr>
          <w:p>
            <w:pPr>
              <w:ind w:left="260"/>
              <w:spacing w:after="0"/>
              <w:rPr>
                <w:sz w:val="20"/>
                <w:szCs w:val="20"/>
                <w:color w:val="auto"/>
              </w:rPr>
            </w:pPr>
            <w:r>
              <w:rPr>
                <w:rFonts w:ascii="Arial" w:cs="Arial" w:eastAsia="Arial" w:hAnsi="Arial"/>
                <w:sz w:val="15"/>
                <w:szCs w:val="15"/>
                <w:b w:val="1"/>
                <w:bCs w:val="1"/>
                <w:color w:val="auto"/>
              </w:rPr>
              <w:t>Twenty-six weeks ended</w:t>
            </w:r>
          </w:p>
        </w:tc>
      </w:tr>
      <w:tr>
        <w:trPr>
          <w:trHeight w:val="151"/>
        </w:trPr>
        <w:tc>
          <w:tcPr>
            <w:tcW w:w="1400" w:type="dxa"/>
            <w:vAlign w:val="bottom"/>
            <w:tcBorders>
              <w:top w:val="single" w:sz="8" w:color="auto"/>
            </w:tcBorders>
          </w:tcPr>
          <w:p>
            <w:pPr>
              <w:spacing w:after="0"/>
              <w:rPr>
                <w:sz w:val="13"/>
                <w:szCs w:val="13"/>
                <w:color w:val="auto"/>
              </w:rPr>
            </w:pPr>
          </w:p>
        </w:tc>
        <w:tc>
          <w:tcPr>
            <w:tcW w:w="31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August 4,</w:t>
            </w: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
              <w:spacing w:after="0" w:line="151" w:lineRule="exact"/>
              <w:rPr>
                <w:sz w:val="20"/>
                <w:szCs w:val="20"/>
                <w:color w:val="auto"/>
              </w:rPr>
            </w:pPr>
            <w:r>
              <w:rPr>
                <w:rFonts w:ascii="Arial" w:cs="Arial" w:eastAsia="Arial" w:hAnsi="Arial"/>
                <w:sz w:val="15"/>
                <w:szCs w:val="15"/>
                <w:b w:val="1"/>
                <w:bCs w:val="1"/>
                <w:color w:val="auto"/>
              </w:rPr>
              <w:t>July 29,</w:t>
            </w:r>
          </w:p>
        </w:tc>
        <w:tc>
          <w:tcPr>
            <w:tcW w:w="3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ind w:left="100"/>
              <w:spacing w:after="0" w:line="151" w:lineRule="exact"/>
              <w:rPr>
                <w:sz w:val="20"/>
                <w:szCs w:val="20"/>
                <w:color w:val="auto"/>
              </w:rPr>
            </w:pPr>
            <w:r>
              <w:rPr>
                <w:rFonts w:ascii="Arial" w:cs="Arial" w:eastAsia="Arial" w:hAnsi="Arial"/>
                <w:sz w:val="15"/>
                <w:szCs w:val="15"/>
                <w:b w:val="1"/>
                <w:bCs w:val="1"/>
                <w:color w:val="auto"/>
              </w:rPr>
              <w:t>August 4,</w:t>
            </w: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123"/>
              <w:spacing w:after="0" w:line="151" w:lineRule="exact"/>
              <w:rPr>
                <w:sz w:val="20"/>
                <w:szCs w:val="20"/>
                <w:color w:val="auto"/>
              </w:rPr>
            </w:pPr>
            <w:r>
              <w:rPr>
                <w:rFonts w:ascii="Arial" w:cs="Arial" w:eastAsia="Arial" w:hAnsi="Arial"/>
                <w:sz w:val="15"/>
                <w:szCs w:val="15"/>
                <w:b w:val="1"/>
                <w:bCs w:val="1"/>
                <w:color w:val="auto"/>
              </w:rPr>
              <w:t>July 29,</w:t>
            </w:r>
          </w:p>
        </w:tc>
        <w:tc>
          <w:tcPr>
            <w:tcW w:w="20" w:type="dxa"/>
            <w:vAlign w:val="bottom"/>
          </w:tcPr>
          <w:p>
            <w:pPr>
              <w:spacing w:after="0"/>
              <w:rPr>
                <w:sz w:val="13"/>
                <w:szCs w:val="13"/>
                <w:color w:val="auto"/>
              </w:rPr>
            </w:pPr>
          </w:p>
        </w:tc>
      </w:tr>
      <w:tr>
        <w:trPr>
          <w:trHeight w:val="194"/>
        </w:trPr>
        <w:tc>
          <w:tcPr>
            <w:tcW w:w="1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2018</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2017</w:t>
            </w: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2018</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6"/>
                <w:szCs w:val="16"/>
                <w:color w:val="auto"/>
              </w:rPr>
            </w:pPr>
          </w:p>
        </w:tc>
      </w:tr>
      <w:tr>
        <w:trPr>
          <w:trHeight w:val="187"/>
        </w:trPr>
        <w:tc>
          <w:tcPr>
            <w:tcW w:w="14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4"/>
          </w:tcPr>
          <w:p>
            <w:pPr>
              <w:ind w:left="1000"/>
              <w:spacing w:after="0"/>
              <w:rPr>
                <w:sz w:val="20"/>
                <w:szCs w:val="20"/>
                <w:color w:val="auto"/>
              </w:rPr>
            </w:pPr>
            <w:r>
              <w:rPr>
                <w:rFonts w:ascii="Arial" w:cs="Arial" w:eastAsia="Arial" w:hAnsi="Arial"/>
                <w:sz w:val="15"/>
                <w:szCs w:val="15"/>
                <w:color w:val="auto"/>
              </w:rPr>
              <w:t>($ in millions)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140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3120" w:type="dxa"/>
            <w:vAlign w:val="bottom"/>
            <w:shd w:val="clear" w:color="auto" w:fill="CCEEFF"/>
          </w:tcPr>
          <w:p>
            <w:pPr>
              <w:jc w:val="right"/>
              <w:ind w:right="883"/>
              <w:spacing w:after="0"/>
              <w:rPr>
                <w:sz w:val="20"/>
                <w:szCs w:val="20"/>
                <w:color w:val="auto"/>
              </w:rPr>
            </w:pPr>
            <w:r>
              <w:rPr>
                <w:rFonts w:ascii="Arial" w:cs="Arial" w:eastAsia="Arial" w:hAnsi="Arial"/>
                <w:sz w:val="15"/>
                <w:szCs w:val="15"/>
                <w:b w:val="1"/>
                <w:bCs w:val="1"/>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3</w:t>
            </w:r>
          </w:p>
        </w:tc>
        <w:tc>
          <w:tcPr>
            <w:tcW w:w="110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160" w:type="dxa"/>
            <w:vAlign w:val="bottom"/>
            <w:shd w:val="clear" w:color="auto" w:fill="CCEEFF"/>
          </w:tcPr>
          <w:p>
            <w:pPr>
              <w:jc w:val="center"/>
              <w:ind w:left="723"/>
              <w:spacing w:after="0"/>
              <w:rPr>
                <w:sz w:val="20"/>
                <w:szCs w:val="20"/>
                <w:color w:val="auto"/>
              </w:rPr>
            </w:pPr>
            <w:r>
              <w:rPr>
                <w:rFonts w:ascii="Arial" w:cs="Arial" w:eastAsia="Arial" w:hAnsi="Arial"/>
                <w:sz w:val="15"/>
                <w:szCs w:val="15"/>
                <w:b w:val="1"/>
                <w:bCs w:val="1"/>
                <w:color w:val="auto"/>
                <w:w w:val="95"/>
              </w:rPr>
              <w:t>6</w:t>
            </w: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center"/>
              <w:ind w:left="803"/>
              <w:spacing w:after="0"/>
              <w:rPr>
                <w:sz w:val="20"/>
                <w:szCs w:val="20"/>
                <w:color w:val="auto"/>
              </w:rPr>
            </w:pPr>
            <w:r>
              <w:rPr>
                <w:rFonts w:ascii="Arial" w:cs="Arial" w:eastAsia="Arial" w:hAnsi="Arial"/>
                <w:sz w:val="15"/>
                <w:szCs w:val="15"/>
                <w:color w:val="auto"/>
                <w:w w:val="95"/>
              </w:rPr>
              <w:t>6</w:t>
            </w:r>
          </w:p>
        </w:tc>
        <w:tc>
          <w:tcPr>
            <w:tcW w:w="20" w:type="dxa"/>
            <w:vAlign w:val="bottom"/>
          </w:tcPr>
          <w:p>
            <w:pPr>
              <w:spacing w:after="0"/>
              <w:rPr>
                <w:sz w:val="17"/>
                <w:szCs w:val="17"/>
                <w:color w:val="auto"/>
              </w:rPr>
            </w:pPr>
          </w:p>
        </w:tc>
      </w:tr>
      <w:tr>
        <w:trPr>
          <w:trHeight w:val="207"/>
        </w:trPr>
        <w:tc>
          <w:tcPr>
            <w:tcW w:w="1400" w:type="dxa"/>
            <w:vAlign w:val="bottom"/>
          </w:tcPr>
          <w:p>
            <w:pPr>
              <w:spacing w:after="0"/>
              <w:rPr>
                <w:sz w:val="20"/>
                <w:szCs w:val="20"/>
                <w:color w:val="auto"/>
              </w:rPr>
            </w:pPr>
            <w:r>
              <w:rPr>
                <w:rFonts w:ascii="Arial" w:cs="Arial" w:eastAsia="Arial" w:hAnsi="Arial"/>
                <w:sz w:val="15"/>
                <w:szCs w:val="15"/>
                <w:color w:val="auto"/>
              </w:rPr>
              <w:t>Interest income</w:t>
            </w:r>
          </w:p>
        </w:tc>
        <w:tc>
          <w:tcPr>
            <w:tcW w:w="312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Arial" w:cs="Arial" w:eastAsia="Arial" w:hAnsi="Arial"/>
                <w:sz w:val="15"/>
                <w:szCs w:val="15"/>
                <w:b w:val="1"/>
                <w:bCs w:val="1"/>
                <w:color w:val="auto"/>
                <w:w w:val="97"/>
              </w:rPr>
              <w:t>(4)</w:t>
            </w:r>
          </w:p>
        </w:tc>
        <w:tc>
          <w:tcPr>
            <w:tcW w:w="110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7"/>
              </w:rPr>
              <w:t>(4)</w:t>
            </w:r>
          </w:p>
        </w:tc>
        <w:tc>
          <w:tcPr>
            <w:tcW w:w="280" w:type="dxa"/>
            <w:vAlign w:val="bottom"/>
          </w:tcPr>
          <w:p>
            <w:pPr>
              <w:spacing w:after="0"/>
              <w:rPr>
                <w:sz w:val="17"/>
                <w:szCs w:val="17"/>
                <w:color w:val="auto"/>
              </w:rPr>
            </w:pPr>
          </w:p>
        </w:tc>
        <w:tc>
          <w:tcPr>
            <w:tcW w:w="1160" w:type="dxa"/>
            <w:vAlign w:val="bottom"/>
          </w:tcPr>
          <w:p>
            <w:pPr>
              <w:jc w:val="center"/>
              <w:ind w:left="703"/>
              <w:spacing w:after="0"/>
              <w:rPr>
                <w:sz w:val="20"/>
                <w:szCs w:val="20"/>
                <w:color w:val="auto"/>
              </w:rPr>
            </w:pPr>
            <w:r>
              <w:rPr>
                <w:rFonts w:ascii="Arial" w:cs="Arial" w:eastAsia="Arial" w:hAnsi="Arial"/>
                <w:sz w:val="15"/>
                <w:szCs w:val="15"/>
                <w:b w:val="1"/>
                <w:bCs w:val="1"/>
                <w:color w:val="auto"/>
                <w:w w:val="97"/>
              </w:rPr>
              <w:t>(9)</w:t>
            </w:r>
          </w:p>
        </w:tc>
        <w:tc>
          <w:tcPr>
            <w:tcW w:w="300" w:type="dxa"/>
            <w:vAlign w:val="bottom"/>
          </w:tcPr>
          <w:p>
            <w:pPr>
              <w:spacing w:after="0"/>
              <w:rPr>
                <w:sz w:val="17"/>
                <w:szCs w:val="17"/>
                <w:color w:val="auto"/>
              </w:rPr>
            </w:pPr>
          </w:p>
        </w:tc>
        <w:tc>
          <w:tcPr>
            <w:tcW w:w="1060" w:type="dxa"/>
            <w:vAlign w:val="bottom"/>
            <w:gridSpan w:val="2"/>
          </w:tcPr>
          <w:p>
            <w:pPr>
              <w:jc w:val="center"/>
              <w:ind w:left="763"/>
              <w:spacing w:after="0"/>
              <w:rPr>
                <w:sz w:val="20"/>
                <w:szCs w:val="20"/>
                <w:color w:val="auto"/>
              </w:rPr>
            </w:pPr>
            <w:r>
              <w:rPr>
                <w:rFonts w:ascii="Arial" w:cs="Arial" w:eastAsia="Arial" w:hAnsi="Arial"/>
                <w:sz w:val="15"/>
                <w:szCs w:val="15"/>
                <w:color w:val="auto"/>
                <w:w w:val="97"/>
              </w:rPr>
              <w:t>(7)</w:t>
            </w:r>
          </w:p>
        </w:tc>
      </w:tr>
      <w:tr>
        <w:trPr>
          <w:trHeight w:val="179"/>
        </w:trPr>
        <w:tc>
          <w:tcPr>
            <w:tcW w:w="1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Interest income, net</w:t>
            </w:r>
          </w:p>
        </w:tc>
        <w:tc>
          <w:tcPr>
            <w:tcW w:w="3120" w:type="dxa"/>
            <w:vAlign w:val="bottom"/>
            <w:tcBorders>
              <w:top w:val="single" w:sz="8" w:color="auto"/>
              <w:bottom w:val="single" w:sz="8" w:color="auto"/>
            </w:tcBorders>
            <w:shd w:val="clear" w:color="auto" w:fill="CCEEFF"/>
          </w:tcPr>
          <w:p>
            <w:pPr>
              <w:jc w:val="right"/>
              <w:ind w:right="883"/>
              <w:spacing w:after="0"/>
              <w:rPr>
                <w:sz w:val="20"/>
                <w:szCs w:val="20"/>
                <w:color w:val="auto"/>
              </w:rPr>
            </w:pPr>
            <w:r>
              <w:rPr>
                <w:rFonts w:ascii="Arial" w:cs="Arial" w:eastAsia="Arial" w:hAnsi="Arial"/>
                <w:sz w:val="15"/>
                <w:szCs w:val="15"/>
                <w:b w:val="1"/>
                <w:bCs w:val="1"/>
                <w:color w:val="auto"/>
              </w:rPr>
              <w:t>$</w:t>
            </w:r>
          </w:p>
        </w:tc>
        <w:tc>
          <w:tcPr>
            <w:tcW w:w="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7"/>
              </w:rPr>
              <w:t>(1)</w:t>
            </w:r>
          </w:p>
        </w:tc>
        <w:tc>
          <w:tcPr>
            <w:tcW w:w="1100" w:type="dxa"/>
            <w:vAlign w:val="bottom"/>
            <w:tcBorders>
              <w:top w:val="single" w:sz="8" w:color="auto"/>
              <w:bottom w:val="single" w:sz="8" w:color="auto"/>
            </w:tcBorders>
            <w:shd w:val="clear" w:color="auto" w:fill="CCEEFF"/>
          </w:tcPr>
          <w:p>
            <w:pPr>
              <w:jc w:val="right"/>
              <w:ind w:right="843"/>
              <w:spacing w:after="0"/>
              <w:rPr>
                <w:sz w:val="20"/>
                <w:szCs w:val="20"/>
                <w:color w:val="auto"/>
              </w:rPr>
            </w:pPr>
            <w:r>
              <w:rPr>
                <w:rFonts w:ascii="Arial" w:cs="Arial" w:eastAsia="Arial" w:hAnsi="Arial"/>
                <w:sz w:val="15"/>
                <w:szCs w:val="15"/>
                <w:color w:val="auto"/>
              </w:rPr>
              <w:t>$</w:t>
            </w: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7"/>
              </w:rPr>
              <w:t>(1)</w:t>
            </w:r>
          </w:p>
        </w:tc>
        <w:tc>
          <w:tcPr>
            <w:tcW w:w="2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160" w:type="dxa"/>
            <w:vAlign w:val="bottom"/>
            <w:tcBorders>
              <w:top w:val="single" w:sz="8" w:color="auto"/>
              <w:bottom w:val="single" w:sz="8" w:color="auto"/>
            </w:tcBorders>
            <w:shd w:val="clear" w:color="auto" w:fill="CCEEFF"/>
          </w:tcPr>
          <w:p>
            <w:pPr>
              <w:jc w:val="center"/>
              <w:ind w:left="703"/>
              <w:spacing w:after="0"/>
              <w:rPr>
                <w:sz w:val="20"/>
                <w:szCs w:val="20"/>
                <w:color w:val="auto"/>
              </w:rPr>
            </w:pPr>
            <w:r>
              <w:rPr>
                <w:rFonts w:ascii="Arial" w:cs="Arial" w:eastAsia="Arial" w:hAnsi="Arial"/>
                <w:sz w:val="15"/>
                <w:szCs w:val="15"/>
                <w:b w:val="1"/>
                <w:bCs w:val="1"/>
                <w:color w:val="auto"/>
                <w:w w:val="97"/>
              </w:rPr>
              <w:t>(3)</w:t>
            </w:r>
          </w:p>
        </w:tc>
        <w:tc>
          <w:tcPr>
            <w:tcW w:w="3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bottom w:val="single" w:sz="8" w:color="auto"/>
            </w:tcBorders>
            <w:shd w:val="clear" w:color="auto" w:fill="CCEEFF"/>
          </w:tcPr>
          <w:p>
            <w:pPr>
              <w:jc w:val="center"/>
              <w:ind w:left="783"/>
              <w:spacing w:after="0"/>
              <w:rPr>
                <w:sz w:val="20"/>
                <w:szCs w:val="20"/>
                <w:color w:val="auto"/>
              </w:rPr>
            </w:pPr>
            <w:r>
              <w:rPr>
                <w:rFonts w:ascii="Arial" w:cs="Arial" w:eastAsia="Arial" w:hAnsi="Arial"/>
                <w:sz w:val="15"/>
                <w:szCs w:val="15"/>
                <w:color w:val="auto"/>
                <w:w w:val="97"/>
              </w:rPr>
              <w:t>(1)</w:t>
            </w:r>
          </w:p>
        </w:tc>
        <w:tc>
          <w:tcPr>
            <w:tcW w:w="20" w:type="dxa"/>
            <w:vAlign w:val="bottom"/>
          </w:tcPr>
          <w:p>
            <w:pPr>
              <w:spacing w:after="0"/>
              <w:rPr>
                <w:sz w:val="15"/>
                <w:szCs w:val="15"/>
                <w:color w:val="auto"/>
              </w:rPr>
            </w:pPr>
          </w:p>
        </w:tc>
      </w:tr>
    </w:tbl>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Net interest income was unchanged for the thirteen weeks ended August 4, 2018 and increased by $2 million for the twenty-six weeks ended August 4, 2018, as compared with the corresponding prior-year periods. Interest expense was unchanged for both the thirteen and twenty-six weeks ended August 4, 2018 as compared with the corresponding prior-year periods, while interest income increased primarily due to higher average interest rates on our cash investments.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0" w:type="dxa"/>
            <w:vAlign w:val="bottom"/>
            <w:gridSpan w:val="2"/>
          </w:tcPr>
          <w:p>
            <w:pPr>
              <w:spacing w:after="0"/>
              <w:rPr>
                <w:sz w:val="20"/>
                <w:szCs w:val="20"/>
                <w:color w:val="auto"/>
              </w:rPr>
            </w:pPr>
            <w:r>
              <w:rPr>
                <w:rFonts w:ascii="Arial" w:cs="Arial" w:eastAsia="Arial" w:hAnsi="Arial"/>
                <w:sz w:val="15"/>
                <w:szCs w:val="15"/>
                <w:i w:val="1"/>
                <w:iCs w:val="1"/>
                <w:color w:val="auto"/>
              </w:rPr>
              <w:t>Income Taxes</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60"/>
        </w:trPr>
        <w:tc>
          <w:tcPr>
            <w:tcW w:w="960" w:type="dxa"/>
            <w:vAlign w:val="bottom"/>
            <w:tcBorders>
              <w:top w:val="single" w:sz="8" w:color="auto"/>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5"/>
                <w:szCs w:val="15"/>
                <w:b w:val="1"/>
                <w:bCs w:val="1"/>
                <w:color w:val="auto"/>
              </w:rPr>
              <w:t>Thirteen weeks ended</w:t>
            </w:r>
          </w:p>
        </w:tc>
        <w:tc>
          <w:tcPr>
            <w:tcW w:w="5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Twenty-six weeks ended</w:t>
            </w:r>
          </w:p>
        </w:tc>
      </w:tr>
      <w:tr>
        <w:trPr>
          <w:trHeight w:val="196"/>
        </w:trPr>
        <w:tc>
          <w:tcPr>
            <w:tcW w:w="9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ind w:right="363"/>
              <w:spacing w:after="0"/>
              <w:rPr>
                <w:sz w:val="20"/>
                <w:szCs w:val="20"/>
                <w:color w:val="auto"/>
              </w:rPr>
            </w:pPr>
            <w:r>
              <w:rPr>
                <w:rFonts w:ascii="Arial" w:cs="Arial" w:eastAsia="Arial" w:hAnsi="Arial"/>
                <w:sz w:val="15"/>
                <w:szCs w:val="15"/>
                <w:b w:val="1"/>
                <w:bCs w:val="1"/>
                <w:color w:val="auto"/>
              </w:rPr>
              <w:t>August 4,</w:t>
            </w:r>
          </w:p>
        </w:tc>
        <w:tc>
          <w:tcPr>
            <w:tcW w:w="940" w:type="dxa"/>
            <w:vAlign w:val="bottom"/>
          </w:tcPr>
          <w:p>
            <w:pPr>
              <w:jc w:val="center"/>
              <w:ind w:left="303"/>
              <w:spacing w:after="0"/>
              <w:rPr>
                <w:sz w:val="20"/>
                <w:szCs w:val="20"/>
                <w:color w:val="auto"/>
              </w:rPr>
            </w:pPr>
            <w:r>
              <w:rPr>
                <w:rFonts w:ascii="Arial" w:cs="Arial" w:eastAsia="Arial" w:hAnsi="Arial"/>
                <w:sz w:val="15"/>
                <w:szCs w:val="15"/>
                <w:b w:val="1"/>
                <w:bCs w:val="1"/>
                <w:color w:val="auto"/>
              </w:rPr>
              <w:t>July 29,</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403"/>
              <w:spacing w:after="0"/>
              <w:rPr>
                <w:sz w:val="20"/>
                <w:szCs w:val="20"/>
                <w:color w:val="auto"/>
              </w:rPr>
            </w:pPr>
            <w:r>
              <w:rPr>
                <w:rFonts w:ascii="Arial" w:cs="Arial" w:eastAsia="Arial" w:hAnsi="Arial"/>
                <w:sz w:val="15"/>
                <w:szCs w:val="15"/>
                <w:b w:val="1"/>
                <w:bCs w:val="1"/>
                <w:color w:val="auto"/>
              </w:rPr>
              <w:t>August 4,</w:t>
            </w:r>
          </w:p>
        </w:tc>
        <w:tc>
          <w:tcPr>
            <w:tcW w:w="220" w:type="dxa"/>
            <w:vAlign w:val="bottom"/>
          </w:tcPr>
          <w:p>
            <w:pPr>
              <w:spacing w:after="0"/>
              <w:rPr>
                <w:sz w:val="17"/>
                <w:szCs w:val="17"/>
                <w:color w:val="auto"/>
              </w:rPr>
            </w:pPr>
          </w:p>
        </w:tc>
        <w:tc>
          <w:tcPr>
            <w:tcW w:w="1160" w:type="dxa"/>
            <w:vAlign w:val="bottom"/>
          </w:tcPr>
          <w:p>
            <w:pPr>
              <w:jc w:val="right"/>
              <w:ind w:right="443"/>
              <w:spacing w:after="0"/>
              <w:rPr>
                <w:sz w:val="20"/>
                <w:szCs w:val="20"/>
                <w:color w:val="auto"/>
              </w:rPr>
            </w:pPr>
            <w:r>
              <w:rPr>
                <w:rFonts w:ascii="Arial" w:cs="Arial" w:eastAsia="Arial" w:hAnsi="Arial"/>
                <w:sz w:val="15"/>
                <w:szCs w:val="15"/>
                <w:b w:val="1"/>
                <w:bCs w:val="1"/>
                <w:color w:val="auto"/>
              </w:rPr>
              <w:t>July 29,</w:t>
            </w:r>
          </w:p>
        </w:tc>
      </w:tr>
      <w:tr>
        <w:trPr>
          <w:trHeight w:val="197"/>
        </w:trPr>
        <w:tc>
          <w:tcPr>
            <w:tcW w:w="9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2018</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2017</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2017</w:t>
            </w:r>
          </w:p>
        </w:tc>
      </w:tr>
      <w:tr>
        <w:trPr>
          <w:trHeight w:val="187"/>
        </w:trPr>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900" w:type="dxa"/>
            <w:vAlign w:val="bottom"/>
            <w:gridSpan w:val="4"/>
          </w:tcPr>
          <w:p>
            <w:pPr>
              <w:jc w:val="right"/>
              <w:ind w:right="1023"/>
              <w:spacing w:after="0"/>
              <w:rPr>
                <w:sz w:val="20"/>
                <w:szCs w:val="20"/>
                <w:color w:val="auto"/>
              </w:rPr>
            </w:pPr>
            <w:r>
              <w:rPr>
                <w:rFonts w:ascii="Arial" w:cs="Arial" w:eastAsia="Arial" w:hAnsi="Arial"/>
                <w:sz w:val="15"/>
                <w:szCs w:val="15"/>
                <w:color w:val="auto"/>
              </w:rPr>
              <w:t>($ in millions)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7"/>
        </w:trPr>
        <w:tc>
          <w:tcPr>
            <w:tcW w:w="2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2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27</w:t>
            </w:r>
          </w:p>
        </w:tc>
        <w:tc>
          <w:tcPr>
            <w:tcW w:w="94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22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91</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111</w:t>
            </w:r>
          </w:p>
        </w:tc>
      </w:tr>
      <w:tr>
        <w:trPr>
          <w:trHeight w:val="207"/>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Effective tax rate</w:t>
            </w:r>
          </w:p>
        </w:tc>
        <w:tc>
          <w:tcPr>
            <w:tcW w:w="9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23.6 %</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30.9 %</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26.4 %</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32.6 %</w:t>
            </w:r>
          </w:p>
        </w:tc>
      </w:tr>
    </w:tbl>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Company’s interim provision for income taxes is measured using an annual effective tax rate, adjusted for discrete items that occur within the periods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08" w:right="1399" w:bottom="1440" w:gutter="0" w:footer="0" w:header="0"/>
        </w:sectPr>
      </w:pPr>
    </w:p>
    <w:bookmarkStart w:id="24" w:name="page25"/>
    <w:bookmarkEnd w:id="24"/>
    <w:p>
      <w:pPr>
        <w:jc w:val="both"/>
        <w:spacing w:after="0"/>
        <w:rPr>
          <w:sz w:val="20"/>
          <w:szCs w:val="20"/>
          <w:color w:val="auto"/>
        </w:rPr>
      </w:pPr>
      <w:r>
        <w:rPr>
          <w:rFonts w:ascii="Arial" w:cs="Arial" w:eastAsia="Arial" w:hAnsi="Arial"/>
          <w:sz w:val="15"/>
          <w:szCs w:val="15"/>
          <w:color w:val="auto"/>
        </w:rPr>
        <w:t>The Company regularly assesses the adequacy of its provisions for income tax contingencies in accordance with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The effective tax rate for the thirteen weeks ended August 4, 2018 included a tax benefit of $3 million from a reserve release due to a settlement of an international tax examination. The changes in the tax reserves were not significant for the prior-year periods.</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During the second quarter of fiscal 2018, the Company reduced its provisional net expense related to the mandatory deemed repatriation of foreign sourced net earnings by $1 million due to a revised estimate of the foreign tax credits the Company expected to utilize. Please see Item 1. “Financial Statements,” Note 9,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for further information.</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Also during the second quarter of 2018, the U.S. Treasury issued a notice that delayed the effective date of Internal Revenue Code Section 987 regulations for determining the tax effects of foreign currency translation gains and losses for our foreign businesses that are operated as branches and are reported in a currency other than the currency of their parent. As a result of the delay in the effective date, the Company updated its calculations of the effect of these regulations, which resulted in an increase to deferred tax assets and a corresponding reduction in our income tax provision in the amount of $1 million.</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During 2017, the Company adopted ASU 2016-09 requiring excess tax benefits or deficiencies from share-based compensation to be recorded as a component of the income tax provision, rather than to equity. No significant excess tax benefits were recorded during the thirteen and twenty-six weeks ended August 4, 2018. Excess tax benefits recorded during the thirteen weeks ended July 29, 2017 were not significant; however we recognized $7 million for the twenty-six weeks ended July 29, 2017.</w:t>
      </w:r>
    </w:p>
    <w:p>
      <w:pPr>
        <w:spacing w:after="0" w:line="180"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Excluding the above-mentioned discrete items, the effective tax rate for the thirteen and twenty-six weeks ended August 4, 2018 decreased as compared with the corresponding prior-year period, primarily due to the enactment of the Tax Act which reduced the statutory U.S. federal corporate income tax rate from 35 percent to 21 percent. This was offset, in part, by foreign taxes assessed at rates in excess of the U.S. federal rate for which no U.S. foreign tax credit is available, as well as valuation allowances for certain foreign operating loss carryforwards that the Company estimates it will not be able to utilize in future periods.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 xml:space="preserve">The Company currently expects its full-year tax rate to approximate 27.5 percent excluding the effect of any nonrecurring items that may occur. The actual tax rate will vary depending on the level and mix of income earned in the various jurisdictions as well as the finalization of our accounting for the Tax Act. Please see Item 1. “Financial Statements,” Note 9,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for further information.</w:t>
      </w: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Net Income</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For the thirteen and twenty-six weeks ended August 4, 2018, net income increased by $37 million, or 72.5 percent and by $22 million, or 9.5 percent, respectively, as compared with the corresponding prior-year periods. Diluted earnings per share increased by 92.3 percent to $0.75 per share, and increased by 23.0 percent to $2.14 per share for the thirteen and twenty-six weeks ended August 4, 2018, respectively. The increase in diluted earnings per share for both the quarter and year-to-date periods reflected an increase in net income coupled with a reduction of in the number of shares outstanding as a result of the Company’s share repurchase program.</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Liquidity</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5"/>
          <w:szCs w:val="15"/>
          <w:color w:val="auto"/>
        </w:rPr>
        <w:t>Our primary source of liquidity has been cash flow from earnings,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We generally finance real estate with operating leases. We believe our cash, cash equivalents, and future cash flow from operations will be adequate to fund these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5" w:name="page26"/>
    <w:bookmarkEnd w:id="25"/>
    <w:p>
      <w:pPr>
        <w:jc w:val="both"/>
        <w:spacing w:after="0" w:line="241" w:lineRule="auto"/>
        <w:rPr>
          <w:sz w:val="20"/>
          <w:szCs w:val="20"/>
          <w:color w:val="auto"/>
        </w:rPr>
      </w:pPr>
      <w:r>
        <w:rPr>
          <w:rFonts w:ascii="Arial" w:cs="Arial" w:eastAsia="Arial" w:hAnsi="Arial"/>
          <w:sz w:val="15"/>
          <w:szCs w:val="15"/>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and other factors. The amounts involved may be material. As of August 4, 2018, approximately $554 million remained available under the Company’s current $1.2 billion share repurchase program.</w:t>
      </w:r>
    </w:p>
    <w:p>
      <w:pPr>
        <w:spacing w:after="0" w:line="264"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 xml:space="preserve">As discussed further in the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note under “Item 1. Financial Statements,” during the thirteen and twenty-six weeks ended August 4, 2018, we recorded a pre-tax charge of $3 million ($2 million after-tax or $0.02 per diluted share) and $15 million ($11 million after-tax or $0.09 per diluted share), respectively, in connection with the pension litigation. During the second quarter of 2018, the Company reformed its U.S. qualified pension plan, which required the remeasurement of the pension liabilities and payment to plaintiffs’ counsel of $97 million representing class counsel fees awarded in the judgment. The Company contributed $30 million to its U.S. qualified pension plan in May 2018 and intends make another contribution in the amount of $98 million in September 2018 to fund a portion of this liability. Future contributions to the pension plan are dependent on several factors, including the performance of the plan’s assets and interest rates.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Any material adverse change in customer demand, fashion trends, competitive market forces, or customer acceptance of our merchandise mix and retail locations, uncertainties related to the effect of competitive products and pricing, our reliance on a few key vendors for a significant portion of our merchandise purchases and risks associated with global product sourcing, economic conditions worldwide, the effects of currency fluctuations, as well as other factors listed under the heading “Disclosure Regarding Forward-Looking Statements,” could affect our ability to continue to fund our needs from business operations.</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Operating Activities</w:t>
      </w:r>
    </w:p>
    <w:p>
      <w:pPr>
        <w:spacing w:after="0" w:line="251"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Twenty-six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14" w:lineRule="exact"/>
        <w:rPr>
          <w:sz w:val="20"/>
          <w:szCs w:val="20"/>
          <w:color w:val="auto"/>
        </w:rPr>
      </w:pPr>
    </w:p>
    <w:p>
      <w:pPr>
        <w:ind w:left="6240"/>
        <w:spacing w:after="0"/>
        <w:tabs>
          <w:tab w:leader="none" w:pos="7920" w:val="left"/>
        </w:tabs>
        <w:rPr>
          <w:sz w:val="20"/>
          <w:szCs w:val="20"/>
          <w:color w:val="auto"/>
        </w:rPr>
      </w:pPr>
      <w:r>
        <w:rPr>
          <w:rFonts w:ascii="Arial" w:cs="Arial" w:eastAsia="Arial" w:hAnsi="Arial"/>
          <w:sz w:val="15"/>
          <w:szCs w:val="15"/>
          <w:b w:val="1"/>
          <w:bCs w:val="1"/>
          <w:color w:val="auto"/>
        </w:rPr>
        <w:t>August 4, 2018</w:t>
      </w:r>
      <w:r>
        <w:rPr>
          <w:sz w:val="20"/>
          <w:szCs w:val="20"/>
          <w:color w:val="auto"/>
        </w:rPr>
        <w:tab/>
      </w:r>
      <w:r>
        <w:rPr>
          <w:rFonts w:ascii="Arial" w:cs="Arial" w:eastAsia="Arial" w:hAnsi="Arial"/>
          <w:sz w:val="15"/>
          <w:szCs w:val="15"/>
          <w:b w:val="1"/>
          <w:bCs w:val="1"/>
          <w:color w:val="auto"/>
        </w:rPr>
        <w:t>July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32" w:lineRule="exact"/>
        <w:rPr>
          <w:sz w:val="20"/>
          <w:szCs w:val="20"/>
          <w:color w:val="auto"/>
        </w:rPr>
      </w:pPr>
    </w:p>
    <w:p>
      <w:pPr>
        <w:ind w:left="7140"/>
        <w:spacing w:after="0"/>
        <w:rPr>
          <w:sz w:val="20"/>
          <w:szCs w:val="20"/>
          <w:color w:val="auto"/>
        </w:rPr>
      </w:pPr>
      <w:r>
        <w:rPr>
          <w:rFonts w:ascii="Arial" w:cs="Arial" w:eastAsia="Arial" w:hAnsi="Arial"/>
          <w:sz w:val="15"/>
          <w:szCs w:val="15"/>
          <w:color w:val="auto"/>
        </w:rPr>
        <w:t>($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2260" w:type="dxa"/>
            <w:vAlign w:val="bottom"/>
            <w:shd w:val="clear" w:color="auto" w:fill="CCEEFF"/>
          </w:tcPr>
          <w:p>
            <w:pPr>
              <w:jc w:val="right"/>
              <w:ind w:right="343"/>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427</w:t>
            </w:r>
          </w:p>
        </w:tc>
        <w:tc>
          <w:tcPr>
            <w:tcW w:w="72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w:t>
            </w:r>
          </w:p>
        </w:tc>
      </w:tr>
      <w:tr>
        <w:trPr>
          <w:trHeight w:val="207"/>
        </w:trPr>
        <w:tc>
          <w:tcPr>
            <w:tcW w:w="45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2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176</w:t>
            </w:r>
          </w:p>
        </w:tc>
        <w:tc>
          <w:tcPr>
            <w:tcW w:w="7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The amount provided by operating activities reflects net income adjusted for non-cash items and working capital changes.</w:t>
      </w:r>
    </w:p>
    <w:p>
      <w:pPr>
        <w:spacing w:after="0"/>
        <w:rPr>
          <w:sz w:val="20"/>
          <w:szCs w:val="20"/>
          <w:color w:val="auto"/>
        </w:rPr>
      </w:pPr>
      <w:r>
        <w:rPr>
          <w:rFonts w:ascii="Arial" w:cs="Arial" w:eastAsia="Arial" w:hAnsi="Arial"/>
          <w:sz w:val="15"/>
          <w:szCs w:val="15"/>
          <w:color w:val="auto"/>
        </w:rPr>
        <w:t>Adjustments to net income for non-cash items include depreciation and amortization, and share-based compensation expense.</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increase from the prior year primarily reflects net income adjusted for working capital changes and a decrease of $26 million in cash paid for income taxes during the twenty-six weeks ended August 4, 2018. This was partially offset by an increase in pension contributions. During the twenty-six weeks ended August 4, 2018, we contributed $30 million to our U.S. qualified pension plan as compared with $25 million in the corresponding prior-year period. In connection with the pension litigation and the associated court order, the Company paid class counsel $97 million during the second quarter of 2018.</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Investing Activities</w:t>
      </w:r>
    </w:p>
    <w:p>
      <w:pPr>
        <w:spacing w:after="0" w:line="251"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Twenty-six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14" w:lineRule="exact"/>
        <w:rPr>
          <w:sz w:val="20"/>
          <w:szCs w:val="20"/>
          <w:color w:val="auto"/>
        </w:rPr>
      </w:pPr>
    </w:p>
    <w:p>
      <w:pPr>
        <w:ind w:left="6240"/>
        <w:spacing w:after="0"/>
        <w:tabs>
          <w:tab w:leader="none" w:pos="7920" w:val="left"/>
        </w:tabs>
        <w:rPr>
          <w:sz w:val="20"/>
          <w:szCs w:val="20"/>
          <w:color w:val="auto"/>
        </w:rPr>
      </w:pPr>
      <w:r>
        <w:rPr>
          <w:rFonts w:ascii="Arial" w:cs="Arial" w:eastAsia="Arial" w:hAnsi="Arial"/>
          <w:sz w:val="15"/>
          <w:szCs w:val="15"/>
          <w:b w:val="1"/>
          <w:bCs w:val="1"/>
          <w:color w:val="auto"/>
        </w:rPr>
        <w:t>August 4, 2018</w:t>
      </w:r>
      <w:r>
        <w:rPr>
          <w:sz w:val="20"/>
          <w:szCs w:val="20"/>
          <w:color w:val="auto"/>
        </w:rPr>
        <w:tab/>
      </w:r>
      <w:r>
        <w:rPr>
          <w:rFonts w:ascii="Arial" w:cs="Arial" w:eastAsia="Arial" w:hAnsi="Arial"/>
          <w:sz w:val="15"/>
          <w:szCs w:val="15"/>
          <w:b w:val="1"/>
          <w:bCs w:val="1"/>
          <w:color w:val="auto"/>
        </w:rPr>
        <w:t>July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32" w:lineRule="exact"/>
        <w:rPr>
          <w:sz w:val="20"/>
          <w:szCs w:val="20"/>
          <w:color w:val="auto"/>
        </w:rPr>
      </w:pPr>
    </w:p>
    <w:p>
      <w:pPr>
        <w:ind w:left="7140"/>
        <w:spacing w:after="0"/>
        <w:rPr>
          <w:sz w:val="20"/>
          <w:szCs w:val="20"/>
          <w:color w:val="auto"/>
        </w:rPr>
      </w:pPr>
      <w:r>
        <w:rPr>
          <w:rFonts w:ascii="Arial" w:cs="Arial" w:eastAsia="Arial" w:hAnsi="Arial"/>
          <w:sz w:val="15"/>
          <w:szCs w:val="15"/>
          <w:color w:val="auto"/>
        </w:rPr>
        <w:t>($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investing activities</w:t>
            </w:r>
          </w:p>
        </w:tc>
        <w:tc>
          <w:tcPr>
            <w:tcW w:w="2420" w:type="dxa"/>
            <w:vAlign w:val="bottom"/>
            <w:shd w:val="clear" w:color="auto" w:fill="CCEEFF"/>
          </w:tcPr>
          <w:p>
            <w:pPr>
              <w:jc w:val="right"/>
              <w:ind w:right="343"/>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113</w:t>
            </w:r>
          </w:p>
        </w:tc>
        <w:tc>
          <w:tcPr>
            <w:tcW w:w="70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r>
      <w:tr>
        <w:trPr>
          <w:trHeight w:val="207"/>
        </w:trPr>
        <w:tc>
          <w:tcPr>
            <w:tcW w:w="4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4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(37)</w:t>
            </w:r>
          </w:p>
        </w:tc>
        <w:tc>
          <w:tcPr>
            <w:tcW w:w="7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bl>
    <w:p>
      <w:pPr>
        <w:spacing w:after="0" w:line="104" w:lineRule="exact"/>
        <w:rPr>
          <w:sz w:val="20"/>
          <w:szCs w:val="20"/>
          <w:color w:val="auto"/>
        </w:rPr>
      </w:pPr>
    </w:p>
    <w:p>
      <w:pPr>
        <w:jc w:val="both"/>
        <w:spacing w:after="0"/>
        <w:rPr>
          <w:sz w:val="20"/>
          <w:szCs w:val="20"/>
          <w:color w:val="auto"/>
        </w:rPr>
      </w:pPr>
      <w:r>
        <w:rPr>
          <w:rFonts w:ascii="Arial" w:cs="Arial" w:eastAsia="Arial" w:hAnsi="Arial"/>
          <w:sz w:val="15"/>
          <w:szCs w:val="15"/>
          <w:color w:val="auto"/>
        </w:rPr>
        <w:t>Capital expenditures declined by $35 million compared with the corresponding prior-year period. This represented a decline in spending on store projects partially offset by an increase related to technology projects. The Company’s full-year capital spending is expected to be approximately $229 million, which includes $130 million related to the remodeling or relocation of approximately 115 existing stores and the opening of approximately 50 new stores, as well as $99 million for the development of information systems, websites, and infrastructure, including supply chain initiatives. Additionally, investing activities for the twenty-six weeks ended August 4, 2018 includes the receipt of insurance proceeds of $2 million for fixed assets from an insurance claim relating to Hurricane Maria.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6" w:name="page27"/>
    <w:bookmarkEnd w:id="26"/>
    <w:p>
      <w:pPr>
        <w:spacing w:after="0"/>
        <w:rPr>
          <w:sz w:val="20"/>
          <w:szCs w:val="20"/>
          <w:color w:val="auto"/>
        </w:rPr>
      </w:pPr>
      <w:r>
        <w:rPr>
          <w:rFonts w:ascii="Arial" w:cs="Arial" w:eastAsia="Arial" w:hAnsi="Arial"/>
          <w:sz w:val="15"/>
          <w:szCs w:val="15"/>
          <w:i w:val="1"/>
          <w:iCs w:val="1"/>
          <w:u w:val="single" w:color="auto"/>
          <w:color w:val="auto"/>
        </w:rPr>
        <w:t>Financing Activities</w:t>
      </w:r>
    </w:p>
    <w:p>
      <w:pPr>
        <w:spacing w:after="0" w:line="251"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Twenty-six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40" w:type="dxa"/>
            <w:vAlign w:val="bottom"/>
            <w:tcBorders>
              <w:top w:val="single" w:sz="8" w:color="auto"/>
              <w:bottom w:val="single" w:sz="8" w:color="auto"/>
            </w:tcBorders>
          </w:tcPr>
          <w:p>
            <w:pPr>
              <w:spacing w:after="0"/>
              <w:rPr>
                <w:sz w:val="16"/>
                <w:szCs w:val="16"/>
                <w:color w:val="auto"/>
              </w:rPr>
            </w:pPr>
          </w:p>
        </w:tc>
        <w:tc>
          <w:tcPr>
            <w:tcW w:w="3260" w:type="dxa"/>
            <w:vAlign w:val="bottom"/>
            <w:tcBorders>
              <w:top w:val="single" w:sz="8" w:color="auto"/>
              <w:bottom w:val="single" w:sz="8" w:color="auto"/>
            </w:tcBorders>
            <w:gridSpan w:val="2"/>
          </w:tcPr>
          <w:p>
            <w:pPr>
              <w:jc w:val="right"/>
              <w:ind w:right="203"/>
              <w:spacing w:after="0"/>
              <w:rPr>
                <w:sz w:val="20"/>
                <w:szCs w:val="20"/>
                <w:color w:val="auto"/>
              </w:rPr>
            </w:pPr>
            <w:r>
              <w:rPr>
                <w:rFonts w:ascii="Arial" w:cs="Arial" w:eastAsia="Arial" w:hAnsi="Arial"/>
                <w:sz w:val="15"/>
                <w:szCs w:val="15"/>
                <w:b w:val="1"/>
                <w:bCs w:val="1"/>
                <w:color w:val="auto"/>
              </w:rPr>
              <w:t>August 4, 2018</w:t>
            </w:r>
          </w:p>
        </w:tc>
        <w:tc>
          <w:tcPr>
            <w:tcW w:w="2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July 29, 2017</w:t>
            </w:r>
          </w:p>
        </w:tc>
      </w:tr>
      <w:tr>
        <w:trPr>
          <w:trHeight w:val="187"/>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360" w:type="dxa"/>
            <w:vAlign w:val="bottom"/>
            <w:gridSpan w:val="3"/>
          </w:tcPr>
          <w:p>
            <w:pPr>
              <w:jc w:val="right"/>
              <w:ind w:right="983"/>
              <w:spacing w:after="0"/>
              <w:rPr>
                <w:sz w:val="20"/>
                <w:szCs w:val="20"/>
                <w:color w:val="auto"/>
              </w:rPr>
            </w:pPr>
            <w:r>
              <w:rPr>
                <w:rFonts w:ascii="Arial" w:cs="Arial" w:eastAsia="Arial" w:hAnsi="Arial"/>
                <w:sz w:val="15"/>
                <w:szCs w:val="15"/>
                <w:color w:val="auto"/>
              </w:rPr>
              <w:t>($ in millions)</w:t>
            </w:r>
          </w:p>
        </w:tc>
      </w:tr>
      <w:tr>
        <w:trPr>
          <w:trHeight w:val="207"/>
        </w:trPr>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financing activities</w:t>
            </w:r>
          </w:p>
        </w:tc>
        <w:tc>
          <w:tcPr>
            <w:tcW w:w="240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281</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w:t>
            </w:r>
          </w:p>
        </w:tc>
      </w:tr>
      <w:tr>
        <w:trPr>
          <w:trHeight w:val="207"/>
        </w:trPr>
        <w:tc>
          <w:tcPr>
            <w:tcW w:w="4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4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146</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bl>
    <w:p>
      <w:pPr>
        <w:spacing w:after="0" w:line="165" w:lineRule="exact"/>
        <w:rPr>
          <w:sz w:val="20"/>
          <w:szCs w:val="20"/>
          <w:color w:val="auto"/>
        </w:rPr>
      </w:pPr>
    </w:p>
    <w:p>
      <w:pPr>
        <w:jc w:val="both"/>
        <w:spacing w:after="0"/>
        <w:rPr>
          <w:sz w:val="20"/>
          <w:szCs w:val="20"/>
          <w:color w:val="auto"/>
        </w:rPr>
      </w:pPr>
      <w:r>
        <w:rPr>
          <w:rFonts w:ascii="Arial" w:cs="Arial" w:eastAsia="Arial" w:hAnsi="Arial"/>
          <w:sz w:val="15"/>
          <w:szCs w:val="15"/>
          <w:color w:val="auto"/>
        </w:rPr>
        <w:t>During the twenty-six weeks ended August 4, 2018, we repurchased 4,452,405 shares of our common stock for $205 million, as compared with 896,100 shares repurchased for $59 million in the corresponding prior-year period. The Company also declared and paid dividends of $81 million and $82 million during the first two quarters of 2018 and 2017, respectively. This represented quarterly rates of $0.345 and $0.31 per share for 2018 and 2017, respectively. Also, during the twenty-six weeks ended August 4, 2018 and July 29, 2017, we paid $1 million and $9 million, respectively, to satisfy tax withholding obligations relating to the vesting of share-based equity awards. Offsetting the amounts above were proceeds received from the issuance of common stock and treasury stock in connection with employee stock programs of $4 million and $10 million for the twenty-six weeks ended August 4, 2018 and July 29, 2017, respectively.</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There have been no significant changes to our critical accounting policies and estimates from the information provided in Item 7, “Management’s Discussion and Analysis of Financial Condition and Results of Operations,” included in the Annual Report on Form 10-K for the fiscal year ended February 3, 2018.</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 xml:space="preserve">Descriptions of the recently issued and adopted accounting principles are included Item 1. “Financial Statements” in Note 1,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to the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Company’s contractual cash obligations and commercial commitments at August 4, 2018 and the effects such obligations and commitments are expected to have on the Company’s liquidity and cash flows in future periods have not changed significantly since February 3, 2018 other than amounts related to tax reform. The Company had previously disclosed its plans to elect to pay the tax related to the mandatory deemed repatriation (“toll charge”) in annual installments over an eight year period. However, during the first quarter of 2018, the IRS issued a Q&amp;A which indicated that a taxpayer may not receive a refund, or credit any portion of properly applied 2017 tax payments, unless the amount of payments exceeds the entire unpaid toll charge. Due to the Company’s prepayments with the IRS, the entire amount of the toll charge has been satisfied. Approximately $10 million related to tax reform remains payable; however, the timing of this payment is not determinable at this time.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4. Controls and Procedures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3" w:right="1399" w:bottom="1440" w:gutter="0" w:footer="0" w:header="0"/>
        </w:sectPr>
      </w:pPr>
    </w:p>
    <w:bookmarkStart w:id="27" w:name="page28"/>
    <w:bookmarkEnd w:id="27"/>
    <w:p>
      <w:pPr>
        <w:jc w:val="both"/>
        <w:spacing w:after="0" w:line="242" w:lineRule="auto"/>
        <w:rPr>
          <w:sz w:val="20"/>
          <w:szCs w:val="20"/>
          <w:color w:val="auto"/>
        </w:rPr>
      </w:pPr>
      <w:r>
        <w:rPr>
          <w:rFonts w:ascii="Arial" w:cs="Arial" w:eastAsia="Arial" w:hAnsi="Arial"/>
          <w:sz w:val="15"/>
          <w:szCs w:val="15"/>
          <w:color w:val="auto"/>
        </w:rPr>
        <w:t>We are currently migrating our point-of-sale software to a new platform. Approximately 1,200 stores have been converted to the new software platform as of August 4, 2018, and we expect to complete the implementation in spring 2019. In connection with this implementation and resulting business process changes, we may make changes to the design and operation to our internal control over financial reporting.</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During the quarter ended August 4, 2018, there were no changes in the Company’s internal control over financial reporting, other than the implementation of new point-of-sale software noted above, (as defined in Rules 13a-15(f) of the Exchange Act) that materially affected or are reasonably likely to affect the Company’s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 -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 Legal Proceedings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 xml:space="preserve">Information regarding the Company’s legal proceedings is contained in the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note under Item 1. “Financial Statements” in Part I.</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1A. Risk Factors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There were no material changes to the risk factors disclosed in the 2017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2. Unregistered Sales of Equity Securities and Use of Proceeds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table provides information with respect to shares of the Company’s common stock that the Company repurchased during the thirteen weeks ended August 4, 2018:</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right="143"/>
              <w:spacing w:after="0"/>
              <w:rPr>
                <w:sz w:val="20"/>
                <w:szCs w:val="20"/>
                <w:color w:val="auto"/>
              </w:rPr>
            </w:pPr>
            <w:r>
              <w:rPr>
                <w:rFonts w:ascii="Arial" w:cs="Arial" w:eastAsia="Arial" w:hAnsi="Arial"/>
                <w:sz w:val="15"/>
                <w:szCs w:val="15"/>
                <w:b w:val="1"/>
                <w:bCs w:val="1"/>
                <w:color w:val="auto"/>
              </w:rPr>
              <w:t>Approximate</w:t>
            </w:r>
          </w:p>
        </w:tc>
      </w:tr>
      <w:tr>
        <w:trPr>
          <w:trHeight w:val="182"/>
        </w:trPr>
        <w:tc>
          <w:tcPr>
            <w:tcW w:w="2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60" w:type="dxa"/>
            <w:vAlign w:val="bottom"/>
          </w:tcPr>
          <w:p>
            <w:pPr>
              <w:jc w:val="center"/>
              <w:ind w:right="3"/>
              <w:spacing w:after="0"/>
              <w:rPr>
                <w:sz w:val="20"/>
                <w:szCs w:val="20"/>
                <w:color w:val="auto"/>
              </w:rPr>
            </w:pPr>
            <w:r>
              <w:rPr>
                <w:rFonts w:ascii="Arial" w:cs="Arial" w:eastAsia="Arial" w:hAnsi="Arial"/>
                <w:sz w:val="15"/>
                <w:szCs w:val="15"/>
                <w:b w:val="1"/>
                <w:bCs w:val="1"/>
                <w:color w:val="auto"/>
              </w:rPr>
              <w:t>Total Number of</w:t>
            </w:r>
          </w:p>
        </w:tc>
        <w:tc>
          <w:tcPr>
            <w:tcW w:w="280" w:type="dxa"/>
            <w:vAlign w:val="bottom"/>
          </w:tcPr>
          <w:p>
            <w:pPr>
              <w:spacing w:after="0"/>
              <w:rPr>
                <w:sz w:val="15"/>
                <w:szCs w:val="15"/>
                <w:color w:val="auto"/>
              </w:rPr>
            </w:pPr>
          </w:p>
        </w:tc>
        <w:tc>
          <w:tcPr>
            <w:tcW w:w="1320" w:type="dxa"/>
            <w:vAlign w:val="bottom"/>
          </w:tcPr>
          <w:p>
            <w:pPr>
              <w:jc w:val="center"/>
              <w:ind w:right="123"/>
              <w:spacing w:after="0"/>
              <w:rPr>
                <w:sz w:val="20"/>
                <w:szCs w:val="20"/>
                <w:color w:val="auto"/>
              </w:rPr>
            </w:pPr>
            <w:r>
              <w:rPr>
                <w:rFonts w:ascii="Arial" w:cs="Arial" w:eastAsia="Arial" w:hAnsi="Arial"/>
                <w:sz w:val="15"/>
                <w:szCs w:val="15"/>
                <w:b w:val="1"/>
                <w:bCs w:val="1"/>
                <w:color w:val="auto"/>
              </w:rPr>
              <w:t>Dollar Value of</w:t>
            </w:r>
          </w:p>
        </w:tc>
      </w:tr>
      <w:tr>
        <w:trPr>
          <w:trHeight w:val="182"/>
        </w:trPr>
        <w:tc>
          <w:tcPr>
            <w:tcW w:w="2180" w:type="dxa"/>
            <w:vAlign w:val="bottom"/>
          </w:tcPr>
          <w:p>
            <w:pPr>
              <w:spacing w:after="0"/>
              <w:rPr>
                <w:sz w:val="15"/>
                <w:szCs w:val="15"/>
                <w:color w:val="auto"/>
              </w:rPr>
            </w:pPr>
          </w:p>
        </w:tc>
        <w:tc>
          <w:tcPr>
            <w:tcW w:w="1780" w:type="dxa"/>
            <w:vAlign w:val="bottom"/>
          </w:tcPr>
          <w:p>
            <w:pPr>
              <w:jc w:val="center"/>
              <w:ind w:left="263"/>
              <w:spacing w:after="0"/>
              <w:rPr>
                <w:sz w:val="20"/>
                <w:szCs w:val="20"/>
                <w:color w:val="auto"/>
              </w:rPr>
            </w:pPr>
            <w:r>
              <w:rPr>
                <w:rFonts w:ascii="Arial" w:cs="Arial" w:eastAsia="Arial" w:hAnsi="Arial"/>
                <w:sz w:val="15"/>
                <w:szCs w:val="15"/>
                <w:b w:val="1"/>
                <w:bCs w:val="1"/>
                <w:color w:val="auto"/>
              </w:rPr>
              <w:t>Total</w:t>
            </w:r>
          </w:p>
        </w:tc>
        <w:tc>
          <w:tcPr>
            <w:tcW w:w="340" w:type="dxa"/>
            <w:vAlign w:val="bottom"/>
          </w:tcPr>
          <w:p>
            <w:pPr>
              <w:spacing w:after="0"/>
              <w:rPr>
                <w:sz w:val="15"/>
                <w:szCs w:val="15"/>
                <w:color w:val="auto"/>
              </w:rPr>
            </w:pPr>
          </w:p>
        </w:tc>
        <w:tc>
          <w:tcPr>
            <w:tcW w:w="1140" w:type="dxa"/>
            <w:vAlign w:val="bottom"/>
          </w:tcPr>
          <w:p>
            <w:pPr>
              <w:jc w:val="center"/>
              <w:ind w:right="343"/>
              <w:spacing w:after="0"/>
              <w:rPr>
                <w:sz w:val="20"/>
                <w:szCs w:val="20"/>
                <w:color w:val="auto"/>
              </w:rPr>
            </w:pPr>
            <w:r>
              <w:rPr>
                <w:rFonts w:ascii="Arial" w:cs="Arial" w:eastAsia="Arial" w:hAnsi="Arial"/>
                <w:sz w:val="15"/>
                <w:szCs w:val="15"/>
                <w:b w:val="1"/>
                <w:bCs w:val="1"/>
                <w:color w:val="auto"/>
              </w:rPr>
              <w:t>Average</w:t>
            </w:r>
          </w:p>
        </w:tc>
        <w:tc>
          <w:tcPr>
            <w:tcW w:w="2060" w:type="dxa"/>
            <w:vAlign w:val="bottom"/>
          </w:tcPr>
          <w:p>
            <w:pPr>
              <w:jc w:val="center"/>
              <w:ind w:right="23"/>
              <w:spacing w:after="0"/>
              <w:rPr>
                <w:sz w:val="20"/>
                <w:szCs w:val="20"/>
                <w:color w:val="auto"/>
              </w:rPr>
            </w:pPr>
            <w:r>
              <w:rPr>
                <w:rFonts w:ascii="Arial" w:cs="Arial" w:eastAsia="Arial" w:hAnsi="Arial"/>
                <w:sz w:val="15"/>
                <w:szCs w:val="15"/>
                <w:b w:val="1"/>
                <w:bCs w:val="1"/>
                <w:color w:val="auto"/>
              </w:rPr>
              <w:t>Shares Purchased as</w:t>
            </w:r>
          </w:p>
        </w:tc>
        <w:tc>
          <w:tcPr>
            <w:tcW w:w="1600" w:type="dxa"/>
            <w:vAlign w:val="bottom"/>
            <w:gridSpan w:val="2"/>
          </w:tcPr>
          <w:p>
            <w:pPr>
              <w:jc w:val="center"/>
              <w:ind w:left="3"/>
              <w:spacing w:after="0"/>
              <w:rPr>
                <w:sz w:val="20"/>
                <w:szCs w:val="20"/>
                <w:color w:val="auto"/>
              </w:rPr>
            </w:pPr>
            <w:r>
              <w:rPr>
                <w:rFonts w:ascii="Arial" w:cs="Arial" w:eastAsia="Arial" w:hAnsi="Arial"/>
                <w:sz w:val="15"/>
                <w:szCs w:val="15"/>
                <w:b w:val="1"/>
                <w:bCs w:val="1"/>
                <w:color w:val="auto"/>
              </w:rPr>
              <w:t>Shares that may</w:t>
            </w:r>
          </w:p>
        </w:tc>
      </w:tr>
      <w:tr>
        <w:trPr>
          <w:trHeight w:val="182"/>
        </w:trPr>
        <w:tc>
          <w:tcPr>
            <w:tcW w:w="2180" w:type="dxa"/>
            <w:vAlign w:val="bottom"/>
          </w:tcPr>
          <w:p>
            <w:pPr>
              <w:spacing w:after="0"/>
              <w:rPr>
                <w:sz w:val="15"/>
                <w:szCs w:val="15"/>
                <w:color w:val="auto"/>
              </w:rPr>
            </w:pPr>
          </w:p>
        </w:tc>
        <w:tc>
          <w:tcPr>
            <w:tcW w:w="1780" w:type="dxa"/>
            <w:vAlign w:val="bottom"/>
          </w:tcPr>
          <w:p>
            <w:pPr>
              <w:jc w:val="center"/>
              <w:ind w:left="243"/>
              <w:spacing w:after="0"/>
              <w:rPr>
                <w:sz w:val="20"/>
                <w:szCs w:val="20"/>
                <w:color w:val="auto"/>
              </w:rPr>
            </w:pPr>
            <w:r>
              <w:rPr>
                <w:rFonts w:ascii="Arial" w:cs="Arial" w:eastAsia="Arial" w:hAnsi="Arial"/>
                <w:sz w:val="15"/>
                <w:szCs w:val="15"/>
                <w:b w:val="1"/>
                <w:bCs w:val="1"/>
                <w:color w:val="auto"/>
              </w:rPr>
              <w:t>Number</w:t>
            </w:r>
          </w:p>
        </w:tc>
        <w:tc>
          <w:tcPr>
            <w:tcW w:w="340" w:type="dxa"/>
            <w:vAlign w:val="bottom"/>
          </w:tcPr>
          <w:p>
            <w:pPr>
              <w:spacing w:after="0"/>
              <w:rPr>
                <w:sz w:val="15"/>
                <w:szCs w:val="15"/>
                <w:color w:val="auto"/>
              </w:rPr>
            </w:pPr>
          </w:p>
        </w:tc>
        <w:tc>
          <w:tcPr>
            <w:tcW w:w="1140" w:type="dxa"/>
            <w:vAlign w:val="bottom"/>
          </w:tcPr>
          <w:p>
            <w:pPr>
              <w:jc w:val="center"/>
              <w:ind w:right="363"/>
              <w:spacing w:after="0"/>
              <w:rPr>
                <w:sz w:val="20"/>
                <w:szCs w:val="20"/>
                <w:color w:val="auto"/>
              </w:rPr>
            </w:pPr>
            <w:r>
              <w:rPr>
                <w:rFonts w:ascii="Arial" w:cs="Arial" w:eastAsia="Arial" w:hAnsi="Arial"/>
                <w:sz w:val="15"/>
                <w:szCs w:val="15"/>
                <w:b w:val="1"/>
                <w:bCs w:val="1"/>
                <w:color w:val="auto"/>
              </w:rPr>
              <w:t>Price</w:t>
            </w:r>
          </w:p>
        </w:tc>
        <w:tc>
          <w:tcPr>
            <w:tcW w:w="2060" w:type="dxa"/>
            <w:vAlign w:val="bottom"/>
          </w:tcPr>
          <w:p>
            <w:pPr>
              <w:jc w:val="center"/>
              <w:ind w:right="23"/>
              <w:spacing w:after="0"/>
              <w:rPr>
                <w:sz w:val="20"/>
                <w:szCs w:val="20"/>
                <w:color w:val="auto"/>
              </w:rPr>
            </w:pPr>
            <w:r>
              <w:rPr>
                <w:rFonts w:ascii="Arial" w:cs="Arial" w:eastAsia="Arial" w:hAnsi="Arial"/>
                <w:sz w:val="15"/>
                <w:szCs w:val="15"/>
                <w:b w:val="1"/>
                <w:bCs w:val="1"/>
                <w:color w:val="auto"/>
              </w:rPr>
              <w:t>Part of Publicly</w:t>
            </w:r>
          </w:p>
        </w:tc>
        <w:tc>
          <w:tcPr>
            <w:tcW w:w="1600" w:type="dxa"/>
            <w:vAlign w:val="bottom"/>
            <w:gridSpan w:val="2"/>
          </w:tcPr>
          <w:p>
            <w:pPr>
              <w:jc w:val="center"/>
              <w:ind w:left="3"/>
              <w:spacing w:after="0"/>
              <w:rPr>
                <w:sz w:val="20"/>
                <w:szCs w:val="20"/>
                <w:color w:val="auto"/>
              </w:rPr>
            </w:pPr>
            <w:r>
              <w:rPr>
                <w:rFonts w:ascii="Arial" w:cs="Arial" w:eastAsia="Arial" w:hAnsi="Arial"/>
                <w:sz w:val="15"/>
                <w:szCs w:val="15"/>
                <w:b w:val="1"/>
                <w:bCs w:val="1"/>
                <w:color w:val="auto"/>
              </w:rPr>
              <w:t>yet be Purchased</w:t>
            </w:r>
          </w:p>
        </w:tc>
      </w:tr>
      <w:tr>
        <w:trPr>
          <w:trHeight w:val="195"/>
        </w:trPr>
        <w:tc>
          <w:tcPr>
            <w:tcW w:w="2180" w:type="dxa"/>
            <w:vAlign w:val="bottom"/>
          </w:tcPr>
          <w:p>
            <w:pPr>
              <w:spacing w:after="0"/>
              <w:rPr>
                <w:sz w:val="16"/>
                <w:szCs w:val="16"/>
                <w:color w:val="auto"/>
              </w:rPr>
            </w:pPr>
          </w:p>
        </w:tc>
        <w:tc>
          <w:tcPr>
            <w:tcW w:w="1780" w:type="dxa"/>
            <w:vAlign w:val="bottom"/>
          </w:tcPr>
          <w:p>
            <w:pPr>
              <w:jc w:val="center"/>
              <w:ind w:left="243"/>
              <w:spacing w:after="0"/>
              <w:rPr>
                <w:sz w:val="20"/>
                <w:szCs w:val="20"/>
                <w:color w:val="auto"/>
              </w:rPr>
            </w:pPr>
            <w:r>
              <w:rPr>
                <w:rFonts w:ascii="Arial" w:cs="Arial" w:eastAsia="Arial" w:hAnsi="Arial"/>
                <w:sz w:val="15"/>
                <w:szCs w:val="15"/>
                <w:b w:val="1"/>
                <w:bCs w:val="1"/>
                <w:color w:val="auto"/>
              </w:rPr>
              <w:t>of Shares</w:t>
            </w:r>
          </w:p>
        </w:tc>
        <w:tc>
          <w:tcPr>
            <w:tcW w:w="340" w:type="dxa"/>
            <w:vAlign w:val="bottom"/>
          </w:tcPr>
          <w:p>
            <w:pPr>
              <w:spacing w:after="0"/>
              <w:rPr>
                <w:sz w:val="16"/>
                <w:szCs w:val="16"/>
                <w:color w:val="auto"/>
              </w:rPr>
            </w:pPr>
          </w:p>
        </w:tc>
        <w:tc>
          <w:tcPr>
            <w:tcW w:w="1140" w:type="dxa"/>
            <w:vAlign w:val="bottom"/>
          </w:tcPr>
          <w:p>
            <w:pPr>
              <w:jc w:val="center"/>
              <w:ind w:right="363"/>
              <w:spacing w:after="0"/>
              <w:rPr>
                <w:sz w:val="20"/>
                <w:szCs w:val="20"/>
                <w:color w:val="auto"/>
              </w:rPr>
            </w:pPr>
            <w:r>
              <w:rPr>
                <w:rFonts w:ascii="Arial" w:cs="Arial" w:eastAsia="Arial" w:hAnsi="Arial"/>
                <w:sz w:val="15"/>
                <w:szCs w:val="15"/>
                <w:b w:val="1"/>
                <w:bCs w:val="1"/>
                <w:color w:val="auto"/>
              </w:rPr>
              <w:t>Paid Per</w:t>
            </w:r>
          </w:p>
        </w:tc>
        <w:tc>
          <w:tcPr>
            <w:tcW w:w="2060" w:type="dxa"/>
            <w:vAlign w:val="bottom"/>
          </w:tcPr>
          <w:p>
            <w:pPr>
              <w:jc w:val="center"/>
              <w:ind w:right="3"/>
              <w:spacing w:after="0"/>
              <w:rPr>
                <w:sz w:val="20"/>
                <w:szCs w:val="20"/>
                <w:color w:val="auto"/>
              </w:rPr>
            </w:pPr>
            <w:r>
              <w:rPr>
                <w:rFonts w:ascii="Arial" w:cs="Arial" w:eastAsia="Arial" w:hAnsi="Arial"/>
                <w:sz w:val="15"/>
                <w:szCs w:val="15"/>
                <w:b w:val="1"/>
                <w:bCs w:val="1"/>
                <w:color w:val="auto"/>
              </w:rPr>
              <w:t>Announced</w:t>
            </w:r>
          </w:p>
        </w:tc>
        <w:tc>
          <w:tcPr>
            <w:tcW w:w="280" w:type="dxa"/>
            <w:vAlign w:val="bottom"/>
          </w:tcPr>
          <w:p>
            <w:pPr>
              <w:spacing w:after="0"/>
              <w:rPr>
                <w:sz w:val="16"/>
                <w:szCs w:val="16"/>
                <w:color w:val="auto"/>
              </w:rPr>
            </w:pPr>
          </w:p>
        </w:tc>
        <w:tc>
          <w:tcPr>
            <w:tcW w:w="1320" w:type="dxa"/>
            <w:vAlign w:val="bottom"/>
          </w:tcPr>
          <w:p>
            <w:pPr>
              <w:jc w:val="center"/>
              <w:ind w:right="123"/>
              <w:spacing w:after="0"/>
              <w:rPr>
                <w:sz w:val="20"/>
                <w:szCs w:val="20"/>
                <w:color w:val="auto"/>
              </w:rPr>
            </w:pPr>
            <w:r>
              <w:rPr>
                <w:rFonts w:ascii="Arial" w:cs="Arial" w:eastAsia="Arial" w:hAnsi="Arial"/>
                <w:sz w:val="15"/>
                <w:szCs w:val="15"/>
                <w:b w:val="1"/>
                <w:bCs w:val="1"/>
                <w:color w:val="auto"/>
              </w:rPr>
              <w:t>Under the</w:t>
            </w:r>
          </w:p>
        </w:tc>
      </w:tr>
      <w:tr>
        <w:trPr>
          <w:trHeight w:val="194"/>
        </w:trPr>
        <w:tc>
          <w:tcPr>
            <w:tcW w:w="21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Date Purchased</w:t>
            </w:r>
          </w:p>
        </w:tc>
        <w:tc>
          <w:tcPr>
            <w:tcW w:w="1780" w:type="dxa"/>
            <w:vAlign w:val="bottom"/>
            <w:tcBorders>
              <w:bottom w:val="single" w:sz="8" w:color="auto"/>
            </w:tcBorders>
          </w:tcPr>
          <w:p>
            <w:pPr>
              <w:jc w:val="center"/>
              <w:ind w:left="263"/>
              <w:spacing w:after="0"/>
              <w:rPr>
                <w:sz w:val="20"/>
                <w:szCs w:val="20"/>
                <w:color w:val="auto"/>
              </w:rPr>
            </w:pPr>
            <w:r>
              <w:rPr>
                <w:rFonts w:ascii="Arial" w:cs="Arial" w:eastAsia="Arial" w:hAnsi="Arial"/>
                <w:sz w:val="15"/>
                <w:szCs w:val="15"/>
                <w:b w:val="1"/>
                <w:bCs w:val="1"/>
                <w:color w:val="auto"/>
              </w:rPr>
              <w:t xml:space="preserve">Purchased </w:t>
            </w:r>
            <w:r>
              <w:rPr>
                <w:rFonts w:ascii="Arial" w:cs="Arial" w:eastAsia="Arial" w:hAnsi="Arial"/>
                <w:sz w:val="8"/>
                <w:szCs w:val="8"/>
                <w:color w:val="auto"/>
              </w:rPr>
              <w:t>(1)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83"/>
              <w:spacing w:after="0"/>
              <w:rPr>
                <w:sz w:val="20"/>
                <w:szCs w:val="20"/>
                <w:color w:val="auto"/>
              </w:rPr>
            </w:pPr>
            <w:r>
              <w:rPr>
                <w:rFonts w:ascii="Arial" w:cs="Arial" w:eastAsia="Arial" w:hAnsi="Arial"/>
                <w:sz w:val="15"/>
                <w:szCs w:val="15"/>
                <w:b w:val="1"/>
                <w:bCs w:val="1"/>
                <w:color w:val="auto"/>
              </w:rPr>
              <w:t xml:space="preserve">Share </w:t>
            </w:r>
            <w:r>
              <w:rPr>
                <w:rFonts w:ascii="Arial" w:cs="Arial" w:eastAsia="Arial" w:hAnsi="Arial"/>
                <w:sz w:val="8"/>
                <w:szCs w:val="8"/>
                <w:color w:val="auto"/>
              </w:rPr>
              <w:t>(1)</w:t>
            </w:r>
          </w:p>
        </w:tc>
        <w:tc>
          <w:tcPr>
            <w:tcW w:w="206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rPr>
              <w:t xml:space="preserve">Program </w:t>
            </w:r>
            <w:r>
              <w:rPr>
                <w:rFonts w:ascii="Arial" w:cs="Arial" w:eastAsia="Arial" w:hAnsi="Arial"/>
                <w:sz w:val="8"/>
                <w:szCs w:val="8"/>
                <w:color w:val="auto"/>
              </w:rPr>
              <w:t>(2)</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rPr>
              <w:t xml:space="preserve">Program </w:t>
            </w:r>
            <w:r>
              <w:rPr>
                <w:rFonts w:ascii="Arial" w:cs="Arial" w:eastAsia="Arial" w:hAnsi="Arial"/>
                <w:sz w:val="8"/>
                <w:szCs w:val="8"/>
                <w:color w:val="auto"/>
              </w:rPr>
              <w:t>(2)</w:t>
            </w:r>
          </w:p>
        </w:tc>
      </w:tr>
      <w:tr>
        <w:trPr>
          <w:trHeight w:val="187"/>
        </w:trPr>
        <w:tc>
          <w:tcPr>
            <w:tcW w:w="2180" w:type="dxa"/>
            <w:vAlign w:val="bottom"/>
            <w:shd w:val="clear" w:color="auto" w:fill="CCEEFF"/>
          </w:tcPr>
          <w:p>
            <w:pPr>
              <w:spacing w:after="0"/>
              <w:rPr>
                <w:sz w:val="20"/>
                <w:szCs w:val="20"/>
                <w:color w:val="auto"/>
              </w:rPr>
            </w:pPr>
            <w:r>
              <w:rPr>
                <w:rFonts w:ascii="Arial" w:cs="Arial" w:eastAsia="Arial" w:hAnsi="Arial"/>
                <w:sz w:val="15"/>
                <w:szCs w:val="15"/>
                <w:color w:val="auto"/>
              </w:rPr>
              <w:t>May 6 - June 2, 2018</w:t>
            </w:r>
          </w:p>
        </w:tc>
        <w:tc>
          <w:tcPr>
            <w:tcW w:w="17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472,450</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43.17</w:t>
            </w:r>
          </w:p>
        </w:tc>
        <w:tc>
          <w:tcPr>
            <w:tcW w:w="2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472,450</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625,637,605</w:t>
            </w:r>
          </w:p>
        </w:tc>
      </w:tr>
      <w:tr>
        <w:trPr>
          <w:trHeight w:val="207"/>
        </w:trPr>
        <w:tc>
          <w:tcPr>
            <w:tcW w:w="2180" w:type="dxa"/>
            <w:vAlign w:val="bottom"/>
          </w:tcPr>
          <w:p>
            <w:pPr>
              <w:spacing w:after="0"/>
              <w:rPr>
                <w:sz w:val="20"/>
                <w:szCs w:val="20"/>
                <w:color w:val="auto"/>
              </w:rPr>
            </w:pPr>
            <w:r>
              <w:rPr>
                <w:rFonts w:ascii="Arial" w:cs="Arial" w:eastAsia="Arial" w:hAnsi="Arial"/>
                <w:sz w:val="15"/>
                <w:szCs w:val="15"/>
                <w:color w:val="auto"/>
              </w:rPr>
              <w:t>June 3 - July 7, 2018</w:t>
            </w:r>
          </w:p>
        </w:tc>
        <w:tc>
          <w:tcPr>
            <w:tcW w:w="1780" w:type="dxa"/>
            <w:vAlign w:val="bottom"/>
          </w:tcPr>
          <w:p>
            <w:pPr>
              <w:jc w:val="right"/>
              <w:ind w:right="123"/>
              <w:spacing w:after="0"/>
              <w:rPr>
                <w:sz w:val="20"/>
                <w:szCs w:val="20"/>
                <w:color w:val="auto"/>
              </w:rPr>
            </w:pPr>
            <w:r>
              <w:rPr>
                <w:rFonts w:ascii="Arial" w:cs="Arial" w:eastAsia="Arial" w:hAnsi="Arial"/>
                <w:sz w:val="15"/>
                <w:szCs w:val="15"/>
                <w:color w:val="auto"/>
              </w:rPr>
              <w:t>821,604</w:t>
            </w:r>
          </w:p>
        </w:tc>
        <w:tc>
          <w:tcPr>
            <w:tcW w:w="340" w:type="dxa"/>
            <w:vAlign w:val="bottom"/>
          </w:tcPr>
          <w:p>
            <w:pPr>
              <w:spacing w:after="0"/>
              <w:rPr>
                <w:sz w:val="17"/>
                <w:szCs w:val="17"/>
                <w:color w:val="auto"/>
              </w:rPr>
            </w:pPr>
          </w:p>
        </w:tc>
        <w:tc>
          <w:tcPr>
            <w:tcW w:w="1140" w:type="dxa"/>
            <w:vAlign w:val="bottom"/>
          </w:tcPr>
          <w:p>
            <w:pPr>
              <w:jc w:val="right"/>
              <w:ind w:right="123"/>
              <w:spacing w:after="0"/>
              <w:rPr>
                <w:sz w:val="20"/>
                <w:szCs w:val="20"/>
                <w:color w:val="auto"/>
              </w:rPr>
            </w:pPr>
            <w:r>
              <w:rPr>
                <w:rFonts w:ascii="Arial" w:cs="Arial" w:eastAsia="Arial" w:hAnsi="Arial"/>
                <w:sz w:val="15"/>
                <w:szCs w:val="15"/>
                <w:color w:val="auto"/>
              </w:rPr>
              <w:t>54.69</w:t>
            </w:r>
          </w:p>
        </w:tc>
        <w:tc>
          <w:tcPr>
            <w:tcW w:w="2060" w:type="dxa"/>
            <w:vAlign w:val="bottom"/>
          </w:tcPr>
          <w:p>
            <w:pPr>
              <w:jc w:val="right"/>
              <w:ind w:right="103"/>
              <w:spacing w:after="0"/>
              <w:rPr>
                <w:sz w:val="20"/>
                <w:szCs w:val="20"/>
                <w:color w:val="auto"/>
              </w:rPr>
            </w:pPr>
            <w:r>
              <w:rPr>
                <w:rFonts w:ascii="Arial" w:cs="Arial" w:eastAsia="Arial" w:hAnsi="Arial"/>
                <w:sz w:val="15"/>
                <w:szCs w:val="15"/>
                <w:color w:val="auto"/>
              </w:rPr>
              <w:t>821,100</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580,732,048</w:t>
            </w:r>
          </w:p>
        </w:tc>
      </w:tr>
      <w:tr>
        <w:trPr>
          <w:trHeight w:val="207"/>
        </w:trPr>
        <w:tc>
          <w:tcPr>
            <w:tcW w:w="2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July 8 - August 4, 2018</w:t>
            </w:r>
          </w:p>
        </w:tc>
        <w:tc>
          <w:tcPr>
            <w:tcW w:w="17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542,614</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50.23</w:t>
            </w:r>
          </w:p>
        </w:tc>
        <w:tc>
          <w:tcPr>
            <w:tcW w:w="20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542,050</w:t>
            </w:r>
          </w:p>
        </w:tc>
        <w:tc>
          <w:tcPr>
            <w:tcW w:w="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553,505,599</w:t>
            </w:r>
          </w:p>
        </w:tc>
      </w:tr>
      <w:tr>
        <w:trPr>
          <w:trHeight w:val="187"/>
        </w:trPr>
        <w:tc>
          <w:tcPr>
            <w:tcW w:w="2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1,836,668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50.41</w:t>
            </w:r>
          </w:p>
        </w:tc>
        <w:tc>
          <w:tcPr>
            <w:tcW w:w="20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1,835,600</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bl>
    <w:p>
      <w:pPr>
        <w:spacing w:after="0" w:line="85" w:lineRule="exact"/>
        <w:rPr>
          <w:sz w:val="20"/>
          <w:szCs w:val="20"/>
          <w:color w:val="auto"/>
        </w:rPr>
      </w:pPr>
    </w:p>
    <w:p>
      <w:pPr>
        <w:jc w:val="both"/>
        <w:ind w:left="760" w:right="20" w:hanging="562"/>
        <w:spacing w:after="0" w:line="239" w:lineRule="auto"/>
        <w:tabs>
          <w:tab w:leader="none" w:pos="760" w:val="left"/>
        </w:tabs>
        <w:numPr>
          <w:ilvl w:val="0"/>
          <w:numId w:val="9"/>
        </w:numPr>
        <w:rPr>
          <w:rFonts w:ascii="Arial" w:cs="Arial" w:eastAsia="Arial" w:hAnsi="Arial"/>
          <w:sz w:val="11"/>
          <w:szCs w:val="11"/>
          <w:color w:val="auto"/>
        </w:rPr>
      </w:pPr>
      <w:r>
        <w:rPr>
          <w:rFonts w:ascii="Arial" w:cs="Arial" w:eastAsia="Arial" w:hAnsi="Arial"/>
          <w:sz w:val="12"/>
          <w:szCs w:val="12"/>
          <w:color w:val="auto"/>
        </w:rPr>
        <w:t>These columns also reflect shares acquired in satisfaction of the tax withholding obligations of holders of restricted stock units which vested during the quarter, and shares repurchased pursuant to Rule 10b5-1 under the Securities Exchange Act of 1934. The calculation of the average price paid per share includes all fees, commissions, and other costs associated with the repurchase of such shares.</w:t>
      </w:r>
    </w:p>
    <w:p>
      <w:pPr>
        <w:spacing w:after="0" w:line="232" w:lineRule="exact"/>
        <w:rPr>
          <w:rFonts w:ascii="Arial" w:cs="Arial" w:eastAsia="Arial" w:hAnsi="Arial"/>
          <w:sz w:val="11"/>
          <w:szCs w:val="11"/>
          <w:color w:val="auto"/>
        </w:rPr>
      </w:pPr>
    </w:p>
    <w:p>
      <w:pPr>
        <w:ind w:left="760" w:hanging="562"/>
        <w:spacing w:after="0"/>
        <w:tabs>
          <w:tab w:leader="none" w:pos="760" w:val="left"/>
        </w:tabs>
        <w:numPr>
          <w:ilvl w:val="0"/>
          <w:numId w:val="9"/>
        </w:numPr>
        <w:rPr>
          <w:rFonts w:ascii="Arial" w:cs="Arial" w:eastAsia="Arial" w:hAnsi="Arial"/>
          <w:sz w:val="11"/>
          <w:szCs w:val="11"/>
          <w:color w:val="auto"/>
        </w:rPr>
      </w:pPr>
      <w:r>
        <w:rPr>
          <w:rFonts w:ascii="Arial" w:cs="Arial" w:eastAsia="Arial" w:hAnsi="Arial"/>
          <w:sz w:val="12"/>
          <w:szCs w:val="12"/>
          <w:color w:val="auto"/>
        </w:rPr>
        <w:t>On February 14, 2017, the Board of Directors approved a 3-year, $1.2 billion share repurchase program extending through January 2020.</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6. Exhibits</w:t>
      </w:r>
    </w:p>
    <w:p>
      <w:pPr>
        <w:spacing w:after="0" w:line="208" w:lineRule="exact"/>
        <w:rPr>
          <w:sz w:val="20"/>
          <w:szCs w:val="20"/>
          <w:color w:val="auto"/>
        </w:rPr>
      </w:pPr>
    </w:p>
    <w:p>
      <w:pPr>
        <w:ind w:left="540" w:hanging="430"/>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Exhibits</w:t>
      </w:r>
    </w:p>
    <w:p>
      <w:pPr>
        <w:ind w:left="540"/>
        <w:spacing w:after="0"/>
        <w:rPr>
          <w:rFonts w:ascii="Arial" w:cs="Arial" w:eastAsia="Arial" w:hAnsi="Arial"/>
          <w:sz w:val="15"/>
          <w:szCs w:val="15"/>
          <w:color w:val="auto"/>
        </w:rPr>
      </w:pPr>
      <w:r>
        <w:rPr>
          <w:rFonts w:ascii="Arial" w:cs="Arial" w:eastAsia="Arial" w:hAnsi="Arial"/>
          <w:sz w:val="15"/>
          <w:szCs w:val="15"/>
          <w:color w:val="auto"/>
        </w:rPr>
        <w:t>The exhibits that are in this report immediately follow the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5"/>
          <w:szCs w:val="15"/>
          <w:b w:val="1"/>
          <w:bCs w:val="1"/>
          <w:color w:val="auto"/>
        </w:rPr>
        <w:t>SIGNATURE</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Pursuant to the requirements of the Securities Exchange Act of 1934, the Company has duly caused this report to be signed on its behalf by the undersigned thereunto duly authorized.</w:t>
      </w:r>
    </w:p>
    <w:p>
      <w:pPr>
        <w:spacing w:after="0" w:line="389" w:lineRule="exact"/>
        <w:rPr>
          <w:sz w:val="20"/>
          <w:szCs w:val="20"/>
          <w:color w:val="auto"/>
        </w:rPr>
      </w:pPr>
    </w:p>
    <w:p>
      <w:pPr>
        <w:spacing w:after="0"/>
        <w:tabs>
          <w:tab w:leader="none" w:pos="4540" w:val="left"/>
        </w:tabs>
        <w:rPr>
          <w:sz w:val="20"/>
          <w:szCs w:val="20"/>
          <w:color w:val="auto"/>
        </w:rPr>
      </w:pPr>
      <w:r>
        <w:rPr>
          <w:rFonts w:ascii="Arial" w:cs="Arial" w:eastAsia="Arial" w:hAnsi="Arial"/>
          <w:sz w:val="15"/>
          <w:szCs w:val="15"/>
          <w:color w:val="auto"/>
        </w:rPr>
        <w:t>Date: September 12, 2018</w:t>
      </w:r>
      <w:r>
        <w:rPr>
          <w:sz w:val="20"/>
          <w:szCs w:val="20"/>
          <w:color w:val="auto"/>
        </w:rPr>
        <w:tab/>
      </w:r>
      <w:r>
        <w:rPr>
          <w:rFonts w:ascii="Arial" w:cs="Arial" w:eastAsia="Arial" w:hAnsi="Arial"/>
          <w:sz w:val="15"/>
          <w:szCs w:val="15"/>
          <w:color w:val="auto"/>
        </w:rPr>
        <w:t>FOOT LOCKER, INC.</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1905</wp:posOffset>
            </wp:positionV>
            <wp:extent cx="288861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88615" cy="7620"/>
                    </a:xfrm>
                    <a:prstGeom prst="rect">
                      <a:avLst/>
                    </a:prstGeom>
                    <a:noFill/>
                  </pic:spPr>
                </pic:pic>
              </a:graphicData>
            </a:graphic>
          </wp:anchor>
        </w:drawing>
      </w:r>
    </w:p>
    <w:p>
      <w:pPr>
        <w:spacing w:after="0" w:line="39"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LAUREN B. PETERS</w:t>
      </w:r>
    </w:p>
    <w:p>
      <w:pPr>
        <w:spacing w:after="0" w:line="22"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505" w:right="139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40"/>
        <w:spacing w:after="0"/>
        <w:rPr>
          <w:sz w:val="20"/>
          <w:szCs w:val="20"/>
          <w:color w:val="auto"/>
        </w:rPr>
      </w:pPr>
      <w:r>
        <w:rPr>
          <w:rFonts w:ascii="Arial" w:cs="Arial" w:eastAsia="Arial" w:hAnsi="Arial"/>
          <w:sz w:val="15"/>
          <w:szCs w:val="15"/>
          <w:b w:val="1"/>
          <w:bCs w:val="1"/>
          <w:u w:val="single" w:color="auto"/>
          <w:color w:val="auto"/>
        </w:rPr>
        <w:t>Exhibit No.</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12*</w:t>
      </w:r>
    </w:p>
    <w:p>
      <w:pPr>
        <w:spacing w:after="0" w:line="10" w:lineRule="exact"/>
        <w:rPr>
          <w:sz w:val="20"/>
          <w:szCs w:val="20"/>
          <w:color w:val="auto"/>
        </w:rPr>
      </w:pPr>
    </w:p>
    <w:p>
      <w:pPr>
        <w:jc w:val="center"/>
        <w:ind w:left="140"/>
        <w:spacing w:after="0"/>
        <w:rPr>
          <w:sz w:val="20"/>
          <w:szCs w:val="20"/>
          <w:color w:val="auto"/>
        </w:rPr>
      </w:pPr>
      <w:r>
        <w:rPr>
          <w:rFonts w:ascii="Arial" w:cs="Arial" w:eastAsia="Arial" w:hAnsi="Arial"/>
          <w:sz w:val="15"/>
          <w:szCs w:val="15"/>
          <w:color w:val="auto"/>
        </w:rPr>
        <w:t>15*</w:t>
      </w:r>
    </w:p>
    <w:p>
      <w:pPr>
        <w:spacing w:after="0" w:line="95" w:lineRule="exact"/>
        <w:rPr>
          <w:sz w:val="20"/>
          <w:szCs w:val="20"/>
          <w:color w:val="auto"/>
        </w:rPr>
      </w:pPr>
    </w:p>
    <w:p>
      <w:pPr>
        <w:jc w:val="center"/>
        <w:ind w:left="140"/>
        <w:spacing w:after="0"/>
        <w:rPr>
          <w:sz w:val="20"/>
          <w:szCs w:val="20"/>
          <w:color w:val="auto"/>
        </w:rPr>
      </w:pPr>
      <w:r>
        <w:rPr>
          <w:rFonts w:ascii="Arial" w:cs="Arial" w:eastAsia="Arial" w:hAnsi="Arial"/>
          <w:sz w:val="15"/>
          <w:szCs w:val="15"/>
          <w:color w:val="auto"/>
        </w:rPr>
        <w:t>31.1*</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31.2*</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br w:type="column"/>
      </w:r>
    </w:p>
    <w:p>
      <w:pPr>
        <w:ind w:left="266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ind w:left="2660"/>
        <w:spacing w:after="0"/>
        <w:rPr>
          <w:sz w:val="20"/>
          <w:szCs w:val="20"/>
          <w:color w:val="auto"/>
        </w:rPr>
      </w:pPr>
      <w:r>
        <w:rPr>
          <w:rFonts w:ascii="Arial" w:cs="Arial" w:eastAsia="Arial" w:hAnsi="Arial"/>
          <w:sz w:val="15"/>
          <w:szCs w:val="15"/>
          <w:b w:val="1"/>
          <w:bCs w:val="1"/>
          <w:color w:val="auto"/>
        </w:rPr>
        <w:t>INDEX OF EXHIBITS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Description</w:t>
      </w:r>
    </w:p>
    <w:p>
      <w:pPr>
        <w:spacing w:after="0" w:line="77" w:lineRule="exact"/>
        <w:rPr>
          <w:sz w:val="20"/>
          <w:szCs w:val="20"/>
          <w:color w:val="auto"/>
        </w:rPr>
      </w:pPr>
    </w:p>
    <w:p>
      <w:pPr>
        <w:spacing w:after="0"/>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Computation of Ratio of Earnings to Fixed Charges.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-105410</wp:posOffset>
            </wp:positionV>
            <wp:extent cx="5777230" cy="1155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77230" cy="115570"/>
                    </a:xfrm>
                    <a:prstGeom prst="rect">
                      <a:avLst/>
                    </a:prstGeom>
                    <a:noFill/>
                  </pic:spPr>
                </pic:pic>
              </a:graphicData>
            </a:graphic>
          </wp:anchor>
        </w:drawing>
      </w:r>
    </w:p>
    <w:p>
      <w:pPr>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Accountants’ Acknowledgement.</w:t>
        </w:r>
      </w:hyperlink>
    </w:p>
    <w:p>
      <w:pPr>
        <w:spacing w:after="0" w:line="10" w:lineRule="exact"/>
        <w:rPr>
          <w:sz w:val="20"/>
          <w:szCs w:val="20"/>
          <w:color w:val="auto"/>
        </w:rPr>
      </w:pPr>
    </w:p>
    <w:p>
      <w:pPr>
        <w:ind w:right="60"/>
        <w:spacing w:after="0" w:line="245" w:lineRule="auto"/>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Certification of Chief Executive Officer Pursuant to Rule 13a-14(a) or 15d-14(a), as adopted pursuant to Section 302</w:t>
        </w:r>
      </w:hyperlink>
      <w:r>
        <w:rPr>
          <w:rFonts w:ascii="Arial" w:cs="Arial" w:eastAsia="Arial" w:hAnsi="Arial"/>
          <w:sz w:val="15"/>
          <w:szCs w:val="15"/>
          <w:u w:val="single" w:color="auto"/>
          <w:color w:val="0000EE"/>
        </w:rPr>
        <w:t xml:space="preserve"> </w:t>
      </w:r>
      <w:hyperlink w:anchor="page33">
        <w:r>
          <w:rPr>
            <w:rFonts w:ascii="Arial" w:cs="Arial" w:eastAsia="Arial" w:hAnsi="Arial"/>
            <w:sz w:val="15"/>
            <w:szCs w:val="15"/>
            <w:u w:val="single" w:color="auto"/>
            <w:color w:val="0000EE"/>
          </w:rPr>
          <w:t>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-219710</wp:posOffset>
            </wp:positionV>
            <wp:extent cx="5777230" cy="224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77230" cy="224155"/>
                    </a:xfrm>
                    <a:prstGeom prst="rect">
                      <a:avLst/>
                    </a:prstGeom>
                    <a:noFill/>
                  </pic:spPr>
                </pic:pic>
              </a:graphicData>
            </a:graphic>
          </wp:anchor>
        </w:drawing>
      </w:r>
    </w:p>
    <w:p>
      <w:pPr>
        <w:ind w:right="120"/>
        <w:spacing w:after="0" w:line="245" w:lineRule="auto"/>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Certification of Chief Financial Officer Pursuant to Rule 13a-14(a) or 15d-14(a), as adopted pursuant to Section 302</w:t>
        </w:r>
      </w:hyperlink>
      <w:r>
        <w:rPr>
          <w:rFonts w:ascii="Arial" w:cs="Arial" w:eastAsia="Arial" w:hAnsi="Arial"/>
          <w:sz w:val="15"/>
          <w:szCs w:val="15"/>
          <w:u w:val="single" w:color="auto"/>
          <w:color w:val="0000EE"/>
        </w:rPr>
        <w:t xml:space="preserve"> </w:t>
      </w:r>
      <w:hyperlink w:anchor="page34">
        <w:r>
          <w:rPr>
            <w:rFonts w:ascii="Arial" w:cs="Arial" w:eastAsia="Arial" w:hAnsi="Arial"/>
            <w:sz w:val="15"/>
            <w:szCs w:val="15"/>
            <w:u w:val="single" w:color="auto"/>
            <w:color w:val="0000EE"/>
          </w:rPr>
          <w:t>of the Sarbanes-Oxley Act of 2002.</w:t>
        </w:r>
      </w:hyperlink>
    </w:p>
    <w:p>
      <w:pPr>
        <w:spacing w:after="0" w:line="1" w:lineRule="exact"/>
        <w:rPr>
          <w:sz w:val="20"/>
          <w:szCs w:val="20"/>
          <w:color w:val="auto"/>
        </w:rPr>
      </w:pPr>
    </w:p>
    <w:p>
      <w:pPr>
        <w:ind w:right="200"/>
        <w:spacing w:after="0" w:line="223" w:lineRule="auto"/>
        <w:rPr>
          <w:rFonts w:ascii="Arial" w:cs="Arial" w:eastAsia="Arial" w:hAnsi="Arial"/>
          <w:sz w:val="15"/>
          <w:szCs w:val="15"/>
          <w:color w:val="0000EE"/>
        </w:rPr>
      </w:pPr>
      <w:hyperlink w:anchor="page35">
        <w:r>
          <w:rPr>
            <w:rFonts w:ascii="Arial" w:cs="Arial" w:eastAsia="Arial" w:hAnsi="Arial"/>
            <w:sz w:val="15"/>
            <w:szCs w:val="15"/>
            <w:u w:val="single" w:color="auto"/>
            <w:color w:val="0000EE"/>
          </w:rPr>
          <w:t>Certification of Chief Executive Officer and Chief Financial Officer Pursuant to 18 U.S.C. Section 1350, as adopted</w:t>
        </w:r>
      </w:hyperlink>
      <w:r>
        <w:rPr>
          <w:rFonts w:ascii="Arial" w:cs="Arial" w:eastAsia="Arial" w:hAnsi="Arial"/>
          <w:sz w:val="15"/>
          <w:szCs w:val="15"/>
          <w:u w:val="single" w:color="auto"/>
          <w:color w:val="0000EE"/>
        </w:rPr>
        <w:t xml:space="preserve"> </w:t>
      </w:r>
      <w:hyperlink w:anchor="page35">
        <w:r>
          <w:rPr>
            <w:rFonts w:ascii="Arial" w:cs="Arial" w:eastAsia="Arial" w:hAnsi="Arial"/>
            <w:sz w:val="15"/>
            <w:szCs w:val="15"/>
            <w:color w:val="0000EE"/>
          </w:rPr>
          <w:t>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-199390</wp:posOffset>
            </wp:positionV>
            <wp:extent cx="5777230" cy="2241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77230" cy="2241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940" w:space="200"/>
            <w:col w:w="7960"/>
          </w:cols>
          <w:pgMar w:left="1400" w:top="311" w:right="1399" w:bottom="1440" w:gutter="0" w:footer="0" w:header="0"/>
        </w:sectPr>
      </w:pPr>
    </w:p>
    <w:tbl>
      <w:tblPr>
        <w:tblLayout w:type="fixed"/>
        <w:tblInd w:w="0" w:type="dxa"/>
        <w:tblCellMar>
          <w:top w:w="0" w:type="dxa"/>
          <w:left w:w="0" w:type="dxa"/>
          <w:bottom w:w="0" w:type="dxa"/>
          <w:right w:w="0" w:type="dxa"/>
        </w:tblCellMar>
      </w:tblPr>
      <w:tr>
        <w:trPr>
          <w:trHeight w:val="171"/>
        </w:trPr>
        <w:tc>
          <w:tcPr>
            <w:tcW w:w="1140" w:type="dxa"/>
            <w:vAlign w:val="bottom"/>
          </w:tcPr>
          <w:p>
            <w:pPr>
              <w:jc w:val="center"/>
              <w:ind w:right="3"/>
              <w:spacing w:after="0" w:line="163" w:lineRule="exact"/>
              <w:rPr>
                <w:sz w:val="20"/>
                <w:szCs w:val="20"/>
                <w:color w:val="auto"/>
              </w:rPr>
            </w:pPr>
            <w:r>
              <w:rPr>
                <w:rFonts w:ascii="Arial" w:cs="Arial" w:eastAsia="Arial" w:hAnsi="Arial"/>
                <w:sz w:val="15"/>
                <w:szCs w:val="15"/>
                <w:color w:val="auto"/>
                <w:w w:val="97"/>
              </w:rPr>
              <w:t>99*</w:t>
            </w:r>
          </w:p>
        </w:tc>
        <w:tc>
          <w:tcPr>
            <w:tcW w:w="3980" w:type="dxa"/>
            <w:vAlign w:val="bottom"/>
            <w:tcBorders>
              <w:top w:val="single" w:sz="8" w:color="0000EE"/>
              <w:bottom w:val="single" w:sz="8" w:color="0000EE"/>
            </w:tcBorders>
          </w:tcPr>
          <w:p>
            <w:pPr>
              <w:spacing w:after="0" w:line="163" w:lineRule="exact"/>
              <w:rPr>
                <w:rFonts w:ascii="Arial" w:cs="Arial" w:eastAsia="Arial" w:hAnsi="Arial"/>
                <w:sz w:val="15"/>
                <w:szCs w:val="15"/>
                <w:color w:val="0000EE"/>
              </w:rPr>
            </w:pPr>
            <w:hyperlink w:anchor="page36">
              <w:r>
                <w:rPr>
                  <w:rFonts w:ascii="Arial" w:cs="Arial" w:eastAsia="Arial" w:hAnsi="Arial"/>
                  <w:sz w:val="15"/>
                  <w:szCs w:val="15"/>
                  <w:color w:val="0000EE"/>
                </w:rPr>
                <w:t>Report of Independent Registered Public Accounting Firm.</w:t>
              </w:r>
            </w:hyperlink>
          </w:p>
        </w:tc>
        <w:tc>
          <w:tcPr>
            <w:tcW w:w="80" w:type="dxa"/>
            <w:vAlign w:val="bottom"/>
            <w:tcBorders>
              <w:top w:val="single" w:sz="8" w:color="0000EE"/>
            </w:tcBorders>
          </w:tcPr>
          <w:p>
            <w:pPr>
              <w:spacing w:after="0"/>
              <w:rPr>
                <w:sz w:val="14"/>
                <w:szCs w:val="14"/>
                <w:color w:val="auto"/>
              </w:rPr>
            </w:pPr>
          </w:p>
        </w:tc>
        <w:tc>
          <w:tcPr>
            <w:tcW w:w="3900" w:type="dxa"/>
            <w:vAlign w:val="bottom"/>
          </w:tcPr>
          <w:p>
            <w:pPr>
              <w:spacing w:after="0"/>
              <w:rPr>
                <w:sz w:val="14"/>
                <w:szCs w:val="14"/>
                <w:color w:val="auto"/>
              </w:rPr>
            </w:pPr>
          </w:p>
        </w:tc>
      </w:tr>
      <w:tr>
        <w:trPr>
          <w:trHeight w:val="191"/>
        </w:trPr>
        <w:tc>
          <w:tcPr>
            <w:tcW w:w="11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rPr>
              <w:t>101.INS*</w:t>
            </w:r>
          </w:p>
        </w:tc>
        <w:tc>
          <w:tcPr>
            <w:tcW w:w="79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XBRL Instance Document.</w:t>
            </w:r>
          </w:p>
        </w:tc>
      </w:tr>
      <w:tr>
        <w:trPr>
          <w:trHeight w:val="182"/>
        </w:trPr>
        <w:tc>
          <w:tcPr>
            <w:tcW w:w="1140" w:type="dxa"/>
            <w:vAlign w:val="bottom"/>
          </w:tcPr>
          <w:p>
            <w:pPr>
              <w:jc w:val="center"/>
              <w:spacing w:after="0"/>
              <w:rPr>
                <w:sz w:val="20"/>
                <w:szCs w:val="20"/>
                <w:color w:val="auto"/>
              </w:rPr>
            </w:pPr>
            <w:r>
              <w:rPr>
                <w:rFonts w:ascii="Arial" w:cs="Arial" w:eastAsia="Arial" w:hAnsi="Arial"/>
                <w:sz w:val="15"/>
                <w:szCs w:val="15"/>
                <w:color w:val="auto"/>
              </w:rPr>
              <w:t>101.SCH*</w:t>
            </w:r>
          </w:p>
        </w:tc>
        <w:tc>
          <w:tcPr>
            <w:tcW w:w="7960" w:type="dxa"/>
            <w:vAlign w:val="bottom"/>
            <w:gridSpan w:val="3"/>
          </w:tcPr>
          <w:p>
            <w:pPr>
              <w:spacing w:after="0"/>
              <w:rPr>
                <w:sz w:val="20"/>
                <w:szCs w:val="20"/>
                <w:color w:val="auto"/>
              </w:rPr>
            </w:pPr>
            <w:r>
              <w:rPr>
                <w:rFonts w:ascii="Arial" w:cs="Arial" w:eastAsia="Arial" w:hAnsi="Arial"/>
                <w:sz w:val="15"/>
                <w:szCs w:val="15"/>
                <w:color w:val="auto"/>
              </w:rPr>
              <w:t>XBRL Taxonomy Extension Schema.</w:t>
            </w:r>
          </w:p>
        </w:tc>
      </w:tr>
      <w:tr>
        <w:trPr>
          <w:trHeight w:val="182"/>
        </w:trPr>
        <w:tc>
          <w:tcPr>
            <w:tcW w:w="11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rPr>
              <w:t>101.CAL*</w:t>
            </w:r>
          </w:p>
        </w:tc>
        <w:tc>
          <w:tcPr>
            <w:tcW w:w="79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XBRL Taxonomy Extension Calculation Linkbase.</w:t>
            </w:r>
          </w:p>
        </w:tc>
      </w:tr>
      <w:tr>
        <w:trPr>
          <w:trHeight w:val="182"/>
        </w:trPr>
        <w:tc>
          <w:tcPr>
            <w:tcW w:w="1140" w:type="dxa"/>
            <w:vAlign w:val="bottom"/>
          </w:tcPr>
          <w:p>
            <w:pPr>
              <w:jc w:val="center"/>
              <w:ind w:right="3"/>
              <w:spacing w:after="0"/>
              <w:rPr>
                <w:sz w:val="20"/>
                <w:szCs w:val="20"/>
                <w:color w:val="auto"/>
              </w:rPr>
            </w:pPr>
            <w:r>
              <w:rPr>
                <w:rFonts w:ascii="Arial" w:cs="Arial" w:eastAsia="Arial" w:hAnsi="Arial"/>
                <w:sz w:val="15"/>
                <w:szCs w:val="15"/>
                <w:color w:val="auto"/>
              </w:rPr>
              <w:t>101.DEF*</w:t>
            </w:r>
          </w:p>
        </w:tc>
        <w:tc>
          <w:tcPr>
            <w:tcW w:w="7960" w:type="dxa"/>
            <w:vAlign w:val="bottom"/>
            <w:gridSpan w:val="3"/>
          </w:tcPr>
          <w:p>
            <w:pPr>
              <w:spacing w:after="0"/>
              <w:rPr>
                <w:sz w:val="20"/>
                <w:szCs w:val="20"/>
                <w:color w:val="auto"/>
              </w:rPr>
            </w:pPr>
            <w:r>
              <w:rPr>
                <w:rFonts w:ascii="Arial" w:cs="Arial" w:eastAsia="Arial" w:hAnsi="Arial"/>
                <w:sz w:val="15"/>
                <w:szCs w:val="15"/>
                <w:color w:val="auto"/>
              </w:rPr>
              <w:t>XBRL Taxonomy Extension Definition Linkbase.</w:t>
            </w:r>
          </w:p>
        </w:tc>
      </w:tr>
      <w:tr>
        <w:trPr>
          <w:trHeight w:val="182"/>
        </w:trPr>
        <w:tc>
          <w:tcPr>
            <w:tcW w:w="11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rPr>
              <w:t>101.LAB*</w:t>
            </w:r>
          </w:p>
        </w:tc>
        <w:tc>
          <w:tcPr>
            <w:tcW w:w="79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XBRL Taxonomy Extension Label Linkbase.</w:t>
            </w:r>
          </w:p>
        </w:tc>
      </w:tr>
      <w:tr>
        <w:trPr>
          <w:trHeight w:val="182"/>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101.PRE*</w:t>
            </w:r>
          </w:p>
        </w:tc>
        <w:tc>
          <w:tcPr>
            <w:tcW w:w="796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XBRL Taxonomy Extension Presentation Linkbase.</w:t>
            </w:r>
          </w:p>
        </w:tc>
      </w:tr>
    </w:tbl>
    <w:p>
      <w:pPr>
        <w:spacing w:after="0" w:line="201" w:lineRule="exact"/>
        <w:rPr>
          <w:sz w:val="20"/>
          <w:szCs w:val="20"/>
          <w:color w:val="auto"/>
        </w:rPr>
      </w:pPr>
    </w:p>
    <w:p>
      <w:pPr>
        <w:ind w:left="1140" w:hanging="636"/>
        <w:spacing w:after="0"/>
        <w:tabs>
          <w:tab w:leader="none" w:pos="11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34" w:lineRule="exact"/>
        <w:rPr>
          <w:sz w:val="20"/>
          <w:szCs w:val="20"/>
          <w:color w:val="auto"/>
        </w:rPr>
      </w:pPr>
    </w:p>
    <w:p>
      <w:pPr>
        <w:ind w:left="1140" w:hanging="666"/>
        <w:spacing w:after="0"/>
        <w:tabs>
          <w:tab w:leader="none" w:pos="11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Furnished herewith.</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type w:val="continuous"/>
        </w:sectPr>
      </w:pPr>
    </w:p>
    <w:bookmarkStart w:id="30" w:name="page31"/>
    <w:bookmarkEnd w:id="30"/>
    <w:p>
      <w:pPr>
        <w:ind w:left="8380"/>
        <w:spacing w:after="0"/>
        <w:rPr>
          <w:sz w:val="20"/>
          <w:szCs w:val="20"/>
          <w:color w:val="auto"/>
        </w:rPr>
      </w:pPr>
      <w:r>
        <w:rPr>
          <w:rFonts w:ascii="Arial" w:cs="Arial" w:eastAsia="Arial" w:hAnsi="Arial"/>
          <w:sz w:val="15"/>
          <w:szCs w:val="15"/>
          <w:b w:val="1"/>
          <w:bCs w:val="1"/>
          <w:color w:val="auto"/>
        </w:rPr>
        <w:t>Exhibit 12</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COMPUTATION OF RATIO OF EARNINGS TO FIXED CHARGES</w:t>
      </w:r>
    </w:p>
    <w:p>
      <w:pPr>
        <w:jc w:val="center"/>
        <w:ind w:right="20"/>
        <w:spacing w:after="0" w:line="236" w:lineRule="auto"/>
        <w:rPr>
          <w:sz w:val="20"/>
          <w:szCs w:val="20"/>
          <w:color w:val="auto"/>
        </w:rPr>
      </w:pPr>
      <w:r>
        <w:rPr>
          <w:rFonts w:ascii="Arial" w:cs="Arial" w:eastAsia="Arial" w:hAnsi="Arial"/>
          <w:sz w:val="15"/>
          <w:szCs w:val="15"/>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3"/>
          </w:tcPr>
          <w:p>
            <w:pPr>
              <w:jc w:val="right"/>
              <w:ind w:right="223"/>
              <w:spacing w:after="0"/>
              <w:rPr>
                <w:sz w:val="20"/>
                <w:szCs w:val="20"/>
                <w:color w:val="auto"/>
              </w:rPr>
            </w:pPr>
            <w:r>
              <w:rPr>
                <w:rFonts w:ascii="Arial" w:cs="Arial" w:eastAsia="Arial" w:hAnsi="Arial"/>
                <w:sz w:val="15"/>
                <w:szCs w:val="15"/>
                <w:b w:val="1"/>
                <w:bCs w:val="1"/>
                <w:color w:val="auto"/>
              </w:rPr>
              <w:t>Twenty-six weeks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ended</w:t>
            </w: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ind w:right="463"/>
              <w:spacing w:after="0"/>
              <w:rPr>
                <w:sz w:val="20"/>
                <w:szCs w:val="20"/>
                <w:color w:val="auto"/>
              </w:rPr>
            </w:pPr>
            <w:r>
              <w:rPr>
                <w:rFonts w:ascii="Arial" w:cs="Arial" w:eastAsia="Arial" w:hAnsi="Arial"/>
                <w:sz w:val="15"/>
                <w:szCs w:val="15"/>
                <w:b w:val="1"/>
                <w:bCs w:val="1"/>
                <w:color w:val="auto"/>
              </w:rPr>
              <w:t>Fiscal Year Ended</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43"/>
              <w:spacing w:after="0" w:line="151" w:lineRule="exact"/>
              <w:rPr>
                <w:sz w:val="20"/>
                <w:szCs w:val="20"/>
                <w:color w:val="auto"/>
              </w:rPr>
            </w:pPr>
            <w:r>
              <w:rPr>
                <w:rFonts w:ascii="Arial" w:cs="Arial" w:eastAsia="Arial" w:hAnsi="Arial"/>
                <w:sz w:val="15"/>
                <w:szCs w:val="15"/>
                <w:b w:val="1"/>
                <w:bCs w:val="1"/>
                <w:color w:val="auto"/>
              </w:rPr>
              <w:t>Aug. 4,</w:t>
            </w:r>
          </w:p>
        </w:tc>
        <w:tc>
          <w:tcPr>
            <w:tcW w:w="220" w:type="dxa"/>
            <w:vAlign w:val="bottom"/>
          </w:tcPr>
          <w:p>
            <w:pPr>
              <w:spacing w:after="0"/>
              <w:rPr>
                <w:sz w:val="13"/>
                <w:szCs w:val="13"/>
                <w:color w:val="auto"/>
              </w:rPr>
            </w:pPr>
          </w:p>
        </w:tc>
        <w:tc>
          <w:tcPr>
            <w:tcW w:w="720" w:type="dxa"/>
            <w:vAlign w:val="bottom"/>
          </w:tcPr>
          <w:p>
            <w:pPr>
              <w:jc w:val="right"/>
              <w:ind w:right="83"/>
              <w:spacing w:after="0" w:line="151" w:lineRule="exact"/>
              <w:rPr>
                <w:sz w:val="20"/>
                <w:szCs w:val="20"/>
                <w:color w:val="auto"/>
              </w:rPr>
            </w:pPr>
            <w:r>
              <w:rPr>
                <w:rFonts w:ascii="Arial" w:cs="Arial" w:eastAsia="Arial" w:hAnsi="Arial"/>
                <w:sz w:val="15"/>
                <w:szCs w:val="15"/>
                <w:b w:val="1"/>
                <w:bCs w:val="1"/>
                <w:color w:val="auto"/>
                <w:w w:val="98"/>
              </w:rPr>
              <w:t>July 29,</w:t>
            </w:r>
          </w:p>
        </w:tc>
        <w:tc>
          <w:tcPr>
            <w:tcW w:w="260" w:type="dxa"/>
            <w:vAlign w:val="bottom"/>
          </w:tcPr>
          <w:p>
            <w:pPr>
              <w:spacing w:after="0"/>
              <w:rPr>
                <w:sz w:val="13"/>
                <w:szCs w:val="13"/>
                <w:color w:val="auto"/>
              </w:rPr>
            </w:pPr>
          </w:p>
        </w:tc>
        <w:tc>
          <w:tcPr>
            <w:tcW w:w="620" w:type="dxa"/>
            <w:vAlign w:val="bottom"/>
          </w:tcPr>
          <w:p>
            <w:pPr>
              <w:jc w:val="right"/>
              <w:ind w:right="23"/>
              <w:spacing w:after="0" w:line="151" w:lineRule="exact"/>
              <w:rPr>
                <w:sz w:val="20"/>
                <w:szCs w:val="20"/>
                <w:color w:val="auto"/>
              </w:rPr>
            </w:pPr>
            <w:r>
              <w:rPr>
                <w:rFonts w:ascii="Arial" w:cs="Arial" w:eastAsia="Arial" w:hAnsi="Arial"/>
                <w:sz w:val="15"/>
                <w:szCs w:val="15"/>
                <w:b w:val="1"/>
                <w:bCs w:val="1"/>
                <w:color w:val="auto"/>
              </w:rPr>
              <w:t>Feb. 3,</w:t>
            </w:r>
          </w:p>
        </w:tc>
        <w:tc>
          <w:tcPr>
            <w:tcW w:w="180" w:type="dxa"/>
            <w:vAlign w:val="bottom"/>
          </w:tcPr>
          <w:p>
            <w:pPr>
              <w:spacing w:after="0"/>
              <w:rPr>
                <w:sz w:val="13"/>
                <w:szCs w:val="13"/>
                <w:color w:val="auto"/>
              </w:rPr>
            </w:pPr>
          </w:p>
        </w:tc>
        <w:tc>
          <w:tcPr>
            <w:tcW w:w="64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Jan. 28,</w:t>
            </w:r>
          </w:p>
        </w:tc>
        <w:tc>
          <w:tcPr>
            <w:tcW w:w="180" w:type="dxa"/>
            <w:vAlign w:val="bottom"/>
          </w:tcPr>
          <w:p>
            <w:pPr>
              <w:spacing w:after="0"/>
              <w:rPr>
                <w:sz w:val="13"/>
                <w:szCs w:val="13"/>
                <w:color w:val="auto"/>
              </w:rPr>
            </w:pPr>
          </w:p>
        </w:tc>
        <w:tc>
          <w:tcPr>
            <w:tcW w:w="66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Jan. 30,</w:t>
            </w:r>
          </w:p>
        </w:tc>
        <w:tc>
          <w:tcPr>
            <w:tcW w:w="180" w:type="dxa"/>
            <w:vAlign w:val="bottom"/>
          </w:tcPr>
          <w:p>
            <w:pPr>
              <w:spacing w:after="0"/>
              <w:rPr>
                <w:sz w:val="13"/>
                <w:szCs w:val="13"/>
                <w:color w:val="auto"/>
              </w:rPr>
            </w:pPr>
          </w:p>
        </w:tc>
        <w:tc>
          <w:tcPr>
            <w:tcW w:w="700" w:type="dxa"/>
            <w:vAlign w:val="bottom"/>
          </w:tcPr>
          <w:p>
            <w:pPr>
              <w:jc w:val="right"/>
              <w:ind w:right="23"/>
              <w:spacing w:after="0" w:line="151" w:lineRule="exact"/>
              <w:rPr>
                <w:sz w:val="20"/>
                <w:szCs w:val="20"/>
                <w:color w:val="auto"/>
              </w:rPr>
            </w:pPr>
            <w:r>
              <w:rPr>
                <w:rFonts w:ascii="Arial" w:cs="Arial" w:eastAsia="Arial" w:hAnsi="Arial"/>
                <w:sz w:val="15"/>
                <w:szCs w:val="15"/>
                <w:b w:val="1"/>
                <w:bCs w:val="1"/>
                <w:color w:val="auto"/>
              </w:rPr>
              <w:t>Jan. 31,</w:t>
            </w:r>
          </w:p>
        </w:tc>
        <w:tc>
          <w:tcPr>
            <w:tcW w:w="180" w:type="dxa"/>
            <w:vAlign w:val="bottom"/>
          </w:tcPr>
          <w:p>
            <w:pPr>
              <w:spacing w:after="0"/>
              <w:rPr>
                <w:sz w:val="13"/>
                <w:szCs w:val="13"/>
                <w:color w:val="auto"/>
              </w:rPr>
            </w:pPr>
          </w:p>
        </w:tc>
        <w:tc>
          <w:tcPr>
            <w:tcW w:w="62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Feb. 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2018</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2016</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2015</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NET EARNINGS</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80" w:type="dxa"/>
            <w:vAlign w:val="bottom"/>
          </w:tcPr>
          <w:p>
            <w:pPr>
              <w:spacing w:after="0"/>
              <w:rPr>
                <w:sz w:val="20"/>
                <w:szCs w:val="20"/>
                <w:color w:val="auto"/>
              </w:rPr>
            </w:pPr>
            <w:r>
              <w:rPr>
                <w:rFonts w:ascii="Arial" w:cs="Arial" w:eastAsia="Arial" w:hAnsi="Arial"/>
                <w:sz w:val="15"/>
                <w:szCs w:val="15"/>
                <w:color w:val="auto"/>
              </w:rPr>
              <w:t>Net income</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253</w:t>
            </w:r>
          </w:p>
        </w:tc>
        <w:tc>
          <w:tcPr>
            <w:tcW w:w="2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231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284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664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541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520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111</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980" w:type="dxa"/>
            <w:vAlign w:val="bottom"/>
          </w:tcPr>
          <w:p>
            <w:pPr>
              <w:spacing w:after="0"/>
              <w:rPr>
                <w:sz w:val="20"/>
                <w:szCs w:val="20"/>
                <w:color w:val="auto"/>
              </w:rPr>
            </w:pPr>
            <w:r>
              <w:rPr>
                <w:rFonts w:ascii="Arial" w:cs="Arial" w:eastAsia="Arial" w:hAnsi="Arial"/>
                <w:sz w:val="15"/>
                <w:szCs w:val="15"/>
                <w:color w:val="auto"/>
              </w:rPr>
              <w:t>Interest expense, excluding capitalized</w:t>
            </w:r>
          </w:p>
        </w:tc>
        <w:tc>
          <w:tcPr>
            <w:tcW w:w="2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80"/>
              <w:spacing w:after="0"/>
              <w:rPr>
                <w:sz w:val="20"/>
                <w:szCs w:val="20"/>
                <w:color w:val="auto"/>
              </w:rPr>
            </w:pPr>
            <w:r>
              <w:rPr>
                <w:rFonts w:ascii="Arial" w:cs="Arial" w:eastAsia="Arial" w:hAnsi="Arial"/>
                <w:sz w:val="15"/>
                <w:szCs w:val="15"/>
                <w:color w:val="auto"/>
              </w:rPr>
              <w:t>interest</w:t>
            </w: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6</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Portion of rents deemed representative of</w:t>
            </w:r>
          </w:p>
        </w:tc>
        <w:tc>
          <w:tcPr>
            <w:tcW w:w="260" w:type="dxa"/>
            <w:vAlign w:val="bottom"/>
            <w:shd w:val="clear" w:color="auto" w:fill="CCEEFF"/>
          </w:tcPr>
          <w:p>
            <w:pPr>
              <w:spacing w:after="0"/>
              <w:rPr>
                <w:sz w:val="24"/>
                <w:szCs w:val="2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144</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the interest factor (1/3)</w:t>
            </w:r>
          </w:p>
        </w:tc>
        <w:tc>
          <w:tcPr>
            <w:tcW w:w="2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135</w:t>
            </w:r>
          </w:p>
        </w:tc>
        <w:tc>
          <w:tcPr>
            <w:tcW w:w="2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494</w:t>
            </w:r>
          </w:p>
        </w:tc>
        <w:tc>
          <w:tcPr>
            <w:tcW w:w="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483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FIXED CHARGES</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80" w:type="dxa"/>
            <w:vAlign w:val="bottom"/>
          </w:tcPr>
          <w:p>
            <w:pPr>
              <w:spacing w:after="0"/>
              <w:rPr>
                <w:sz w:val="20"/>
                <w:szCs w:val="20"/>
                <w:color w:val="auto"/>
              </w:rPr>
            </w:pPr>
            <w:r>
              <w:rPr>
                <w:rFonts w:ascii="Arial" w:cs="Arial" w:eastAsia="Arial" w:hAnsi="Arial"/>
                <w:sz w:val="15"/>
                <w:szCs w:val="15"/>
                <w:color w:val="auto"/>
              </w:rPr>
              <w:t>Gross interest expense</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2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Portion of rents deemed representative of</w:t>
            </w:r>
          </w:p>
        </w:tc>
        <w:tc>
          <w:tcPr>
            <w:tcW w:w="260" w:type="dxa"/>
            <w:vAlign w:val="bottom"/>
            <w:shd w:val="clear" w:color="auto" w:fill="CCEEFF"/>
          </w:tcPr>
          <w:p>
            <w:pPr>
              <w:spacing w:after="0"/>
              <w:rPr>
                <w:sz w:val="24"/>
                <w:szCs w:val="2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144</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the interest factor (1/3)</w:t>
            </w:r>
          </w:p>
        </w:tc>
        <w:tc>
          <w:tcPr>
            <w:tcW w:w="2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135</w:t>
            </w:r>
          </w:p>
        </w:tc>
        <w:tc>
          <w:tcPr>
            <w:tcW w:w="2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150</w:t>
            </w:r>
          </w:p>
        </w:tc>
        <w:tc>
          <w:tcPr>
            <w:tcW w:w="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20"/>
                <w:szCs w:val="20"/>
                <w:color w:val="auto"/>
              </w:rPr>
            </w:pPr>
            <w:r>
              <w:rPr>
                <w:rFonts w:ascii="Arial" w:cs="Arial" w:eastAsia="Arial" w:hAnsi="Arial"/>
                <w:sz w:val="15"/>
                <w:szCs w:val="15"/>
                <w:color w:val="auto"/>
              </w:rPr>
              <w:t>RATIO OF EARNINGS TO FIXED</w:t>
            </w:r>
          </w:p>
        </w:tc>
        <w:tc>
          <w:tcPr>
            <w:tcW w:w="2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3.3</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CHARGES</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2"/>
        </w:trPr>
        <w:tc>
          <w:tcPr>
            <w:tcW w:w="2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52" w:right="1379" w:bottom="1440" w:gutter="0" w:footer="0" w:header="0"/>
        </w:sectPr>
      </w:pPr>
    </w:p>
    <w:bookmarkStart w:id="31" w:name="page32"/>
    <w:bookmarkEnd w:id="31"/>
    <w:p>
      <w:pPr>
        <w:ind w:left="8380"/>
        <w:spacing w:after="0"/>
        <w:rPr>
          <w:sz w:val="20"/>
          <w:szCs w:val="20"/>
          <w:color w:val="auto"/>
        </w:rPr>
      </w:pPr>
      <w:r>
        <w:rPr>
          <w:rFonts w:ascii="Arial" w:cs="Arial" w:eastAsia="Arial" w:hAnsi="Arial"/>
          <w:sz w:val="15"/>
          <w:szCs w:val="15"/>
          <w:b w:val="1"/>
          <w:bCs w:val="1"/>
          <w:color w:val="auto"/>
        </w:rPr>
        <w:t>Exhibit 15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ACCOUNTANTS’ ACKNOWLEDGEMENT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Foot Locker, Inc.:</w:t>
      </w:r>
    </w:p>
    <w:p>
      <w:pPr>
        <w:spacing w:after="0" w:line="24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We hereby acknowledge our awareness of the use of our report dated September 12, 2018 related to our review of interim financial information in the following Registration Statements:</w:t>
      </w:r>
    </w:p>
    <w:p>
      <w:pPr>
        <w:spacing w:after="0" w:line="182" w:lineRule="exact"/>
        <w:rPr>
          <w:sz w:val="20"/>
          <w:szCs w:val="20"/>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33-10783</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33-91888</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33-91886</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33-97832</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333-07215</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333-21131</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333-62425</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333-33120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333-41056</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333-41058</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333-74688</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333-99829</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333-111222</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333-121515</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333-144044</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333-149803</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S-3 No. 33-43334</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S-3 No. 33-86300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S-3 No. 333-64930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333-167066</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333-171523</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333-190680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333-196899</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/s/ KPMG LLP</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September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337185</wp:posOffset>
            </wp:positionV>
            <wp:extent cx="5817870" cy="48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40" w:right="1399" w:bottom="1440" w:gutter="0" w:footer="0" w:header="0"/>
        </w:sectPr>
      </w:pPr>
    </w:p>
    <w:bookmarkStart w:id="32" w:name="page33"/>
    <w:bookmarkEnd w:id="32"/>
    <w:p>
      <w:pPr>
        <w:ind w:left="8200"/>
        <w:spacing w:after="0"/>
        <w:rPr>
          <w:sz w:val="20"/>
          <w:szCs w:val="20"/>
          <w:color w:val="auto"/>
        </w:rPr>
      </w:pPr>
      <w:r>
        <w:rPr>
          <w:rFonts w:ascii="Arial" w:cs="Arial" w:eastAsia="Arial" w:hAnsi="Arial"/>
          <w:sz w:val="15"/>
          <w:szCs w:val="15"/>
          <w:b w:val="1"/>
          <w:bCs w:val="1"/>
          <w:color w:val="auto"/>
        </w:rPr>
        <w:t>Exhibit 31.1</w:t>
      </w:r>
    </w:p>
    <w:p>
      <w:pPr>
        <w:spacing w:after="0" w:line="16"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CERTIFICATION</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 Richard A. Johnson, certify that:</w:t>
      </w:r>
    </w:p>
    <w:p>
      <w:pPr>
        <w:spacing w:after="0" w:line="180" w:lineRule="exact"/>
        <w:rPr>
          <w:sz w:val="20"/>
          <w:szCs w:val="20"/>
          <w:color w:val="auto"/>
        </w:rPr>
      </w:pPr>
    </w:p>
    <w:p>
      <w:pPr>
        <w:ind w:left="880" w:hanging="696"/>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Foot Locker, Inc. (the “Registrant”);</w:t>
      </w:r>
    </w:p>
    <w:p>
      <w:pPr>
        <w:spacing w:after="0" w:line="119" w:lineRule="exact"/>
        <w:rPr>
          <w:rFonts w:ascii="Arial" w:cs="Arial" w:eastAsia="Arial" w:hAnsi="Arial"/>
          <w:sz w:val="15"/>
          <w:szCs w:val="15"/>
          <w:color w:val="auto"/>
        </w:rPr>
      </w:pPr>
    </w:p>
    <w:p>
      <w:pPr>
        <w:jc w:val="both"/>
        <w:ind w:left="920" w:right="20" w:hanging="736"/>
        <w:spacing w:after="0" w:line="245" w:lineRule="auto"/>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5"/>
          <w:szCs w:val="15"/>
          <w:color w:val="auto"/>
        </w:rPr>
      </w:pPr>
    </w:p>
    <w:p>
      <w:pPr>
        <w:jc w:val="both"/>
        <w:ind w:left="880" w:right="260" w:hanging="696"/>
        <w:spacing w:after="0" w:line="245"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5"/>
          <w:szCs w:val="15"/>
          <w:color w:val="auto"/>
        </w:rPr>
      </w:pPr>
    </w:p>
    <w:p>
      <w:pPr>
        <w:jc w:val="both"/>
        <w:ind w:left="920" w:hanging="736"/>
        <w:spacing w:after="0" w:line="245" w:lineRule="auto"/>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8" w:lineRule="exact"/>
        <w:rPr>
          <w:rFonts w:ascii="Arial" w:cs="Arial" w:eastAsia="Arial" w:hAnsi="Arial"/>
          <w:sz w:val="15"/>
          <w:szCs w:val="15"/>
          <w:color w:val="auto"/>
        </w:rPr>
      </w:pPr>
    </w:p>
    <w:p>
      <w:pPr>
        <w:jc w:val="both"/>
        <w:ind w:left="1600" w:hanging="686"/>
        <w:spacing w:after="0" w:line="242" w:lineRule="auto"/>
        <w:tabs>
          <w:tab w:leader="none" w:pos="160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5"/>
          <w:szCs w:val="15"/>
          <w:color w:val="auto"/>
        </w:rPr>
      </w:pPr>
    </w:p>
    <w:p>
      <w:pPr>
        <w:jc w:val="both"/>
        <w:ind w:left="1600" w:hanging="686"/>
        <w:spacing w:after="0" w:line="243" w:lineRule="auto"/>
        <w:tabs>
          <w:tab w:leader="none" w:pos="160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1" w:lineRule="exact"/>
        <w:rPr>
          <w:rFonts w:ascii="Arial" w:cs="Arial" w:eastAsia="Arial" w:hAnsi="Arial"/>
          <w:sz w:val="15"/>
          <w:szCs w:val="15"/>
          <w:color w:val="auto"/>
        </w:rPr>
      </w:pPr>
    </w:p>
    <w:p>
      <w:pPr>
        <w:jc w:val="both"/>
        <w:ind w:left="1600" w:hanging="686"/>
        <w:spacing w:after="0" w:line="245" w:lineRule="auto"/>
        <w:tabs>
          <w:tab w:leader="none" w:pos="160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5"/>
          <w:szCs w:val="15"/>
          <w:color w:val="auto"/>
        </w:rPr>
      </w:pPr>
    </w:p>
    <w:p>
      <w:pPr>
        <w:jc w:val="both"/>
        <w:ind w:left="1600" w:hanging="686"/>
        <w:spacing w:after="0" w:line="242" w:lineRule="auto"/>
        <w:tabs>
          <w:tab w:leader="none" w:pos="160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5"/>
          <w:szCs w:val="15"/>
          <w:color w:val="auto"/>
        </w:rPr>
      </w:pPr>
    </w:p>
    <w:p>
      <w:pPr>
        <w:jc w:val="both"/>
        <w:ind w:left="920" w:hanging="736"/>
        <w:spacing w:after="0" w:line="245" w:lineRule="auto"/>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5"/>
          <w:szCs w:val="15"/>
          <w:color w:val="auto"/>
        </w:rPr>
      </w:pPr>
    </w:p>
    <w:p>
      <w:pPr>
        <w:jc w:val="both"/>
        <w:ind w:left="1600" w:hanging="686"/>
        <w:spacing w:after="0" w:line="245" w:lineRule="auto"/>
        <w:tabs>
          <w:tab w:leader="none" w:pos="1600" w:val="left"/>
        </w:tabs>
        <w:numPr>
          <w:ilvl w:val="1"/>
          <w:numId w:val="1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5"/>
          <w:szCs w:val="15"/>
          <w:color w:val="auto"/>
        </w:rPr>
      </w:pPr>
    </w:p>
    <w:p>
      <w:pPr>
        <w:ind w:left="1600" w:hanging="686"/>
        <w:spacing w:after="0" w:line="254" w:lineRule="auto"/>
        <w:tabs>
          <w:tab w:leader="none" w:pos="1600" w:val="left"/>
        </w:tabs>
        <w:numPr>
          <w:ilvl w:val="1"/>
          <w:numId w:val="1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September 12, 2018</w:t>
      </w:r>
    </w:p>
    <w:p>
      <w:pPr>
        <w:spacing w:after="0" w:line="59" w:lineRule="exact"/>
        <w:rPr>
          <w:sz w:val="20"/>
          <w:szCs w:val="20"/>
          <w:color w:val="auto"/>
        </w:rPr>
      </w:pPr>
    </w:p>
    <w:p>
      <w:pPr>
        <w:ind w:left="6840"/>
        <w:spacing w:after="0"/>
        <w:rPr>
          <w:sz w:val="20"/>
          <w:szCs w:val="20"/>
          <w:color w:val="auto"/>
        </w:rPr>
      </w:pPr>
      <w:r>
        <w:rPr>
          <w:rFonts w:ascii="Arial" w:cs="Arial" w:eastAsia="Arial" w:hAnsi="Arial"/>
          <w:sz w:val="15"/>
          <w:szCs w:val="15"/>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4341495</wp:posOffset>
            </wp:positionH>
            <wp:positionV relativeFrom="paragraph">
              <wp:posOffset>1905</wp:posOffset>
            </wp:positionV>
            <wp:extent cx="155257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pacing w:after="0" w:line="39" w:lineRule="exact"/>
        <w:rPr>
          <w:sz w:val="20"/>
          <w:szCs w:val="20"/>
          <w:color w:val="auto"/>
        </w:rPr>
      </w:pPr>
    </w:p>
    <w:p>
      <w:pPr>
        <w:ind w:left="6840"/>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568960</wp:posOffset>
            </wp:positionV>
            <wp:extent cx="5817870" cy="48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540"/>
          </w:cols>
          <w:pgMar w:left="1440" w:top="152" w:right="919" w:bottom="1440" w:gutter="0" w:footer="0" w:header="0"/>
        </w:sectPr>
      </w:pPr>
    </w:p>
    <w:bookmarkStart w:id="33" w:name="page34"/>
    <w:bookmarkEnd w:id="33"/>
    <w:p>
      <w:pPr>
        <w:ind w:left="8200"/>
        <w:spacing w:after="0"/>
        <w:rPr>
          <w:sz w:val="20"/>
          <w:szCs w:val="20"/>
          <w:color w:val="auto"/>
        </w:rPr>
      </w:pPr>
      <w:r>
        <w:rPr>
          <w:rFonts w:ascii="Arial" w:cs="Arial" w:eastAsia="Arial" w:hAnsi="Arial"/>
          <w:sz w:val="15"/>
          <w:szCs w:val="15"/>
          <w:b w:val="1"/>
          <w:bCs w:val="1"/>
          <w:color w:val="auto"/>
        </w:rPr>
        <w:t>Exhibit 31.2</w:t>
      </w:r>
    </w:p>
    <w:p>
      <w:pPr>
        <w:spacing w:after="0" w:line="168" w:lineRule="exact"/>
        <w:rPr>
          <w:sz w:val="20"/>
          <w:szCs w:val="20"/>
          <w:color w:val="auto"/>
        </w:rPr>
      </w:pPr>
    </w:p>
    <w:p>
      <w:pPr>
        <w:jc w:val="center"/>
        <w:ind w:right="300"/>
        <w:spacing w:after="0"/>
        <w:rPr>
          <w:sz w:val="20"/>
          <w:szCs w:val="20"/>
          <w:color w:val="auto"/>
        </w:rPr>
      </w:pPr>
      <w:r>
        <w:rPr>
          <w:rFonts w:ascii="Arial" w:cs="Arial" w:eastAsia="Arial" w:hAnsi="Arial"/>
          <w:sz w:val="15"/>
          <w:szCs w:val="15"/>
          <w:b w:val="1"/>
          <w:bCs w:val="1"/>
          <w:color w:val="auto"/>
        </w:rPr>
        <w:t>CERTIFICATION</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 Lauren B. Peters, certify that:</w:t>
      </w:r>
    </w:p>
    <w:p>
      <w:pPr>
        <w:spacing w:after="0" w:line="180" w:lineRule="exact"/>
        <w:rPr>
          <w:sz w:val="20"/>
          <w:szCs w:val="20"/>
          <w:color w:val="auto"/>
        </w:rPr>
      </w:pPr>
    </w:p>
    <w:p>
      <w:pPr>
        <w:ind w:left="880" w:hanging="696"/>
        <w:spacing w:after="0"/>
        <w:tabs>
          <w:tab w:leader="none" w:pos="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Foot Locker, Inc. (the “Registrant”);</w:t>
      </w:r>
    </w:p>
    <w:p>
      <w:pPr>
        <w:spacing w:after="0" w:line="168" w:lineRule="exact"/>
        <w:rPr>
          <w:rFonts w:ascii="Arial" w:cs="Arial" w:eastAsia="Arial" w:hAnsi="Arial"/>
          <w:sz w:val="15"/>
          <w:szCs w:val="15"/>
          <w:color w:val="auto"/>
        </w:rPr>
      </w:pPr>
    </w:p>
    <w:p>
      <w:pPr>
        <w:jc w:val="both"/>
        <w:ind w:left="920" w:hanging="736"/>
        <w:spacing w:after="0" w:line="245" w:lineRule="auto"/>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Arial" w:cs="Arial" w:eastAsia="Arial" w:hAnsi="Arial"/>
          <w:sz w:val="15"/>
          <w:szCs w:val="15"/>
          <w:color w:val="auto"/>
        </w:rPr>
      </w:pPr>
    </w:p>
    <w:p>
      <w:pPr>
        <w:jc w:val="both"/>
        <w:ind w:left="920" w:hanging="736"/>
        <w:spacing w:after="0" w:line="245" w:lineRule="auto"/>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5"/>
          <w:szCs w:val="15"/>
          <w:color w:val="auto"/>
        </w:rPr>
      </w:pPr>
    </w:p>
    <w:p>
      <w:pPr>
        <w:jc w:val="both"/>
        <w:ind w:left="920" w:hanging="736"/>
        <w:spacing w:after="0" w:line="245" w:lineRule="auto"/>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4" w:lineRule="exact"/>
        <w:rPr>
          <w:rFonts w:ascii="Arial" w:cs="Arial" w:eastAsia="Arial" w:hAnsi="Arial"/>
          <w:sz w:val="15"/>
          <w:szCs w:val="15"/>
          <w:color w:val="auto"/>
        </w:rPr>
      </w:pPr>
    </w:p>
    <w:p>
      <w:pPr>
        <w:jc w:val="both"/>
        <w:ind w:left="1600" w:hanging="686"/>
        <w:spacing w:after="0" w:line="242" w:lineRule="auto"/>
        <w:tabs>
          <w:tab w:leader="none" w:pos="16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5"/>
          <w:szCs w:val="15"/>
          <w:color w:val="auto"/>
        </w:rPr>
      </w:pPr>
    </w:p>
    <w:p>
      <w:pPr>
        <w:jc w:val="both"/>
        <w:ind w:left="1600" w:hanging="686"/>
        <w:spacing w:after="0" w:line="242" w:lineRule="auto"/>
        <w:tabs>
          <w:tab w:leader="none" w:pos="16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5"/>
          <w:szCs w:val="15"/>
          <w:color w:val="auto"/>
        </w:rPr>
      </w:pPr>
    </w:p>
    <w:p>
      <w:pPr>
        <w:jc w:val="both"/>
        <w:ind w:left="1600" w:hanging="686"/>
        <w:spacing w:after="0" w:line="245" w:lineRule="auto"/>
        <w:tabs>
          <w:tab w:leader="none" w:pos="16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5"/>
          <w:szCs w:val="15"/>
          <w:color w:val="auto"/>
        </w:rPr>
      </w:pPr>
    </w:p>
    <w:p>
      <w:pPr>
        <w:jc w:val="both"/>
        <w:ind w:left="1600" w:hanging="686"/>
        <w:spacing w:after="0" w:line="242" w:lineRule="auto"/>
        <w:tabs>
          <w:tab w:leader="none" w:pos="16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5"/>
          <w:szCs w:val="15"/>
          <w:color w:val="auto"/>
        </w:rPr>
      </w:pPr>
    </w:p>
    <w:p>
      <w:pPr>
        <w:jc w:val="both"/>
        <w:ind w:left="920" w:hanging="736"/>
        <w:spacing w:after="0" w:line="245" w:lineRule="auto"/>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5"/>
          <w:szCs w:val="15"/>
          <w:color w:val="auto"/>
        </w:rPr>
      </w:pPr>
    </w:p>
    <w:p>
      <w:pPr>
        <w:jc w:val="both"/>
        <w:ind w:left="1600" w:hanging="686"/>
        <w:spacing w:after="0" w:line="245" w:lineRule="auto"/>
        <w:tabs>
          <w:tab w:leader="none" w:pos="16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5"/>
          <w:szCs w:val="15"/>
          <w:color w:val="auto"/>
        </w:rPr>
      </w:pPr>
    </w:p>
    <w:p>
      <w:pPr>
        <w:ind w:left="1600" w:hanging="686"/>
        <w:spacing w:after="0" w:line="254" w:lineRule="auto"/>
        <w:tabs>
          <w:tab w:leader="none" w:pos="16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September 12, 2018</w:t>
      </w:r>
    </w:p>
    <w:p>
      <w:pPr>
        <w:spacing w:after="0" w:line="59"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1905</wp:posOffset>
            </wp:positionV>
            <wp:extent cx="14986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98600" cy="7620"/>
                    </a:xfrm>
                    <a:prstGeom prst="rect">
                      <a:avLst/>
                    </a:prstGeom>
                    <a:noFill/>
                  </pic:spPr>
                </pic:pic>
              </a:graphicData>
            </a:graphic>
          </wp:anchor>
        </w:drawing>
      </w:r>
    </w:p>
    <w:p>
      <w:pPr>
        <w:spacing w:after="0" w:line="39"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220980</wp:posOffset>
            </wp:positionV>
            <wp:extent cx="5817870" cy="48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320"/>
          </w:cols>
          <w:pgMar w:left="1440" w:top="177" w:right="1139" w:bottom="1440" w:gutter="0" w:footer="0" w:header="0"/>
        </w:sectPr>
      </w:pPr>
    </w:p>
    <w:bookmarkStart w:id="34" w:name="page35"/>
    <w:bookmarkEnd w:id="34"/>
    <w:p>
      <w:pPr>
        <w:jc w:val="right"/>
        <w:spacing w:after="0"/>
        <w:rPr>
          <w:sz w:val="20"/>
          <w:szCs w:val="20"/>
          <w:color w:val="auto"/>
        </w:rPr>
      </w:pPr>
      <w:r>
        <w:rPr>
          <w:rFonts w:ascii="Arial" w:cs="Arial" w:eastAsia="Arial" w:hAnsi="Arial"/>
          <w:sz w:val="15"/>
          <w:szCs w:val="15"/>
          <w:b w:val="1"/>
          <w:bCs w:val="1"/>
          <w:color w:val="auto"/>
        </w:rPr>
        <w:t>Exhibit 32</w:t>
      </w:r>
    </w:p>
    <w:p>
      <w:pPr>
        <w:spacing w:after="0" w:line="168"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FOOT LOCKER, INC.</w:t>
      </w:r>
    </w:p>
    <w:p>
      <w:pPr>
        <w:spacing w:after="0" w:line="168"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jc w:val="center"/>
        <w:spacing w:after="0" w:line="236" w:lineRule="auto"/>
        <w:rPr>
          <w:sz w:val="20"/>
          <w:szCs w:val="20"/>
          <w:color w:val="auto"/>
        </w:rPr>
      </w:pPr>
      <w:r>
        <w:rPr>
          <w:rFonts w:ascii="Arial" w:cs="Arial" w:eastAsia="Arial" w:hAnsi="Arial"/>
          <w:sz w:val="15"/>
          <w:szCs w:val="15"/>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connection with the Quarterly Report on Form 10-Q of Foot Locker, Inc. (the “Registrant”) for the quarterly period ended August 4, 2018,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68" w:lineRule="exact"/>
        <w:rPr>
          <w:sz w:val="20"/>
          <w:szCs w:val="20"/>
          <w:color w:val="auto"/>
        </w:rPr>
      </w:pPr>
    </w:p>
    <w:p>
      <w:pPr>
        <w:ind w:left="600" w:hanging="363"/>
        <w:spacing w:after="0"/>
        <w:tabs>
          <w:tab w:leader="none" w:pos="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387" w:lineRule="exact"/>
        <w:rPr>
          <w:rFonts w:ascii="Arial" w:cs="Arial" w:eastAsia="Arial" w:hAnsi="Arial"/>
          <w:sz w:val="15"/>
          <w:szCs w:val="15"/>
          <w:color w:val="auto"/>
        </w:rPr>
      </w:pPr>
    </w:p>
    <w:p>
      <w:pPr>
        <w:ind w:left="600" w:hanging="363"/>
        <w:spacing w:after="0" w:line="254" w:lineRule="auto"/>
        <w:tabs>
          <w:tab w:leader="none" w:pos="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Dated: September 12, 2018</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1905</wp:posOffset>
            </wp:positionV>
            <wp:extent cx="152146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Richard A. Johnson</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Chief Executive Officer</w:t>
      </w:r>
    </w:p>
    <w:p>
      <w:pPr>
        <w:spacing w:after="0" w:line="265"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1905</wp:posOffset>
            </wp:positionV>
            <wp:extent cx="15214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Lauren B. Peters</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Chief Financial Officer</w:t>
      </w:r>
    </w:p>
    <w:p>
      <w:pPr>
        <w:spacing w:after="0" w:line="33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568325</wp:posOffset>
            </wp:positionV>
            <wp:extent cx="5817870" cy="48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89" w:right="1399" w:bottom="1440" w:gutter="0" w:footer="0" w:header="0"/>
        </w:sectPr>
      </w:pPr>
    </w:p>
    <w:bookmarkStart w:id="35" w:name="page36"/>
    <w:bookmarkEnd w:id="35"/>
    <w:p>
      <w:pPr>
        <w:jc w:val="right"/>
        <w:spacing w:after="0"/>
        <w:rPr>
          <w:sz w:val="20"/>
          <w:szCs w:val="20"/>
          <w:color w:val="auto"/>
        </w:rPr>
      </w:pPr>
      <w:r>
        <w:rPr>
          <w:rFonts w:ascii="Arial" w:cs="Arial" w:eastAsia="Arial" w:hAnsi="Arial"/>
          <w:sz w:val="15"/>
          <w:szCs w:val="15"/>
          <w:b w:val="1"/>
          <w:bCs w:val="1"/>
          <w:color w:val="auto"/>
        </w:rPr>
        <w:t>Exhibit 99</w:t>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and Shareholders</w:t>
      </w:r>
    </w:p>
    <w:p>
      <w:pPr>
        <w:spacing w:after="0"/>
        <w:rPr>
          <w:sz w:val="20"/>
          <w:szCs w:val="20"/>
          <w:color w:val="auto"/>
        </w:rPr>
      </w:pPr>
      <w:r>
        <w:rPr>
          <w:rFonts w:ascii="Arial" w:cs="Arial" w:eastAsia="Arial" w:hAnsi="Arial"/>
          <w:sz w:val="15"/>
          <w:szCs w:val="15"/>
          <w:color w:val="auto"/>
        </w:rPr>
        <w:t>Foot Locker, Inc.:</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auto"/>
        </w:rPr>
        <w:t>Results of Review of Interim Financial Information</w:t>
      </w:r>
    </w:p>
    <w:p>
      <w:pPr>
        <w:spacing w:after="0" w:line="59" w:lineRule="exact"/>
        <w:rPr>
          <w:sz w:val="20"/>
          <w:szCs w:val="20"/>
          <w:color w:val="auto"/>
        </w:rPr>
      </w:pPr>
    </w:p>
    <w:p>
      <w:pPr>
        <w:jc w:val="both"/>
        <w:spacing w:after="0" w:line="212" w:lineRule="auto"/>
        <w:rPr>
          <w:sz w:val="20"/>
          <w:szCs w:val="20"/>
          <w:color w:val="auto"/>
        </w:rPr>
      </w:pPr>
      <w:r>
        <w:rPr>
          <w:rFonts w:ascii="Arial" w:cs="Arial" w:eastAsia="Arial" w:hAnsi="Arial"/>
          <w:sz w:val="15"/>
          <w:szCs w:val="15"/>
          <w:color w:val="auto"/>
        </w:rPr>
        <w:t>We have reviewed the condensed consolidated balance sheets of Foot Locker, Inc. and subsidiaries (the Company) as of August 4, 2018 and July 29, 2017, the related condensed consolidated statements of operations and comprehensive income for the thirteen and twenty-six week periods ended August 4, 2018 and July 29, 2017, the related condensed consolidated statements of cash flows for the twenty-six week periods ended August 4, 2018 and July 29, 2017,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20" w:lineRule="exact"/>
        <w:rPr>
          <w:sz w:val="20"/>
          <w:szCs w:val="20"/>
          <w:color w:val="auto"/>
        </w:rPr>
      </w:pPr>
    </w:p>
    <w:p>
      <w:pPr>
        <w:jc w:val="both"/>
        <w:spacing w:after="0" w:line="212" w:lineRule="auto"/>
        <w:rPr>
          <w:sz w:val="20"/>
          <w:szCs w:val="20"/>
          <w:color w:val="auto"/>
        </w:rPr>
      </w:pPr>
      <w:r>
        <w:rPr>
          <w:rFonts w:ascii="Arial" w:cs="Arial" w:eastAsia="Arial" w:hAnsi="Arial"/>
          <w:sz w:val="15"/>
          <w:szCs w:val="15"/>
          <w:color w:val="auto"/>
        </w:rPr>
        <w:t>We have previously audited, in accordance with the standards of the Public Company Accounting Oversight Board (United States) (PCAOB), the consolidated balance sheet of the Company as of February 3, 2018, and the related consolidated statements of operations, comprehensive income, shareholders’ equity, and cash flows for the year then ended (not presented herein); and in our report dated March 29, 2018, we expressed an unqualified opinion on those consolidated financial statements. In our opinion, the information set forth in the accompanying condensed consolidated balance sheet as of February 3, 2018, is fairly stated, in all material respects, in relation to the consolidated balance sheet from which it has been derived.</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Basis for Review Results</w:t>
      </w:r>
    </w:p>
    <w:p>
      <w:pPr>
        <w:spacing w:after="0" w:line="59" w:lineRule="exact"/>
        <w:rPr>
          <w:sz w:val="20"/>
          <w:szCs w:val="20"/>
          <w:color w:val="auto"/>
        </w:rPr>
      </w:pPr>
    </w:p>
    <w:p>
      <w:pPr>
        <w:jc w:val="both"/>
        <w:spacing w:after="0" w:line="221" w:lineRule="auto"/>
        <w:rPr>
          <w:sz w:val="20"/>
          <w:szCs w:val="20"/>
          <w:color w:val="auto"/>
        </w:rPr>
      </w:pPr>
      <w:r>
        <w:rPr>
          <w:rFonts w:ascii="Arial" w:cs="Arial" w:eastAsia="Arial" w:hAnsi="Arial"/>
          <w:sz w:val="15"/>
          <w:szCs w:val="15"/>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/s/ KPMG LLP</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September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5817870" cy="48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sectPr>
      <w:pgSz w:w="11900" w:h="16838" w:orient="portrait"/>
      <w:cols w:equalWidth="0" w:num="1">
        <w:col w:w="9100"/>
      </w:cols>
      <w:pgMar w:left="1400" w:top="140"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lvl w:ilvl="1">
      <w:lvlJc w:val="left"/>
      <w:lvlText w:val="(%2)"/>
      <w:numFmt w:val="decimal"/>
      <w:start w:val="1"/>
    </w:lvl>
  </w:abstractNum>
  <w:abstractNum w:abstractNumId="4">
    <w:nsid w:val="216231B"/>
    <w:multiLevelType w:val="hybridMultilevel"/>
    <w:lvl w:ilvl="0">
      <w:lvlJc w:val="left"/>
      <w:lvlText w:val="%1."/>
      <w:numFmt w:val="decimal"/>
      <w:start w:val="4"/>
    </w:lvl>
    <w:lvl w:ilvl="1">
      <w:lvlJc w:val="left"/>
      <w:lvlText w:val="%2"/>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2019-12-28T19:31:05Z</dcterms:created>
  <dcterms:modified xsi:type="dcterms:W3CDTF">2019-12-28T19:31:05Z</dcterms:modified>
</cp:coreProperties>
</file>