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5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311" w:lineRule="exact"/>
        <w:rPr>
          <w:sz w:val="24"/>
          <w:szCs w:val="24"/>
          <w:color w:val="auto"/>
        </w:rPr>
      </w:pPr>
    </w:p>
    <w:p>
      <w:pPr>
        <w:ind w:left="700" w:hanging="409"/>
        <w:spacing w:after="0"/>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For the quarterly period ended: July 30, 2022</w:t>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OR</w:t>
      </w:r>
    </w:p>
    <w:p>
      <w:pPr>
        <w:spacing w:after="0" w:line="339" w:lineRule="exact"/>
        <w:rPr>
          <w:sz w:val="24"/>
          <w:szCs w:val="24"/>
          <w:color w:val="auto"/>
        </w:rPr>
      </w:pPr>
    </w:p>
    <w:p>
      <w:pPr>
        <w:ind w:left="3280" w:right="2000" w:hanging="2989"/>
        <w:spacing w:after="0" w:line="432" w:lineRule="auto"/>
        <w:tabs>
          <w:tab w:leader="none" w:pos="702"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2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255270</wp:posOffset>
            </wp:positionV>
            <wp:extent cx="2425700" cy="28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28257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109220</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109220</wp:posOffset>
            </wp:positionV>
            <wp:extent cx="1594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sectPr>
      </w:pPr>
    </w:p>
    <w:p>
      <w:pPr>
        <w:spacing w:after="0" w:line="200" w:lineRule="exact"/>
        <w:rPr>
          <w:sz w:val="24"/>
          <w:szCs w:val="24"/>
          <w:color w:val="auto"/>
        </w:rPr>
      </w:pPr>
    </w:p>
    <w:p>
      <w:pPr>
        <w:spacing w:after="0" w:line="368"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15"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15"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3" w:lineRule="exact"/>
        <w:rPr>
          <w:sz w:val="24"/>
          <w:szCs w:val="24"/>
          <w:color w:val="auto"/>
        </w:rPr>
      </w:pPr>
    </w:p>
    <w:p>
      <w:pPr>
        <w:sectPr>
          <w:pgSz w:w="11900" w:h="16838" w:orient="portrait"/>
          <w:cols w:equalWidth="0" w:num="2">
            <w:col w:w="5820" w:space="720"/>
            <w:col w:w="3540"/>
          </w:cols>
          <w:pgMar w:left="980" w:top="661"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25" w:lineRule="exact"/>
        <w:rPr>
          <w:sz w:val="24"/>
          <w:szCs w:val="24"/>
          <w:color w:val="auto"/>
        </w:rPr>
      </w:pPr>
    </w:p>
    <w:tbl>
      <w:tblPr>
        <w:tblLayout w:type="fixed"/>
        <w:tblInd w:w="1350" w:type="dxa"/>
        <w:tblCellMar>
          <w:top w:w="0" w:type="dxa"/>
          <w:left w:w="0" w:type="dxa"/>
          <w:bottom w:w="0" w:type="dxa"/>
          <w:right w:w="0" w:type="dxa"/>
        </w:tblCellMar>
      </w:tblPr>
      <w:tr>
        <w:trPr>
          <w:trHeight w:val="166"/>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6"/>
        </w:trPr>
        <w:tc>
          <w:tcPr>
            <w:tcW w:w="3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23"/>
        </w:trPr>
        <w:tc>
          <w:tcPr>
            <w:tcW w:w="3060" w:type="dxa"/>
            <w:vAlign w:val="bottom"/>
            <w:tcBorders>
              <w:left w:val="single" w:sz="8" w:color="auto"/>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tcPr>
          <w:p>
            <w:pPr>
              <w:spacing w:after="0"/>
              <w:rPr>
                <w:sz w:val="10"/>
                <w:szCs w:val="10"/>
                <w:color w:val="auto"/>
              </w:rPr>
            </w:pPr>
          </w:p>
        </w:tc>
      </w:tr>
      <w:tr>
        <w:trPr>
          <w:trHeight w:val="184"/>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34"/>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rPr>
                <w:sz w:val="11"/>
                <w:szCs w:val="11"/>
                <w:color w:val="auto"/>
              </w:rPr>
            </w:pPr>
          </w:p>
        </w:tc>
      </w:tr>
    </w:tbl>
    <w:p>
      <w:pPr>
        <w:spacing w:after="0" w:line="153" w:lineRule="exact"/>
        <w:rPr>
          <w:sz w:val="24"/>
          <w:szCs w:val="24"/>
          <w:color w:val="auto"/>
        </w:rPr>
      </w:pPr>
    </w:p>
    <w:p>
      <w:pPr>
        <w:jc w:val="both"/>
        <w:ind w:left="18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left="1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left="18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36" w:lineRule="exact"/>
        <w:rPr>
          <w:sz w:val="24"/>
          <w:szCs w:val="24"/>
          <w:color w:val="auto"/>
        </w:rPr>
      </w:pPr>
    </w:p>
    <w:p>
      <w:pPr>
        <w:ind w:left="18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180" w:right="1880" w:firstLine="6"/>
        <w:spacing w:after="0" w:line="24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August 26, 2022: 93,301,646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434340</wp:posOffset>
            </wp:positionV>
            <wp:extent cx="63950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6395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39508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Page</w:t>
            </w:r>
          </w:p>
        </w:tc>
      </w:tr>
      <w:tr>
        <w:trPr>
          <w:trHeight w:val="169"/>
        </w:trPr>
        <w:tc>
          <w:tcPr>
            <w:tcW w:w="760" w:type="dxa"/>
            <w:vAlign w:val="bottom"/>
            <w:tcBorders>
              <w:top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color w:val="0000EE"/>
              </w:rPr>
              <w:t>PART I</w:t>
            </w:r>
          </w:p>
        </w:tc>
        <w:tc>
          <w:tcPr>
            <w:tcW w:w="7260" w:type="dxa"/>
            <w:vAlign w:val="bottom"/>
            <w:tcBorders>
              <w:top w:val="single" w:sz="8" w:color="auto"/>
            </w:tcBorders>
            <w:gridSpan w:val="22"/>
            <w:shd w:val="clear" w:color="auto" w:fill="CCEEFF"/>
          </w:tcPr>
          <w:p>
            <w:pPr>
              <w:ind w:left="120"/>
              <w:spacing w:after="0" w:line="169" w:lineRule="exact"/>
              <w:rPr>
                <w:sz w:val="20"/>
                <w:szCs w:val="20"/>
                <w:color w:val="auto"/>
              </w:rPr>
            </w:pPr>
            <w:r>
              <w:rPr>
                <w:rFonts w:ascii="Arial" w:cs="Arial" w:eastAsia="Arial" w:hAnsi="Arial"/>
                <w:sz w:val="18"/>
                <w:szCs w:val="18"/>
                <w:color w:val="0000EE"/>
              </w:rPr>
              <w:t>FINANCIAL INFORMATION</w:t>
            </w:r>
          </w:p>
        </w:tc>
        <w:tc>
          <w:tcPr>
            <w:tcW w:w="800" w:type="dxa"/>
            <w:vAlign w:val="bottom"/>
            <w:tcBorders>
              <w:top w:val="single" w:sz="8" w:color="auto"/>
            </w:tcBorders>
            <w:shd w:val="clear" w:color="auto" w:fill="CCEEFF"/>
          </w:tcPr>
          <w:p>
            <w:pPr>
              <w:jc w:val="center"/>
              <w:ind w:left="50"/>
              <w:spacing w:after="0" w:line="169"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4"/>
                <w:szCs w:val="14"/>
                <w:color w:val="auto"/>
              </w:rPr>
            </w:pPr>
          </w:p>
        </w:tc>
      </w:tr>
      <w:tr>
        <w:trPr>
          <w:trHeight w:val="48"/>
        </w:trPr>
        <w:tc>
          <w:tcPr>
            <w:tcW w:w="5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40" w:type="dxa"/>
            <w:vAlign w:val="bottom"/>
            <w:gridSpan w:val="21"/>
          </w:tcPr>
          <w:p>
            <w:pPr>
              <w:spacing w:after="0" w:line="176" w:lineRule="exact"/>
              <w:rPr>
                <w:sz w:val="20"/>
                <w:szCs w:val="20"/>
                <w:color w:val="auto"/>
              </w:rPr>
            </w:pPr>
            <w:r>
              <w:rPr>
                <w:rFonts w:ascii="Arial" w:cs="Arial" w:eastAsia="Arial" w:hAnsi="Arial"/>
                <w:sz w:val="18"/>
                <w:szCs w:val="18"/>
                <w:color w:val="0000EE"/>
              </w:rPr>
              <w:t xml:space="preserve">Item 1.  Financial Statements </w:t>
            </w:r>
            <w:r>
              <w:rPr>
                <w:rFonts w:ascii="Arial" w:cs="Arial" w:eastAsia="Arial" w:hAnsi="Arial"/>
                <w:sz w:val="18"/>
                <w:szCs w:val="18"/>
                <w:color w:val="000000"/>
              </w:rPr>
              <w:t>(Unaudited)</w:t>
            </w:r>
          </w:p>
        </w:tc>
        <w:tc>
          <w:tcPr>
            <w:tcW w:w="8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3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 xml:space="preserve">Condensed Consolidated Balance Sheets </w:t>
            </w:r>
            <w:r>
              <w:rPr>
                <w:rFonts w:ascii="Arial" w:cs="Arial" w:eastAsia="Arial" w:hAnsi="Arial"/>
                <w:sz w:val="18"/>
                <w:szCs w:val="18"/>
                <w:color w:val="000000"/>
              </w:rPr>
              <w:t>(Unaudited)</w:t>
            </w:r>
          </w:p>
        </w:tc>
        <w:tc>
          <w:tcPr>
            <w:tcW w:w="8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16"/>
          </w:tcPr>
          <w:p>
            <w:pPr>
              <w:spacing w:after="0" w:line="176" w:lineRule="exact"/>
              <w:rPr>
                <w:sz w:val="20"/>
                <w:szCs w:val="20"/>
                <w:color w:val="auto"/>
              </w:rPr>
            </w:pPr>
            <w:r>
              <w:rPr>
                <w:rFonts w:ascii="Arial" w:cs="Arial" w:eastAsia="Arial" w:hAnsi="Arial"/>
                <w:sz w:val="18"/>
                <w:szCs w:val="18"/>
                <w:color w:val="0000EE"/>
              </w:rPr>
              <w:t xml:space="preserve">Condensed Consolidated Statements of Operations </w:t>
            </w:r>
            <w:r>
              <w:rPr>
                <w:rFonts w:ascii="Arial" w:cs="Arial" w:eastAsia="Arial" w:hAnsi="Arial"/>
                <w:sz w:val="18"/>
                <w:szCs w:val="18"/>
                <w:color w:val="000000"/>
              </w:rPr>
              <w:t>(Unaudited)</w:t>
            </w:r>
          </w:p>
        </w:tc>
        <w:tc>
          <w:tcPr>
            <w:tcW w:w="8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3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 xml:space="preserve">Condensed Consolidated Statements of Comprehensive Income </w:t>
            </w:r>
            <w:r>
              <w:rPr>
                <w:rFonts w:ascii="Arial" w:cs="Arial" w:eastAsia="Arial" w:hAnsi="Arial"/>
                <w:sz w:val="18"/>
                <w:szCs w:val="18"/>
                <w:color w:val="000000"/>
              </w:rPr>
              <w:t>(Unaudited)</w:t>
            </w:r>
          </w:p>
        </w:tc>
        <w:tc>
          <w:tcPr>
            <w:tcW w:w="8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16"/>
          </w:tcPr>
          <w:p>
            <w:pPr>
              <w:spacing w:after="0" w:line="176" w:lineRule="exact"/>
              <w:rPr>
                <w:sz w:val="20"/>
                <w:szCs w:val="20"/>
                <w:color w:val="auto"/>
              </w:rPr>
            </w:pPr>
            <w:r>
              <w:rPr>
                <w:rFonts w:ascii="Arial" w:cs="Arial" w:eastAsia="Arial" w:hAnsi="Arial"/>
                <w:sz w:val="18"/>
                <w:szCs w:val="18"/>
                <w:color w:val="0000EE"/>
              </w:rPr>
              <w:t>Condensed Consolidated Statements of Changes in Shareholders’ Equity</w:t>
            </w:r>
          </w:p>
        </w:tc>
        <w:tc>
          <w:tcPr>
            <w:tcW w:w="8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5"/>
                <w:szCs w:val="15"/>
                <w:color w:val="auto"/>
              </w:rPr>
            </w:pPr>
          </w:p>
        </w:tc>
      </w:tr>
      <w:tr>
        <w:trPr>
          <w:trHeight w:val="241"/>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tcBorders>
              <w:top w:val="single" w:sz="8" w:color="0000EE"/>
            </w:tcBorders>
            <w:gridSpan w:val="14"/>
          </w:tcPr>
          <w:p>
            <w:pPr>
              <w:ind w:left="16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380" w:type="dxa"/>
            <w:vAlign w:val="bottom"/>
            <w:gridSpan w:val="16"/>
            <w:shd w:val="clear" w:color="auto" w:fill="CCEEFF"/>
          </w:tcPr>
          <w:p>
            <w:pPr>
              <w:spacing w:after="0" w:line="184" w:lineRule="exact"/>
              <w:rPr>
                <w:sz w:val="20"/>
                <w:szCs w:val="20"/>
                <w:color w:val="auto"/>
              </w:rPr>
            </w:pPr>
            <w:r>
              <w:rPr>
                <w:rFonts w:ascii="Arial" w:cs="Arial" w:eastAsia="Arial" w:hAnsi="Arial"/>
                <w:sz w:val="18"/>
                <w:szCs w:val="18"/>
                <w:color w:val="0000EE"/>
              </w:rPr>
              <w:t xml:space="preserve">Condensed Consolidated Statements of Cash Flows </w:t>
            </w:r>
            <w:r>
              <w:rPr>
                <w:rFonts w:ascii="Arial" w:cs="Arial" w:eastAsia="Arial" w:hAnsi="Arial"/>
                <w:sz w:val="18"/>
                <w:szCs w:val="18"/>
                <w:color w:val="000000"/>
              </w:rPr>
              <w:t>(Unaudited)</w:t>
            </w:r>
          </w:p>
        </w:tc>
        <w:tc>
          <w:tcPr>
            <w:tcW w:w="800" w:type="dxa"/>
            <w:vAlign w:val="bottom"/>
            <w:shd w:val="clear" w:color="auto" w:fill="CCEEFF"/>
          </w:tcPr>
          <w:p>
            <w:pPr>
              <w:jc w:val="center"/>
              <w:ind w:left="50"/>
              <w:spacing w:after="0" w:line="184" w:lineRule="exact"/>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6"/>
                <w:szCs w:val="16"/>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gridSpan w:val="16"/>
          </w:tcPr>
          <w:p>
            <w:pPr>
              <w:spacing w:after="0" w:line="176" w:lineRule="exact"/>
              <w:rPr>
                <w:sz w:val="20"/>
                <w:szCs w:val="20"/>
                <w:color w:val="auto"/>
              </w:rPr>
            </w:pPr>
            <w:r>
              <w:rPr>
                <w:rFonts w:ascii="Arial" w:cs="Arial" w:eastAsia="Arial" w:hAnsi="Arial"/>
                <w:sz w:val="18"/>
                <w:szCs w:val="18"/>
                <w:color w:val="0000EE"/>
              </w:rPr>
              <w:t>Notes to the Unaudited Condensed Consolidated Financial Statements</w:t>
            </w:r>
          </w:p>
        </w:tc>
        <w:tc>
          <w:tcPr>
            <w:tcW w:w="8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5"/>
                <w:szCs w:val="15"/>
                <w:color w:val="auto"/>
              </w:rPr>
            </w:pPr>
          </w:p>
        </w:tc>
      </w:tr>
      <w:tr>
        <w:trPr>
          <w:trHeight w:val="241"/>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40" w:type="dxa"/>
            <w:vAlign w:val="bottom"/>
            <w:tcBorders>
              <w:top w:val="single" w:sz="8" w:color="0000EE"/>
            </w:tcBorders>
            <w:gridSpan w:val="13"/>
          </w:tcPr>
          <w:p>
            <w:pPr>
              <w:ind w:left="160"/>
              <w:spacing w:after="0"/>
              <w:rPr>
                <w:sz w:val="20"/>
                <w:szCs w:val="20"/>
                <w:color w:val="auto"/>
              </w:rPr>
            </w:pPr>
            <w:r>
              <w:rPr>
                <w:rFonts w:ascii="Arial" w:cs="Arial" w:eastAsia="Arial" w:hAnsi="Arial"/>
                <w:sz w:val="18"/>
                <w:szCs w:val="18"/>
                <w:color w:val="auto"/>
              </w:rPr>
              <w:t>(Unaudited)</w:t>
            </w:r>
          </w:p>
        </w:tc>
        <w:tc>
          <w:tcPr>
            <w:tcW w:w="50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60" w:type="dxa"/>
            <w:vAlign w:val="bottom"/>
            <w:gridSpan w:val="22"/>
            <w:shd w:val="clear" w:color="auto" w:fill="CCEEFF"/>
          </w:tcPr>
          <w:p>
            <w:pPr>
              <w:ind w:left="120"/>
              <w:spacing w:after="0" w:line="184" w:lineRule="exact"/>
              <w:rPr>
                <w:sz w:val="20"/>
                <w:szCs w:val="20"/>
                <w:color w:val="auto"/>
              </w:rPr>
            </w:pPr>
            <w:r>
              <w:rPr>
                <w:rFonts w:ascii="Arial" w:cs="Arial" w:eastAsia="Arial" w:hAnsi="Arial"/>
                <w:sz w:val="18"/>
                <w:szCs w:val="18"/>
                <w:color w:val="0000EE"/>
              </w:rPr>
              <w:t>Item 2.  Management’s Discussion and Analysis of Financial Condition and Results of</w:t>
            </w:r>
          </w:p>
        </w:tc>
        <w:tc>
          <w:tcPr>
            <w:tcW w:w="800" w:type="dxa"/>
            <w:vAlign w:val="bottom"/>
            <w:shd w:val="clear" w:color="auto" w:fill="CCEEFF"/>
          </w:tcPr>
          <w:p>
            <w:pPr>
              <w:jc w:val="center"/>
              <w:ind w:left="30"/>
              <w:spacing w:after="0" w:line="184" w:lineRule="exact"/>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6"/>
                <w:szCs w:val="16"/>
                <w:color w:val="auto"/>
              </w:rPr>
            </w:pPr>
          </w:p>
        </w:tc>
      </w:tr>
      <w:tr>
        <w:trPr>
          <w:trHeight w:val="183"/>
        </w:trPr>
        <w:tc>
          <w:tcPr>
            <w:tcW w:w="5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160" w:type="dxa"/>
            <w:vAlign w:val="bottom"/>
            <w:tcBorders>
              <w:top w:val="single" w:sz="8" w:color="0000EE"/>
            </w:tcBorders>
            <w:gridSpan w:val="16"/>
            <w:shd w:val="clear" w:color="auto" w:fill="CCEEFF"/>
          </w:tcPr>
          <w:p>
            <w:pPr>
              <w:spacing w:after="0" w:line="182" w:lineRule="exact"/>
              <w:rPr>
                <w:sz w:val="20"/>
                <w:szCs w:val="20"/>
                <w:color w:val="auto"/>
              </w:rPr>
            </w:pPr>
            <w:r>
              <w:rPr>
                <w:rFonts w:ascii="Arial" w:cs="Arial" w:eastAsia="Arial" w:hAnsi="Arial"/>
                <w:sz w:val="18"/>
                <w:szCs w:val="18"/>
                <w:color w:val="0000EE"/>
              </w:rPr>
              <w:t>Operations</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Item 4.  Controls and Procedures</w:t>
            </w:r>
          </w:p>
        </w:tc>
        <w:tc>
          <w:tcPr>
            <w:tcW w:w="8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9"/>
              </w:rPr>
              <w:t>30</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760" w:type="dxa"/>
            <w:vAlign w:val="bottom"/>
            <w:gridSpan w:val="3"/>
          </w:tcPr>
          <w:p>
            <w:pPr>
              <w:spacing w:after="0" w:line="176" w:lineRule="exact"/>
              <w:rPr>
                <w:sz w:val="20"/>
                <w:szCs w:val="20"/>
                <w:color w:val="auto"/>
              </w:rPr>
            </w:pPr>
            <w:r>
              <w:rPr>
                <w:rFonts w:ascii="Arial" w:cs="Arial" w:eastAsia="Arial" w:hAnsi="Arial"/>
                <w:sz w:val="18"/>
                <w:szCs w:val="18"/>
                <w:color w:val="0000EE"/>
              </w:rPr>
              <w:t>PART II</w:t>
            </w:r>
          </w:p>
        </w:tc>
        <w:tc>
          <w:tcPr>
            <w:tcW w:w="726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OTHER INFORMATION</w:t>
            </w:r>
          </w:p>
        </w:tc>
        <w:tc>
          <w:tcPr>
            <w:tcW w:w="8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8"/>
              </w:rPr>
              <w:t>Item 1.</w:t>
            </w:r>
          </w:p>
        </w:tc>
        <w:tc>
          <w:tcPr>
            <w:tcW w:w="180" w:type="dxa"/>
            <w:vAlign w:val="bottom"/>
            <w:gridSpan w:val="2"/>
            <w:shd w:val="clear" w:color="auto" w:fill="CCEEFF"/>
          </w:tcPr>
          <w:p>
            <w:pPr>
              <w:spacing w:after="0"/>
              <w:rPr>
                <w:sz w:val="15"/>
                <w:szCs w:val="15"/>
                <w:color w:val="auto"/>
              </w:rPr>
            </w:pPr>
          </w:p>
        </w:tc>
        <w:tc>
          <w:tcPr>
            <w:tcW w:w="64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8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40" w:type="dxa"/>
            <w:vAlign w:val="bottom"/>
            <w:gridSpan w:val="21"/>
          </w:tcPr>
          <w:p>
            <w:pPr>
              <w:spacing w:after="0" w:line="176" w:lineRule="exact"/>
              <w:rPr>
                <w:sz w:val="20"/>
                <w:szCs w:val="20"/>
                <w:color w:val="auto"/>
              </w:rPr>
            </w:pPr>
            <w:r>
              <w:rPr>
                <w:rFonts w:ascii="Arial" w:cs="Arial" w:eastAsia="Arial" w:hAnsi="Arial"/>
                <w:sz w:val="18"/>
                <w:szCs w:val="18"/>
                <w:color w:val="0000EE"/>
              </w:rPr>
              <w:t>Item 1A. Risk Factors</w:t>
            </w:r>
          </w:p>
        </w:tc>
        <w:tc>
          <w:tcPr>
            <w:tcW w:w="8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8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9"/>
                <w:szCs w:val="19"/>
                <w:color w:val="auto"/>
              </w:rPr>
            </w:pPr>
          </w:p>
        </w:tc>
      </w:tr>
      <w:tr>
        <w:trPr>
          <w:trHeight w:val="175"/>
        </w:trPr>
        <w:tc>
          <w:tcPr>
            <w:tcW w:w="5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6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98"/>
              </w:rPr>
              <w:t>Item 6.</w:t>
            </w:r>
          </w:p>
        </w:tc>
        <w:tc>
          <w:tcPr>
            <w:tcW w:w="180" w:type="dxa"/>
            <w:vAlign w:val="bottom"/>
            <w:tcBorders>
              <w:top w:val="single" w:sz="8" w:color="CCEEFF"/>
            </w:tcBorders>
            <w:gridSpan w:val="2"/>
          </w:tcPr>
          <w:p>
            <w:pPr>
              <w:spacing w:after="0"/>
              <w:rPr>
                <w:sz w:val="15"/>
                <w:szCs w:val="15"/>
                <w:color w:val="auto"/>
              </w:rPr>
            </w:pPr>
          </w:p>
        </w:tc>
        <w:tc>
          <w:tcPr>
            <w:tcW w:w="486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Exhibits</w:t>
            </w:r>
          </w:p>
        </w:tc>
        <w:tc>
          <w:tcPr>
            <w:tcW w:w="1540" w:type="dxa"/>
            <w:vAlign w:val="bottom"/>
            <w:tcBorders>
              <w:top w:val="single" w:sz="8" w:color="CCEEFF"/>
            </w:tcBorders>
            <w:gridSpan w:val="5"/>
          </w:tcPr>
          <w:p>
            <w:pPr>
              <w:spacing w:after="0"/>
              <w:rPr>
                <w:sz w:val="15"/>
                <w:szCs w:val="15"/>
                <w:color w:val="auto"/>
              </w:rPr>
            </w:pPr>
          </w:p>
        </w:tc>
        <w:tc>
          <w:tcPr>
            <w:tcW w:w="800" w:type="dxa"/>
            <w:vAlign w:val="bottom"/>
            <w:tcBorders>
              <w:top w:val="single" w:sz="8" w:color="CCEEFF"/>
            </w:tcBorders>
          </w:tcPr>
          <w:p>
            <w:pPr>
              <w:jc w:val="center"/>
              <w:ind w:left="30"/>
              <w:spacing w:after="0" w:line="176" w:lineRule="exact"/>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1620" w:type="dxa"/>
            <w:vAlign w:val="bottom"/>
            <w:gridSpan w:val="8"/>
          </w:tcPr>
          <w:p>
            <w:pPr>
              <w:spacing w:after="0" w:line="176" w:lineRule="exact"/>
              <w:rPr>
                <w:sz w:val="20"/>
                <w:szCs w:val="20"/>
                <w:color w:val="auto"/>
              </w:rPr>
            </w:pPr>
            <w:r>
              <w:rPr>
                <w:rFonts w:ascii="Arial" w:cs="Arial" w:eastAsia="Arial" w:hAnsi="Arial"/>
                <w:sz w:val="18"/>
                <w:szCs w:val="18"/>
                <w:color w:val="0000EE"/>
              </w:rPr>
              <w:t>SIGNATURE</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9"/>
              </w:rPr>
              <w:t>33</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215"/>
        </w:trPr>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3" w:lineRule="exact"/>
        <w:rPr>
          <w:sz w:val="20"/>
          <w:szCs w:val="20"/>
          <w:color w:val="auto"/>
        </w:rPr>
      </w:pPr>
    </w:p>
    <w:p>
      <w:pPr>
        <w:jc w:val="both"/>
        <w:ind w:left="80" w:right="99"/>
        <w:spacing w:after="0" w:line="254"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spacing w:after="0" w:line="141" w:lineRule="exact"/>
        <w:rPr>
          <w:sz w:val="20"/>
          <w:szCs w:val="20"/>
          <w:color w:val="auto"/>
        </w:rPr>
      </w:pPr>
    </w:p>
    <w:p>
      <w:pPr>
        <w:jc w:val="both"/>
        <w:ind w:left="80" w:right="99"/>
        <w:spacing w:after="0" w:line="251" w:lineRule="auto"/>
        <w:rPr>
          <w:sz w:val="20"/>
          <w:szCs w:val="20"/>
          <w:color w:val="auto"/>
        </w:rPr>
      </w:pPr>
      <w:r>
        <w:rPr>
          <w:rFonts w:ascii="Arial" w:cs="Arial" w:eastAsia="Arial" w:hAnsi="Arial"/>
          <w:sz w:val="16"/>
          <w:szCs w:val="16"/>
          <w:color w:val="auto"/>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herein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w:t>
      </w:r>
    </w:p>
    <w:p>
      <w:pPr>
        <w:spacing w:after="0" w:line="337" w:lineRule="exact"/>
        <w:rPr>
          <w:sz w:val="20"/>
          <w:szCs w:val="20"/>
          <w:color w:val="auto"/>
        </w:rPr>
      </w:pPr>
    </w:p>
    <w:p>
      <w:pPr>
        <w:jc w:val="both"/>
        <w:ind w:left="80" w:right="99"/>
        <w:spacing w:after="0" w:line="248" w:lineRule="auto"/>
        <w:rPr>
          <w:sz w:val="20"/>
          <w:szCs w:val="20"/>
          <w:color w:val="auto"/>
        </w:rPr>
      </w:pPr>
      <w:r>
        <w:rPr>
          <w:rFonts w:ascii="Arial" w:cs="Arial" w:eastAsia="Arial" w:hAnsi="Arial"/>
          <w:sz w:val="16"/>
          <w:szCs w:val="16"/>
          <w:color w:val="auto"/>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the unavailability of premium products at competitive prices, volume discounts, cooperative advertising, markdown allowances, or ability to cancel orders and return merchandise; our ability to fund our planned capital investments; volatility in the financial markets or other global economic factors; difficulties in appropriately allocating capital and resources among our strategic opportunities; our ability to realize the expected benefits from acquisitions; business opportunities and expansion; investments; expenses; dividends; share repurchases; liquidity; cash flow from operations; use of cash and cash requirements; borrowing capacity; repatriation of cash to the United States; supply chain issues, including delays in merchandise receipts and increasing cost pressure caused by higher oceanic shipping and freight costs; labor shortages; expectations regarding increased wages; inflation; consumer spending levels; the effect of governmental assistance programs; social unrest; continuing risks relating to the effects of the COVID-19 pandemic, including vaccines and safety protocols; expectations regarding increasing global taxes; the effect of increased government regulation and changes in law; the effect of the adverse outcome of any material litigation against us or judicial decisions that affect us or our industry generally; the effects of weather; climate change; ESG risks; increased competition; geopolitical events; the financial effect of accounting regulations and critical accounting policies; credit risk relating to the risk of loss as a result of non-performance by our counterparties; and any other factors set forth in the section entitled “Risk Factors” of our most recent Annual Report on Form 10-K.</w:t>
      </w:r>
    </w:p>
    <w:p>
      <w:pPr>
        <w:spacing w:after="0" w:line="139" w:lineRule="exact"/>
        <w:rPr>
          <w:sz w:val="20"/>
          <w:szCs w:val="20"/>
          <w:color w:val="auto"/>
        </w:rPr>
      </w:pPr>
    </w:p>
    <w:p>
      <w:pPr>
        <w:jc w:val="both"/>
        <w:ind w:left="80" w:right="99"/>
        <w:spacing w:after="0" w:line="251" w:lineRule="auto"/>
        <w:rPr>
          <w:sz w:val="20"/>
          <w:szCs w:val="20"/>
          <w:color w:val="auto"/>
        </w:rPr>
      </w:pPr>
      <w:r>
        <w:rPr>
          <w:rFonts w:ascii="Arial" w:cs="Arial" w:eastAsia="Arial" w:hAnsi="Arial"/>
          <w:sz w:val="16"/>
          <w:szCs w:val="16"/>
          <w:color w:val="auto"/>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 The Company does not undertake to update any particular forward-looking statement included in this document. See “Risk Factors” included in the Annual Report for a discussion of certain risks relating to our business and any investment in our securities. We are including this cautionary note to make applicable, and take advantage of, the safe harbor provisions of the Private Securities Litigation Reform Act of 1995 for forward-looking statements.</w:t>
      </w:r>
    </w:p>
    <w:p>
      <w:pPr>
        <w:spacing w:after="0" w:line="185" w:lineRule="exact"/>
        <w:rPr>
          <w:sz w:val="20"/>
          <w:szCs w:val="20"/>
          <w:color w:val="auto"/>
        </w:rPr>
      </w:pPr>
    </w:p>
    <w:p>
      <w:pPr>
        <w:jc w:val="both"/>
        <w:ind w:left="80" w:right="99"/>
        <w:spacing w:after="0" w:line="253" w:lineRule="auto"/>
        <w:rPr>
          <w:sz w:val="20"/>
          <w:szCs w:val="20"/>
          <w:color w:val="auto"/>
        </w:rPr>
      </w:pPr>
      <w:r>
        <w:rPr>
          <w:rFonts w:ascii="Arial" w:cs="Arial" w:eastAsia="Arial" w:hAnsi="Arial"/>
          <w:sz w:val="16"/>
          <w:szCs w:val="16"/>
          <w:color w:val="auto"/>
        </w:rPr>
        <w:t>Please refer to “Item 1A. Risk Factors” of our most recent Annual Report on Form 10-K filed with the U.S. Securities and Exchange Commission.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741045</wp:posOffset>
            </wp:positionV>
            <wp:extent cx="56064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76200</wp:posOffset>
            </wp:positionV>
            <wp:extent cx="183451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30,</w:t>
            </w:r>
          </w:p>
        </w:tc>
        <w:tc>
          <w:tcPr>
            <w:tcW w:w="32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31,</w:t>
            </w:r>
          </w:p>
        </w:tc>
        <w:tc>
          <w:tcPr>
            <w:tcW w:w="2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January 29,</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Arial" w:cs="Arial" w:eastAsia="Arial" w:hAnsi="Arial"/>
                <w:sz w:val="16"/>
                <w:szCs w:val="16"/>
                <w:color w:val="auto"/>
              </w:rPr>
              <w:t>($ in millions, except share amounts)</w:t>
            </w:r>
          </w:p>
        </w:tc>
        <w:tc>
          <w:tcPr>
            <w:tcW w:w="340" w:type="dxa"/>
            <w:vAlign w:val="bottom"/>
          </w:tcPr>
          <w:p>
            <w:pPr>
              <w:spacing w:after="0"/>
              <w:rPr>
                <w:sz w:val="17"/>
                <w:szCs w:val="17"/>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7"/>
                <w:szCs w:val="17"/>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386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1,845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Merchandise inventories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1,644</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1,081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285</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2,315</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3,178</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899</w:t>
            </w:r>
          </w:p>
        </w:tc>
        <w:tc>
          <w:tcPr>
            <w:tcW w:w="32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743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2,526</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2,569</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74</w:t>
            </w:r>
          </w:p>
        </w:tc>
        <w:tc>
          <w:tcPr>
            <w:tcW w:w="32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773</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4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432</w:t>
            </w:r>
          </w:p>
        </w:tc>
        <w:tc>
          <w:tcPr>
            <w:tcW w:w="32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Minority investments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736</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728</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113</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7,868</w:t>
            </w:r>
          </w:p>
        </w:tc>
        <w:tc>
          <w:tcPr>
            <w:tcW w:w="3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7,585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596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and other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435</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474</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80"/>
              <w:spacing w:after="0"/>
              <w:rPr>
                <w:sz w:val="20"/>
                <w:szCs w:val="20"/>
                <w:color w:val="auto"/>
              </w:rPr>
            </w:pPr>
            <w:r>
              <w:rPr>
                <w:rFonts w:ascii="Arial" w:cs="Arial" w:eastAsia="Arial" w:hAnsi="Arial"/>
                <w:sz w:val="16"/>
                <w:szCs w:val="16"/>
                <w:color w:val="auto"/>
              </w:rPr>
              <w:t>Current portion of debt and obligations under finance leases</w:t>
            </w:r>
          </w:p>
        </w:tc>
        <w:tc>
          <w:tcPr>
            <w:tcW w:w="34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6</w:t>
            </w:r>
          </w:p>
        </w:tc>
        <w:tc>
          <w:tcPr>
            <w:tcW w:w="32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Current portion of lease obligations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548</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566</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1,585</w:t>
            </w:r>
          </w:p>
        </w:tc>
        <w:tc>
          <w:tcPr>
            <w:tcW w:w="320" w:type="dxa"/>
            <w:vAlign w:val="bottom"/>
          </w:tcPr>
          <w:p>
            <w:pPr>
              <w:spacing w:after="0"/>
              <w:rPr>
                <w:sz w:val="15"/>
                <w:szCs w:val="15"/>
                <w:color w:val="auto"/>
              </w:rPr>
            </w:pPr>
          </w:p>
        </w:tc>
        <w:tc>
          <w:tcPr>
            <w:tcW w:w="11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1,681</w:t>
            </w:r>
          </w:p>
        </w:tc>
        <w:tc>
          <w:tcPr>
            <w:tcW w:w="2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and obligations under finance leases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449</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Long-term lease obligations</w:t>
            </w:r>
          </w:p>
        </w:tc>
        <w:tc>
          <w:tcPr>
            <w:tcW w:w="34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2,287</w:t>
            </w:r>
          </w:p>
        </w:tc>
        <w:tc>
          <w:tcPr>
            <w:tcW w:w="32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2,363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330</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190</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5"/>
                <w:szCs w:val="15"/>
                <w:color w:val="auto"/>
              </w:rPr>
            </w:pPr>
          </w:p>
        </w:tc>
        <w:tc>
          <w:tcPr>
            <w:tcW w:w="114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4,651</w:t>
            </w:r>
          </w:p>
        </w:tc>
        <w:tc>
          <w:tcPr>
            <w:tcW w:w="320" w:type="dxa"/>
            <w:vAlign w:val="bottom"/>
          </w:tcPr>
          <w:p>
            <w:pPr>
              <w:spacing w:after="0"/>
              <w:rPr>
                <w:sz w:val="15"/>
                <w:szCs w:val="15"/>
                <w:color w:val="auto"/>
              </w:rPr>
            </w:pPr>
          </w:p>
        </w:tc>
        <w:tc>
          <w:tcPr>
            <w:tcW w:w="11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4,244</w:t>
            </w:r>
          </w:p>
        </w:tc>
        <w:tc>
          <w:tcPr>
            <w:tcW w:w="2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4,892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Shareholders’ equity: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shd w:val="clear" w:color="auto" w:fill="CCEEFF"/>
          </w:tcPr>
          <w:p>
            <w:pPr>
              <w:ind w:left="80"/>
              <w:spacing w:after="0" w:line="175" w:lineRule="exact"/>
              <w:rPr>
                <w:sz w:val="20"/>
                <w:szCs w:val="20"/>
                <w:color w:val="auto"/>
              </w:rPr>
            </w:pPr>
            <w:r>
              <w:rPr>
                <w:rFonts w:ascii="Arial" w:cs="Arial" w:eastAsia="Arial" w:hAnsi="Arial"/>
                <w:sz w:val="16"/>
                <w:szCs w:val="16"/>
                <w:color w:val="auto"/>
              </w:rPr>
              <w:t>Common stock and paid-in capital: 99,319,014; 104,515,702;</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99,070,796 shares issued, respectively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788</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799</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3,051</w:t>
            </w:r>
          </w:p>
        </w:tc>
        <w:tc>
          <w:tcPr>
            <w:tcW w:w="32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2,916</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(416)</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ind w:left="80"/>
              <w:spacing w:after="0" w:line="175" w:lineRule="exact"/>
              <w:rPr>
                <w:sz w:val="20"/>
                <w:szCs w:val="20"/>
                <w:color w:val="auto"/>
              </w:rPr>
            </w:pPr>
            <w:r>
              <w:rPr>
                <w:rFonts w:ascii="Arial" w:cs="Arial" w:eastAsia="Arial" w:hAnsi="Arial"/>
                <w:sz w:val="16"/>
                <w:szCs w:val="16"/>
                <w:color w:val="auto"/>
              </w:rPr>
              <w:t>Less: Treasury stock at cost: 6,018,197; 714,490; and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220"/>
              <w:spacing w:after="0"/>
              <w:rPr>
                <w:sz w:val="20"/>
                <w:szCs w:val="20"/>
                <w:color w:val="auto"/>
              </w:rPr>
            </w:pPr>
            <w:r>
              <w:rPr>
                <w:rFonts w:ascii="Arial" w:cs="Arial" w:eastAsia="Arial" w:hAnsi="Arial"/>
                <w:sz w:val="16"/>
                <w:szCs w:val="16"/>
                <w:color w:val="auto"/>
              </w:rPr>
              <w:t>2,050,000 shares, respectively</w:t>
            </w:r>
          </w:p>
        </w:tc>
        <w:tc>
          <w:tcPr>
            <w:tcW w:w="3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(213)</w:t>
            </w:r>
          </w:p>
        </w:tc>
        <w:tc>
          <w:tcPr>
            <w:tcW w:w="3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Noncontrolling interest</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shareholders' equity</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3,217</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3,341</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7,868</w:t>
            </w:r>
          </w:p>
        </w:tc>
        <w:tc>
          <w:tcPr>
            <w:tcW w:w="3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7,585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8,135</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80" w:right="79" w:hanging="330"/>
        <w:spacing w:after="0" w:line="180" w:lineRule="auto"/>
        <w:tabs>
          <w:tab w:leader="none" w:pos="380" w:val="left"/>
        </w:tabs>
        <w:numPr>
          <w:ilvl w:val="0"/>
          <w:numId w:val="3"/>
        </w:numPr>
        <w:rPr>
          <w:rFonts w:ascii="Arial" w:cs="Arial" w:eastAsia="Arial" w:hAnsi="Arial"/>
          <w:sz w:val="30"/>
          <w:szCs w:val="30"/>
          <w:color w:val="auto"/>
          <w:vertAlign w:val="subscript"/>
        </w:rPr>
      </w:pPr>
      <w:r>
        <w:rPr>
          <w:rFonts w:ascii="Arial" w:cs="Arial" w:eastAsia="Arial" w:hAnsi="Arial"/>
          <w:sz w:val="12"/>
          <w:szCs w:val="12"/>
          <w:color w:val="auto"/>
        </w:rPr>
        <w:t>The balance sheet at January 29, 2022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-358140</wp:posOffset>
            </wp:positionV>
            <wp:extent cx="5648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2022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rPr>
              <w:t>July 30,</w:t>
            </w:r>
          </w:p>
        </w:tc>
        <w:tc>
          <w:tcPr>
            <w:tcW w:w="240" w:type="dxa"/>
            <w:vAlign w:val="bottom"/>
          </w:tcPr>
          <w:p>
            <w:pPr>
              <w:spacing w:after="0"/>
              <w:rPr>
                <w:sz w:val="13"/>
                <w:szCs w:val="13"/>
                <w:color w:val="auto"/>
              </w:rPr>
            </w:pPr>
          </w:p>
        </w:tc>
        <w:tc>
          <w:tcPr>
            <w:tcW w:w="100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3"/>
                <w:szCs w:val="13"/>
                <w:color w:val="auto"/>
              </w:rPr>
            </w:pPr>
          </w:p>
        </w:tc>
        <w:tc>
          <w:tcPr>
            <w:tcW w:w="1020" w:type="dxa"/>
            <w:vAlign w:val="bottom"/>
          </w:tcPr>
          <w:p>
            <w:pPr>
              <w:jc w:val="right"/>
              <w:ind w:right="215"/>
              <w:spacing w:after="0" w:line="160" w:lineRule="exact"/>
              <w:rPr>
                <w:sz w:val="20"/>
                <w:szCs w:val="20"/>
                <w:color w:val="auto"/>
              </w:rPr>
            </w:pPr>
            <w:r>
              <w:rPr>
                <w:rFonts w:ascii="Arial" w:cs="Arial" w:eastAsia="Arial" w:hAnsi="Arial"/>
                <w:sz w:val="17"/>
                <w:szCs w:val="17"/>
                <w:b w:val="1"/>
                <w:bCs w:val="1"/>
                <w:color w:val="auto"/>
              </w:rPr>
              <w:t>July 30,</w:t>
            </w:r>
          </w:p>
        </w:tc>
        <w:tc>
          <w:tcPr>
            <w:tcW w:w="260" w:type="dxa"/>
            <w:vAlign w:val="bottom"/>
          </w:tcPr>
          <w:p>
            <w:pPr>
              <w:spacing w:after="0"/>
              <w:rPr>
                <w:sz w:val="13"/>
                <w:szCs w:val="13"/>
                <w:color w:val="auto"/>
              </w:rPr>
            </w:pPr>
          </w:p>
        </w:tc>
        <w:tc>
          <w:tcPr>
            <w:tcW w:w="900" w:type="dxa"/>
            <w:vAlign w:val="bottom"/>
          </w:tcPr>
          <w:p>
            <w:pPr>
              <w:jc w:val="right"/>
              <w:ind w:right="135"/>
              <w:spacing w:after="0" w:line="160" w:lineRule="exact"/>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300" w:type="dxa"/>
            <w:vAlign w:val="bottom"/>
          </w:tcPr>
          <w:p>
            <w:pPr>
              <w:spacing w:after="0"/>
              <w:rPr>
                <w:sz w:val="18"/>
                <w:szCs w:val="18"/>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8"/>
                <w:szCs w:val="18"/>
                <w:color w:val="auto"/>
              </w:rPr>
            </w:pPr>
          </w:p>
        </w:tc>
        <w:tc>
          <w:tcPr>
            <w:tcW w:w="900" w:type="dxa"/>
            <w:vAlign w:val="bottom"/>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2,065</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2,275</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4,240</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4,428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1,411</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1,477</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2,846</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30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452</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450</w:t>
            </w:r>
          </w:p>
        </w:tc>
        <w:tc>
          <w:tcPr>
            <w:tcW w:w="22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915</w:t>
            </w: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51</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48</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105</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36</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18</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139</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264</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356</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net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(10)</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 (expense), net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325</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(13)</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143</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587</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333</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49</w:t>
            </w:r>
          </w:p>
        </w:tc>
        <w:tc>
          <w:tcPr>
            <w:tcW w:w="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157</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107</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94</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430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226</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Net loss attributable to noncontrolling interests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94</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430</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227</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per share</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1.00</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4.14</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2.39</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30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94.1</w:t>
            </w:r>
          </w:p>
        </w:tc>
        <w:tc>
          <w:tcPr>
            <w:tcW w:w="24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103.8</w:t>
            </w:r>
          </w:p>
        </w:tc>
        <w:tc>
          <w:tcPr>
            <w:tcW w:w="22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95.1</w:t>
            </w: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103.7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per share</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0.99</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4.09</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2.36</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Weighted-average shares outstanding, assuming</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dilution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95.1</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105.2</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96.1</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Second Quarter 2022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7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Pr>
          <w:p>
            <w:pPr>
              <w:spacing w:after="0"/>
              <w:rPr>
                <w:sz w:val="18"/>
                <w:szCs w:val="18"/>
                <w:color w:val="auto"/>
              </w:rPr>
            </w:pPr>
          </w:p>
        </w:tc>
        <w:tc>
          <w:tcPr>
            <w:tcW w:w="2060" w:type="dxa"/>
            <w:vAlign w:val="bottom"/>
            <w:gridSpan w:val="4"/>
          </w:tcPr>
          <w:p>
            <w:pPr>
              <w:ind w:left="40"/>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4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55"/>
              <w:spacing w:after="0" w:line="160" w:lineRule="exact"/>
              <w:rPr>
                <w:sz w:val="20"/>
                <w:szCs w:val="20"/>
                <w:color w:val="auto"/>
              </w:rPr>
            </w:pPr>
            <w:r>
              <w:rPr>
                <w:rFonts w:ascii="Arial" w:cs="Arial" w:eastAsia="Arial" w:hAnsi="Arial"/>
                <w:sz w:val="17"/>
                <w:szCs w:val="17"/>
                <w:b w:val="1"/>
                <w:bCs w:val="1"/>
                <w:color w:val="auto"/>
              </w:rPr>
              <w:t>July 30,</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55"/>
              <w:spacing w:after="0" w:line="160" w:lineRule="exact"/>
              <w:rPr>
                <w:sz w:val="20"/>
                <w:szCs w:val="20"/>
                <w:color w:val="auto"/>
              </w:rPr>
            </w:pPr>
            <w:r>
              <w:rPr>
                <w:rFonts w:ascii="Arial" w:cs="Arial" w:eastAsia="Arial" w:hAnsi="Arial"/>
                <w:sz w:val="17"/>
                <w:szCs w:val="17"/>
                <w:b w:val="1"/>
                <w:bCs w:val="1"/>
                <w:color w:val="auto"/>
              </w:rPr>
              <w:t>July 31,</w:t>
            </w: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40"/>
              <w:spacing w:after="0" w:line="160" w:lineRule="exact"/>
              <w:rPr>
                <w:sz w:val="20"/>
                <w:szCs w:val="20"/>
                <w:color w:val="auto"/>
              </w:rPr>
            </w:pPr>
            <w:r>
              <w:rPr>
                <w:rFonts w:ascii="Arial" w:cs="Arial" w:eastAsia="Arial" w:hAnsi="Arial"/>
                <w:sz w:val="17"/>
                <w:szCs w:val="17"/>
                <w:b w:val="1"/>
                <w:bCs w:val="1"/>
                <w:color w:val="auto"/>
              </w:rPr>
              <w:t>July 30,</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95"/>
              <w:spacing w:after="0" w:line="160" w:lineRule="exact"/>
              <w:rPr>
                <w:sz w:val="20"/>
                <w:szCs w:val="20"/>
                <w:color w:val="auto"/>
              </w:rPr>
            </w:pPr>
            <w:r>
              <w:rPr>
                <w:rFonts w:ascii="Arial" w:cs="Arial" w:eastAsia="Arial" w:hAnsi="Arial"/>
                <w:sz w:val="17"/>
                <w:szCs w:val="17"/>
                <w:b w:val="1"/>
                <w:bCs w:val="1"/>
                <w:color w:val="auto"/>
              </w:rPr>
              <w:t>July 31,</w:t>
            </w:r>
          </w:p>
        </w:tc>
        <w:tc>
          <w:tcPr>
            <w:tcW w:w="20" w:type="dxa"/>
            <w:vAlign w:val="bottom"/>
          </w:tcPr>
          <w:p>
            <w:pPr>
              <w:spacing w:after="0"/>
              <w:rPr>
                <w:sz w:val="13"/>
                <w:szCs w:val="13"/>
                <w:color w:val="auto"/>
              </w:rPr>
            </w:pPr>
          </w:p>
        </w:tc>
      </w:tr>
      <w:tr>
        <w:trPr>
          <w:trHeight w:val="211"/>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8"/>
                <w:szCs w:val="18"/>
                <w:color w:val="auto"/>
              </w:rPr>
            </w:pPr>
          </w:p>
        </w:tc>
      </w:tr>
      <w:tr>
        <w:trPr>
          <w:trHeight w:val="183"/>
        </w:trPr>
        <w:tc>
          <w:tcPr>
            <w:tcW w:w="43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94</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430</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632</w:t>
            </w:r>
          </w:p>
        </w:tc>
        <w:tc>
          <w:tcPr>
            <w:tcW w:w="20" w:type="dxa"/>
            <w:vAlign w:val="bottom"/>
          </w:tcPr>
          <w:p>
            <w:pPr>
              <w:spacing w:after="0"/>
              <w:rPr>
                <w:sz w:val="15"/>
                <w:szCs w:val="15"/>
                <w:color w:val="auto"/>
              </w:rPr>
            </w:pPr>
          </w:p>
        </w:tc>
      </w:tr>
      <w:tr>
        <w:trPr>
          <w:trHeight w:val="189"/>
        </w:trPr>
        <w:tc>
          <w:tcPr>
            <w:tcW w:w="4380" w:type="dxa"/>
            <w:vAlign w:val="bottom"/>
          </w:tcPr>
          <w:p>
            <w:pPr>
              <w:ind w:left="20"/>
              <w:spacing w:after="0" w:line="189" w:lineRule="exact"/>
              <w:rPr>
                <w:sz w:val="20"/>
                <w:szCs w:val="20"/>
                <w:color w:val="auto"/>
              </w:rPr>
            </w:pPr>
            <w:r>
              <w:rPr>
                <w:rFonts w:ascii="Arial" w:cs="Arial" w:eastAsia="Arial" w:hAnsi="Arial"/>
                <w:sz w:val="17"/>
                <w:szCs w:val="17"/>
                <w:color w:val="auto"/>
              </w:rPr>
              <w:t>Other comprehensive income (loss), net of income tax</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38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4380" w:type="dxa"/>
            <w:vAlign w:val="bottom"/>
            <w:shd w:val="clear" w:color="auto" w:fill="CCEEFF"/>
          </w:tcPr>
          <w:p>
            <w:pPr>
              <w:ind w:left="120"/>
              <w:spacing w:after="0" w:line="167" w:lineRule="exact"/>
              <w:rPr>
                <w:sz w:val="20"/>
                <w:szCs w:val="20"/>
                <w:color w:val="auto"/>
              </w:rPr>
            </w:pPr>
            <w:r>
              <w:rPr>
                <w:rFonts w:ascii="Arial" w:cs="Arial" w:eastAsia="Arial" w:hAnsi="Arial"/>
                <w:sz w:val="17"/>
                <w:szCs w:val="17"/>
                <w:color w:val="auto"/>
              </w:rPr>
              <w:t>Translation adjustment arising during the period, net of</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43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income tax (benefit)/expense of $-, $-, $(1) and $1,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4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r>
      <w:tr>
        <w:trPr>
          <w:trHeight w:val="189"/>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3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Hedges contracts: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4380" w:type="dxa"/>
            <w:vAlign w:val="bottom"/>
          </w:tcPr>
          <w:p>
            <w:pPr>
              <w:ind w:left="120"/>
              <w:spacing w:after="0" w:line="167" w:lineRule="exact"/>
              <w:rPr>
                <w:sz w:val="20"/>
                <w:szCs w:val="20"/>
                <w:color w:val="auto"/>
              </w:rPr>
            </w:pPr>
            <w:r>
              <w:rPr>
                <w:rFonts w:ascii="Arial" w:cs="Arial" w:eastAsia="Arial" w:hAnsi="Arial"/>
                <w:sz w:val="17"/>
                <w:szCs w:val="17"/>
                <w:color w:val="auto"/>
              </w:rPr>
              <w:t>Change in fair value of derivatives, net of income tax</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4380" w:type="dxa"/>
            <w:vAlign w:val="bottom"/>
          </w:tcPr>
          <w:p>
            <w:pPr>
              <w:ind w:left="120"/>
              <w:spacing w:after="0"/>
              <w:rPr>
                <w:sz w:val="20"/>
                <w:szCs w:val="20"/>
                <w:color w:val="auto"/>
              </w:rPr>
            </w:pPr>
            <w:r>
              <w:rPr>
                <w:rFonts w:ascii="Arial" w:cs="Arial" w:eastAsia="Arial" w:hAnsi="Arial"/>
                <w:sz w:val="17"/>
                <w:szCs w:val="17"/>
                <w:color w:val="auto"/>
              </w:rPr>
              <w:t>benefit of $-, $-, $-, and $-, respectively</w:t>
            </w:r>
          </w:p>
        </w:tc>
        <w:tc>
          <w:tcPr>
            <w:tcW w:w="22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auto"/>
              </w:rPr>
              <w:t>(3)</w:t>
            </w:r>
          </w:p>
        </w:tc>
        <w:tc>
          <w:tcPr>
            <w:tcW w:w="22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(2)</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89"/>
        </w:trPr>
        <w:tc>
          <w:tcPr>
            <w:tcW w:w="4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38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4380" w:type="dxa"/>
            <w:vAlign w:val="bottom"/>
            <w:shd w:val="clear" w:color="auto" w:fill="CCEEFF"/>
          </w:tcPr>
          <w:p>
            <w:pPr>
              <w:ind w:left="120"/>
              <w:spacing w:after="0" w:line="167" w:lineRule="exact"/>
              <w:rPr>
                <w:sz w:val="20"/>
                <w:szCs w:val="20"/>
                <w:color w:val="auto"/>
              </w:rPr>
            </w:pPr>
            <w:r>
              <w:rPr>
                <w:rFonts w:ascii="Arial" w:cs="Arial" w:eastAsia="Arial" w:hAnsi="Arial"/>
                <w:sz w:val="17"/>
                <w:szCs w:val="17"/>
                <w:color w:val="auto"/>
              </w:rPr>
              <w:t>Amortization of net actuarial gain/loss and prior service</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43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cost included in net periodic benefit costs, net of</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4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income tax expense of $-, $-, $1 and $1, respectively</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r>
      <w:tr>
        <w:trPr>
          <w:trHeight w:val="182"/>
        </w:trPr>
        <w:tc>
          <w:tcPr>
            <w:tcW w:w="43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Comprehensive income</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62</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418</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154</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625</w:t>
            </w:r>
          </w:p>
        </w:tc>
        <w:tc>
          <w:tcPr>
            <w:tcW w:w="20" w:type="dxa"/>
            <w:vAlign w:val="bottom"/>
          </w:tcPr>
          <w:p>
            <w:pPr>
              <w:spacing w:after="0"/>
              <w:rPr>
                <w:sz w:val="15"/>
                <w:szCs w:val="15"/>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0" w:right="59"/>
        <w:spacing w:after="0" w:line="271" w:lineRule="auto"/>
        <w:rPr>
          <w:sz w:val="20"/>
          <w:szCs w:val="20"/>
          <w:color w:val="auto"/>
        </w:rPr>
      </w:pPr>
      <w:r>
        <w:rPr>
          <w:rFonts w:ascii="Arial" w:cs="Arial" w:eastAsia="Arial" w:hAnsi="Arial"/>
          <w:sz w:val="18"/>
          <w:szCs w:val="18"/>
          <w:b w:val="1"/>
          <w:bCs w:val="1"/>
          <w:color w:val="auto"/>
        </w:rPr>
        <w:t xml:space="preserve">CONDENSED CONSOLIDATED STATEMENTS OF CHANGES IN SHAREHOLDERS’ EQUITY </w:t>
      </w:r>
      <w:r>
        <w:rPr>
          <w:rFonts w:ascii="Arial" w:cs="Arial" w:eastAsia="Arial" w:hAnsi="Arial"/>
          <w:sz w:val="18"/>
          <w:szCs w:val="18"/>
          <w:color w:val="auto"/>
        </w:rPr>
        <w:t>(Unaudited)</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7"/>
              </w:rPr>
              <w:t>Additional Paid-In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Accumulated</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3220" w:type="dxa"/>
            <w:vAlign w:val="bottom"/>
          </w:tcPr>
          <w:p>
            <w:pPr>
              <w:spacing w:after="0"/>
              <w:rPr>
                <w:sz w:val="11"/>
                <w:szCs w:val="11"/>
                <w:color w:val="auto"/>
              </w:rPr>
            </w:pPr>
          </w:p>
        </w:tc>
        <w:tc>
          <w:tcPr>
            <w:tcW w:w="820" w:type="dxa"/>
            <w:vAlign w:val="bottom"/>
            <w:gridSpan w:val="2"/>
          </w:tcPr>
          <w:p>
            <w:pPr>
              <w:jc w:val="center"/>
              <w:ind w:left="219"/>
              <w:spacing w:after="0" w:line="135" w:lineRule="exact"/>
              <w:rPr>
                <w:sz w:val="20"/>
                <w:szCs w:val="20"/>
                <w:color w:val="auto"/>
              </w:rPr>
            </w:pPr>
            <w:r>
              <w:rPr>
                <w:rFonts w:ascii="Arial" w:cs="Arial" w:eastAsia="Arial" w:hAnsi="Arial"/>
                <w:sz w:val="12"/>
                <w:szCs w:val="12"/>
                <w:b w:val="1"/>
                <w:bCs w:val="1"/>
                <w:color w:val="auto"/>
                <w:w w:val="96"/>
              </w:rPr>
              <w:t>Capital &amp;</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right="218"/>
              <w:spacing w:after="0" w:line="135" w:lineRule="exact"/>
              <w:rPr>
                <w:sz w:val="20"/>
                <w:szCs w:val="20"/>
                <w:color w:val="auto"/>
              </w:rPr>
            </w:pPr>
            <w:r>
              <w:rPr>
                <w:rFonts w:ascii="Arial" w:cs="Arial" w:eastAsia="Arial" w:hAnsi="Arial"/>
                <w:sz w:val="12"/>
                <w:szCs w:val="12"/>
                <w:b w:val="1"/>
                <w:bCs w:val="1"/>
                <w:color w:val="auto"/>
                <w:w w:val="99"/>
              </w:rPr>
              <w:t>Other</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5"/>
        </w:trPr>
        <w:tc>
          <w:tcPr>
            <w:tcW w:w="3220" w:type="dxa"/>
            <w:vAlign w:val="bottom"/>
          </w:tcPr>
          <w:p>
            <w:pPr>
              <w:ind w:left="20"/>
              <w:spacing w:after="0"/>
              <w:rPr>
                <w:sz w:val="20"/>
                <w:szCs w:val="20"/>
                <w:color w:val="auto"/>
              </w:rPr>
            </w:pPr>
            <w:r>
              <w:rPr>
                <w:rFonts w:ascii="Arial" w:cs="Arial" w:eastAsia="Arial" w:hAnsi="Arial"/>
                <w:sz w:val="12"/>
                <w:szCs w:val="12"/>
                <w:color w:val="auto"/>
              </w:rPr>
              <w:t>Thirteen weeks ended</w:t>
            </w:r>
          </w:p>
        </w:tc>
        <w:tc>
          <w:tcPr>
            <w:tcW w:w="11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7"/>
              </w:rPr>
              <w:t>Common Stock</w:t>
            </w: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Treasury Stock</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Comprehensive</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Shareholders'</w:t>
            </w:r>
          </w:p>
        </w:tc>
      </w:tr>
      <w:tr>
        <w:trPr>
          <w:trHeight w:val="128"/>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58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2"/>
                <w:szCs w:val="12"/>
                <w:b w:val="1"/>
                <w:bCs w:val="1"/>
                <w:color w:val="auto"/>
              </w:rPr>
              <w:t>Shares</w:t>
            </w:r>
          </w:p>
        </w:tc>
        <w:tc>
          <w:tcPr>
            <w:tcW w:w="50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8"/>
              <w:spacing w:after="0" w:line="129" w:lineRule="exact"/>
              <w:rPr>
                <w:sz w:val="20"/>
                <w:szCs w:val="20"/>
                <w:color w:val="auto"/>
              </w:rPr>
            </w:pPr>
            <w:r>
              <w:rPr>
                <w:rFonts w:ascii="Arial" w:cs="Arial" w:eastAsia="Arial" w:hAnsi="Arial"/>
                <w:sz w:val="12"/>
                <w:szCs w:val="12"/>
                <w:b w:val="1"/>
                <w:bCs w:val="1"/>
                <w:color w:val="auto"/>
                <w:w w:val="99"/>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Earnings</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18"/>
              <w:spacing w:after="0" w:line="129" w:lineRule="exact"/>
              <w:rPr>
                <w:sz w:val="20"/>
                <w:szCs w:val="20"/>
                <w:color w:val="auto"/>
              </w:rPr>
            </w:pPr>
            <w:r>
              <w:rPr>
                <w:rFonts w:ascii="Arial" w:cs="Arial" w:eastAsia="Arial" w:hAnsi="Arial"/>
                <w:sz w:val="12"/>
                <w:szCs w:val="12"/>
                <w:b w:val="1"/>
                <w:bCs w:val="1"/>
                <w:color w:val="auto"/>
                <w:w w:val="99"/>
              </w:rPr>
              <w:t>Loss</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58"/>
              <w:spacing w:after="0" w:line="129" w:lineRule="exact"/>
              <w:rPr>
                <w:sz w:val="20"/>
                <w:szCs w:val="20"/>
                <w:color w:val="auto"/>
              </w:rPr>
            </w:pPr>
            <w:r>
              <w:rPr>
                <w:rFonts w:ascii="Arial" w:cs="Arial" w:eastAsia="Arial" w:hAnsi="Arial"/>
                <w:sz w:val="12"/>
                <w:szCs w:val="12"/>
                <w:b w:val="1"/>
                <w:bCs w:val="1"/>
                <w:color w:val="auto"/>
                <w:w w:val="95"/>
              </w:rPr>
              <w:t>interests</w:t>
            </w: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8"/>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April 30, 2022</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99,233</w:t>
            </w:r>
          </w:p>
        </w:tc>
        <w:tc>
          <w:tcPr>
            <w:tcW w:w="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779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(4,732)</w:t>
            </w:r>
          </w:p>
        </w:tc>
        <w:tc>
          <w:tcPr>
            <w:tcW w:w="2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(178)</w:t>
            </w:r>
          </w:p>
        </w:tc>
        <w:tc>
          <w:tcPr>
            <w:tcW w:w="58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$ 2,995</w:t>
            </w:r>
          </w:p>
        </w:tc>
        <w:tc>
          <w:tcPr>
            <w:tcW w:w="2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(384)</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3,215</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r>
      <w:tr>
        <w:trPr>
          <w:trHeight w:val="117"/>
        </w:trPr>
        <w:tc>
          <w:tcPr>
            <w:tcW w:w="32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53"/>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obligations</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(1,400)</w:t>
            </w:r>
          </w:p>
        </w:tc>
        <w:tc>
          <w:tcPr>
            <w:tcW w:w="2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Reissued for Employee Stock Purchase Plan ("ESPP")</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52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120</w:t>
            </w: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Noncontrolling interest capital contribution</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94</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Cash dividends on common stock ($0.40 per share)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(31)</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Change in hedges, net of tax</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18"/>
              <w:spacing w:after="0" w:line="135" w:lineRule="exact"/>
              <w:rPr>
                <w:sz w:val="20"/>
                <w:szCs w:val="20"/>
                <w:color w:val="auto"/>
              </w:rPr>
            </w:pPr>
            <w:r>
              <w:rPr>
                <w:rFonts w:ascii="Arial" w:cs="Arial" w:eastAsia="Arial" w:hAnsi="Arial"/>
                <w:sz w:val="13"/>
                <w:szCs w:val="13"/>
                <w:color w:val="auto"/>
              </w:rPr>
              <w:t>(3)</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w:t>
            </w: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8"/>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July 30, 2022</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99,319</w:t>
            </w:r>
          </w:p>
        </w:tc>
        <w:tc>
          <w:tcPr>
            <w:tcW w:w="2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788</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(6,018)</w:t>
            </w:r>
          </w:p>
        </w:tc>
        <w:tc>
          <w:tcPr>
            <w:tcW w:w="2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(213)</w:t>
            </w:r>
          </w:p>
        </w:tc>
        <w:tc>
          <w:tcPr>
            <w:tcW w:w="58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$ 3,051</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(416)</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7</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3,217</w:t>
            </w:r>
          </w:p>
        </w:tc>
      </w:tr>
      <w:tr>
        <w:trPr>
          <w:trHeight w:val="128"/>
        </w:trPr>
        <w:tc>
          <w:tcPr>
            <w:tcW w:w="32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r>
      <w:tr>
        <w:trPr>
          <w:trHeight w:val="129"/>
        </w:trPr>
        <w:tc>
          <w:tcPr>
            <w:tcW w:w="322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at May 1, 2021</w:t>
            </w:r>
          </w:p>
        </w:tc>
        <w:tc>
          <w:tcPr>
            <w:tcW w:w="5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104,286</w:t>
            </w:r>
          </w:p>
        </w:tc>
        <w:tc>
          <w:tcPr>
            <w:tcW w:w="240" w:type="dxa"/>
            <w:vAlign w:val="bottom"/>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791</w:t>
            </w: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(887)</w:t>
            </w:r>
          </w:p>
        </w:tc>
        <w:tc>
          <w:tcPr>
            <w:tcW w:w="20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(47)</w:t>
            </w:r>
          </w:p>
        </w:tc>
        <w:tc>
          <w:tcPr>
            <w:tcW w:w="58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$ 2,507</w:t>
            </w:r>
          </w:p>
        </w:tc>
        <w:tc>
          <w:tcPr>
            <w:tcW w:w="24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(326)</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2,930</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219</w:t>
            </w: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r>
      <w:tr>
        <w:trPr>
          <w:trHeight w:val="117"/>
        </w:trPr>
        <w:tc>
          <w:tcPr>
            <w:tcW w:w="3220" w:type="dxa"/>
            <w:vAlign w:val="bottom"/>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3220" w:type="dxa"/>
            <w:vAlign w:val="bottom"/>
          </w:tcPr>
          <w:p>
            <w:pPr>
              <w:ind w:left="20"/>
              <w:spacing w:after="0"/>
              <w:rPr>
                <w:sz w:val="20"/>
                <w:szCs w:val="20"/>
                <w:color w:val="auto"/>
              </w:rPr>
            </w:pPr>
            <w:r>
              <w:rPr>
                <w:rFonts w:ascii="Arial" w:cs="Arial" w:eastAsia="Arial" w:hAnsi="Arial"/>
                <w:sz w:val="13"/>
                <w:szCs w:val="13"/>
                <w:color w:val="auto"/>
              </w:rPr>
              <w:t>obligations</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Reissued for ESPP</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5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301</w:t>
            </w:r>
          </w:p>
        </w:tc>
        <w:tc>
          <w:tcPr>
            <w:tcW w:w="2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430</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430</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Cash dividends on common stock ($0.20 per share)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(14)</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r>
      <w:tr>
        <w:trPr>
          <w:trHeight w:val="135"/>
        </w:trPr>
        <w:tc>
          <w:tcPr>
            <w:tcW w:w="322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8"/>
              <w:spacing w:after="0" w:line="135" w:lineRule="exact"/>
              <w:rPr>
                <w:sz w:val="20"/>
                <w:szCs w:val="20"/>
                <w:color w:val="auto"/>
              </w:rPr>
            </w:pPr>
            <w:r>
              <w:rPr>
                <w:rFonts w:ascii="Arial" w:cs="Arial" w:eastAsia="Arial" w:hAnsi="Arial"/>
                <w:sz w:val="13"/>
                <w:szCs w:val="13"/>
                <w:color w:val="auto"/>
              </w:rPr>
              <w:t>2</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8"/>
        </w:trPr>
        <w:tc>
          <w:tcPr>
            <w:tcW w:w="322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July 31, 2021</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104,516</w:t>
            </w:r>
          </w:p>
        </w:tc>
        <w:tc>
          <w:tcPr>
            <w:tcW w:w="240" w:type="dxa"/>
            <w:vAlign w:val="bottom"/>
            <w:tcBorders>
              <w:bottom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799</w:t>
            </w: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(714)</w:t>
            </w:r>
          </w:p>
        </w:tc>
        <w:tc>
          <w:tcPr>
            <w:tcW w:w="20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(41)</w:t>
            </w:r>
          </w:p>
        </w:tc>
        <w:tc>
          <w:tcPr>
            <w:tcW w:w="58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$ 2,916</w:t>
            </w: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(338)</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3,341</w:t>
            </w:r>
          </w:p>
        </w:tc>
      </w:tr>
      <w:tr>
        <w:trPr>
          <w:trHeight w:val="267"/>
        </w:trPr>
        <w:tc>
          <w:tcPr>
            <w:tcW w:w="3220" w:type="dxa"/>
            <w:vAlign w:val="bottom"/>
          </w:tcPr>
          <w:p>
            <w:pPr>
              <w:spacing w:after="0"/>
              <w:rPr>
                <w:sz w:val="23"/>
                <w:szCs w:val="23"/>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7"/>
              </w:rPr>
              <w:t>Additional Paid-In</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Accumulated</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3220" w:type="dxa"/>
            <w:vAlign w:val="bottom"/>
          </w:tcPr>
          <w:p>
            <w:pPr>
              <w:spacing w:after="0"/>
              <w:rPr>
                <w:sz w:val="11"/>
                <w:szCs w:val="11"/>
                <w:color w:val="auto"/>
              </w:rPr>
            </w:pPr>
          </w:p>
        </w:tc>
        <w:tc>
          <w:tcPr>
            <w:tcW w:w="820" w:type="dxa"/>
            <w:vAlign w:val="bottom"/>
            <w:gridSpan w:val="2"/>
          </w:tcPr>
          <w:p>
            <w:pPr>
              <w:jc w:val="center"/>
              <w:ind w:left="219"/>
              <w:spacing w:after="0" w:line="135" w:lineRule="exact"/>
              <w:rPr>
                <w:sz w:val="20"/>
                <w:szCs w:val="20"/>
                <w:color w:val="auto"/>
              </w:rPr>
            </w:pPr>
            <w:r>
              <w:rPr>
                <w:rFonts w:ascii="Arial" w:cs="Arial" w:eastAsia="Arial" w:hAnsi="Arial"/>
                <w:sz w:val="12"/>
                <w:szCs w:val="12"/>
                <w:b w:val="1"/>
                <w:bCs w:val="1"/>
                <w:color w:val="auto"/>
                <w:w w:val="96"/>
              </w:rPr>
              <w:t>Capital &amp;</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right="218"/>
              <w:spacing w:after="0" w:line="135" w:lineRule="exact"/>
              <w:rPr>
                <w:sz w:val="20"/>
                <w:szCs w:val="20"/>
                <w:color w:val="auto"/>
              </w:rPr>
            </w:pPr>
            <w:r>
              <w:rPr>
                <w:rFonts w:ascii="Arial" w:cs="Arial" w:eastAsia="Arial" w:hAnsi="Arial"/>
                <w:sz w:val="12"/>
                <w:szCs w:val="12"/>
                <w:b w:val="1"/>
                <w:bCs w:val="1"/>
                <w:color w:val="auto"/>
                <w:w w:val="99"/>
              </w:rPr>
              <w:t>Other</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5"/>
        </w:trPr>
        <w:tc>
          <w:tcPr>
            <w:tcW w:w="3220" w:type="dxa"/>
            <w:vAlign w:val="bottom"/>
          </w:tcPr>
          <w:p>
            <w:pPr>
              <w:ind w:left="20"/>
              <w:spacing w:after="0"/>
              <w:rPr>
                <w:sz w:val="20"/>
                <w:szCs w:val="20"/>
                <w:color w:val="auto"/>
              </w:rPr>
            </w:pPr>
            <w:r>
              <w:rPr>
                <w:rFonts w:ascii="Arial" w:cs="Arial" w:eastAsia="Arial" w:hAnsi="Arial"/>
                <w:sz w:val="12"/>
                <w:szCs w:val="12"/>
                <w:color w:val="auto"/>
              </w:rPr>
              <w:t>Twenty-six weeks ended</w:t>
            </w:r>
          </w:p>
        </w:tc>
        <w:tc>
          <w:tcPr>
            <w:tcW w:w="11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7"/>
              </w:rPr>
              <w:t>Common Stock</w:t>
            </w: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Treasury Stock</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Comprehensive</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Shareholders'</w:t>
            </w:r>
          </w:p>
        </w:tc>
      </w:tr>
      <w:tr>
        <w:trPr>
          <w:trHeight w:val="128"/>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58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2"/>
                <w:szCs w:val="12"/>
                <w:b w:val="1"/>
                <w:bCs w:val="1"/>
                <w:color w:val="auto"/>
              </w:rPr>
              <w:t>Shares</w:t>
            </w:r>
          </w:p>
        </w:tc>
        <w:tc>
          <w:tcPr>
            <w:tcW w:w="50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8"/>
              <w:spacing w:after="0" w:line="129" w:lineRule="exact"/>
              <w:rPr>
                <w:sz w:val="20"/>
                <w:szCs w:val="20"/>
                <w:color w:val="auto"/>
              </w:rPr>
            </w:pPr>
            <w:r>
              <w:rPr>
                <w:rFonts w:ascii="Arial" w:cs="Arial" w:eastAsia="Arial" w:hAnsi="Arial"/>
                <w:sz w:val="12"/>
                <w:szCs w:val="12"/>
                <w:b w:val="1"/>
                <w:bCs w:val="1"/>
                <w:color w:val="auto"/>
                <w:w w:val="99"/>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Earnings</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18"/>
              <w:spacing w:after="0" w:line="129" w:lineRule="exact"/>
              <w:rPr>
                <w:sz w:val="20"/>
                <w:szCs w:val="20"/>
                <w:color w:val="auto"/>
              </w:rPr>
            </w:pPr>
            <w:r>
              <w:rPr>
                <w:rFonts w:ascii="Arial" w:cs="Arial" w:eastAsia="Arial" w:hAnsi="Arial"/>
                <w:sz w:val="12"/>
                <w:szCs w:val="12"/>
                <w:b w:val="1"/>
                <w:bCs w:val="1"/>
                <w:color w:val="auto"/>
                <w:w w:val="99"/>
              </w:rPr>
              <w:t>Loss</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58"/>
              <w:spacing w:after="0" w:line="129" w:lineRule="exact"/>
              <w:rPr>
                <w:sz w:val="20"/>
                <w:szCs w:val="20"/>
                <w:color w:val="auto"/>
              </w:rPr>
            </w:pPr>
            <w:r>
              <w:rPr>
                <w:rFonts w:ascii="Arial" w:cs="Arial" w:eastAsia="Arial" w:hAnsi="Arial"/>
                <w:sz w:val="12"/>
                <w:szCs w:val="12"/>
                <w:b w:val="1"/>
                <w:bCs w:val="1"/>
                <w:color w:val="auto"/>
                <w:w w:val="95"/>
              </w:rPr>
              <w:t>interests</w:t>
            </w: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January 29, 2022</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99,071</w:t>
            </w:r>
          </w:p>
        </w:tc>
        <w:tc>
          <w:tcPr>
            <w:tcW w:w="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770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(2,050)</w:t>
            </w:r>
          </w:p>
        </w:tc>
        <w:tc>
          <w:tcPr>
            <w:tcW w:w="2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(88)</w:t>
            </w:r>
          </w:p>
        </w:tc>
        <w:tc>
          <w:tcPr>
            <w:tcW w:w="58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$ 2,900</w:t>
            </w:r>
          </w:p>
        </w:tc>
        <w:tc>
          <w:tcPr>
            <w:tcW w:w="2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(343)</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4</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3,243</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111</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r>
      <w:tr>
        <w:trPr>
          <w:trHeight w:val="117"/>
        </w:trPr>
        <w:tc>
          <w:tcPr>
            <w:tcW w:w="32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53"/>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obligations</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(4,050)</w:t>
            </w:r>
          </w:p>
        </w:tc>
        <w:tc>
          <w:tcPr>
            <w:tcW w:w="2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(129)</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(129)</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Reissued for ESPP</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52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120</w:t>
            </w: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Noncontrolling interest capital contribution</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227</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Cash dividends on common stock ($0.80 per share)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(75)</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Change in hedges, net of tax</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18"/>
              <w:spacing w:after="0" w:line="135" w:lineRule="exact"/>
              <w:rPr>
                <w:sz w:val="20"/>
                <w:szCs w:val="20"/>
                <w:color w:val="auto"/>
              </w:rPr>
            </w:pPr>
            <w:r>
              <w:rPr>
                <w:rFonts w:ascii="Arial" w:cs="Arial" w:eastAsia="Arial" w:hAnsi="Arial"/>
                <w:sz w:val="13"/>
                <w:szCs w:val="13"/>
                <w:color w:val="auto"/>
              </w:rPr>
              <w:t>(2)</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22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w:t>
            </w: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29"/>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July 30, 2022</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99,319</w:t>
            </w:r>
          </w:p>
        </w:tc>
        <w:tc>
          <w:tcPr>
            <w:tcW w:w="2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788</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(6,018)</w:t>
            </w:r>
          </w:p>
        </w:tc>
        <w:tc>
          <w:tcPr>
            <w:tcW w:w="2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(213)</w:t>
            </w:r>
          </w:p>
        </w:tc>
        <w:tc>
          <w:tcPr>
            <w:tcW w:w="58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$ 3,051</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(416)</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7</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3,217</w:t>
            </w:r>
          </w:p>
        </w:tc>
      </w:tr>
      <w:tr>
        <w:trPr>
          <w:trHeight w:val="128"/>
        </w:trPr>
        <w:tc>
          <w:tcPr>
            <w:tcW w:w="32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r>
      <w:tr>
        <w:trPr>
          <w:trHeight w:val="128"/>
        </w:trPr>
        <w:tc>
          <w:tcPr>
            <w:tcW w:w="322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at January 30, 2021</w:t>
            </w:r>
          </w:p>
        </w:tc>
        <w:tc>
          <w:tcPr>
            <w:tcW w:w="5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103,693</w:t>
            </w:r>
          </w:p>
        </w:tc>
        <w:tc>
          <w:tcPr>
            <w:tcW w:w="240" w:type="dxa"/>
            <w:vAlign w:val="bottom"/>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779</w:t>
            </w: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(74)</w:t>
            </w:r>
          </w:p>
        </w:tc>
        <w:tc>
          <w:tcPr>
            <w:tcW w:w="20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(3)</w:t>
            </w:r>
          </w:p>
        </w:tc>
        <w:tc>
          <w:tcPr>
            <w:tcW w:w="58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$ 2,326</w:t>
            </w:r>
          </w:p>
        </w:tc>
        <w:tc>
          <w:tcPr>
            <w:tcW w:w="24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(331)</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2,776</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344</w:t>
            </w: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r>
      <w:tr>
        <w:trPr>
          <w:trHeight w:val="117"/>
        </w:trPr>
        <w:tc>
          <w:tcPr>
            <w:tcW w:w="3220" w:type="dxa"/>
            <w:vAlign w:val="bottom"/>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3220" w:type="dxa"/>
            <w:vAlign w:val="bottom"/>
          </w:tcPr>
          <w:p>
            <w:pPr>
              <w:ind w:left="20"/>
              <w:spacing w:after="0"/>
              <w:rPr>
                <w:sz w:val="20"/>
                <w:szCs w:val="20"/>
                <w:color w:val="auto"/>
              </w:rPr>
            </w:pPr>
            <w:r>
              <w:rPr>
                <w:rFonts w:ascii="Arial" w:cs="Arial" w:eastAsia="Arial" w:hAnsi="Arial"/>
                <w:sz w:val="13"/>
                <w:szCs w:val="13"/>
                <w:color w:val="auto"/>
              </w:rPr>
              <w:t>obligations</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(195)</w:t>
            </w:r>
          </w:p>
        </w:tc>
        <w:tc>
          <w:tcPr>
            <w:tcW w:w="20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(746)</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(41)</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Reissued for ESPP</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5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301</w:t>
            </w:r>
          </w:p>
        </w:tc>
        <w:tc>
          <w:tcPr>
            <w:tcW w:w="2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632</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632</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Cash dividends on common stock ($0.40 per share)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(10)</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r>
      <w:tr>
        <w:trPr>
          <w:trHeight w:val="135"/>
        </w:trPr>
        <w:tc>
          <w:tcPr>
            <w:tcW w:w="322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8"/>
              <w:spacing w:after="0" w:line="135" w:lineRule="exact"/>
              <w:rPr>
                <w:sz w:val="20"/>
                <w:szCs w:val="20"/>
                <w:color w:val="auto"/>
              </w:rPr>
            </w:pPr>
            <w:r>
              <w:rPr>
                <w:rFonts w:ascii="Arial" w:cs="Arial" w:eastAsia="Arial" w:hAnsi="Arial"/>
                <w:sz w:val="13"/>
                <w:szCs w:val="13"/>
                <w:color w:val="auto"/>
              </w:rPr>
              <w:t>3</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r>
      <w:tr>
        <w:trPr>
          <w:trHeight w:val="129"/>
        </w:trPr>
        <w:tc>
          <w:tcPr>
            <w:tcW w:w="322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July 31, 2021</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104,516</w:t>
            </w:r>
          </w:p>
        </w:tc>
        <w:tc>
          <w:tcPr>
            <w:tcW w:w="240" w:type="dxa"/>
            <w:vAlign w:val="bottom"/>
            <w:tcBorders>
              <w:bottom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799</w:t>
            </w: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(714)</w:t>
            </w:r>
          </w:p>
        </w:tc>
        <w:tc>
          <w:tcPr>
            <w:tcW w:w="20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(41)</w:t>
            </w:r>
          </w:p>
        </w:tc>
        <w:tc>
          <w:tcPr>
            <w:tcW w:w="58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$ 2,916</w:t>
            </w: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(338)</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3,341</w:t>
            </w: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ind w:left="6620"/>
        <w:spacing w:after="0"/>
        <w:rPr>
          <w:sz w:val="20"/>
          <w:szCs w:val="20"/>
          <w:color w:val="auto"/>
        </w:rPr>
      </w:pPr>
      <w:r>
        <w:rPr>
          <w:rFonts w:ascii="Arial" w:cs="Arial" w:eastAsia="Arial" w:hAnsi="Arial"/>
          <w:sz w:val="15"/>
          <w:szCs w:val="15"/>
          <w:b w:val="1"/>
          <w:bCs w:val="1"/>
          <w:color w:val="auto"/>
        </w:rPr>
        <w:t>Twenty-six weeks ended</w:t>
      </w:r>
    </w:p>
    <w:tbl>
      <w:tblPr>
        <w:tblLayout w:type="fixed"/>
        <w:tblInd w:w="40" w:type="dxa"/>
        <w:tblCellMar>
          <w:top w:w="0" w:type="dxa"/>
          <w:left w:w="0" w:type="dxa"/>
          <w:bottom w:w="0" w:type="dxa"/>
          <w:right w:w="0" w:type="dxa"/>
        </w:tblCellMar>
      </w:tblPr>
      <w:tr>
        <w:trPr>
          <w:trHeight w:val="135"/>
        </w:trPr>
        <w:tc>
          <w:tcPr>
            <w:tcW w:w="58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b w:val="1"/>
                <w:bCs w:val="1"/>
                <w:color w:val="auto"/>
              </w:rPr>
              <w:t>July 30,</w:t>
            </w:r>
          </w:p>
        </w:tc>
        <w:tc>
          <w:tcPr>
            <w:tcW w:w="4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04"/>
              <w:spacing w:after="0" w:line="136" w:lineRule="exact"/>
              <w:rPr>
                <w:sz w:val="20"/>
                <w:szCs w:val="20"/>
                <w:color w:val="auto"/>
              </w:rPr>
            </w:pPr>
            <w:r>
              <w:rPr>
                <w:rFonts w:ascii="Arial" w:cs="Arial" w:eastAsia="Arial" w:hAnsi="Arial"/>
                <w:sz w:val="15"/>
                <w:szCs w:val="15"/>
                <w:b w:val="1"/>
                <w:bCs w:val="1"/>
                <w:color w:val="auto"/>
              </w:rPr>
              <w:t>July 31,</w:t>
            </w:r>
          </w:p>
        </w:tc>
        <w:tc>
          <w:tcPr>
            <w:tcW w:w="20" w:type="dxa"/>
            <w:vAlign w:val="bottom"/>
          </w:tcPr>
          <w:p>
            <w:pPr>
              <w:spacing w:after="0"/>
              <w:rPr>
                <w:sz w:val="11"/>
                <w:szCs w:val="11"/>
                <w:color w:val="auto"/>
              </w:rPr>
            </w:pPr>
          </w:p>
        </w:tc>
      </w:tr>
      <w:tr>
        <w:trPr>
          <w:trHeight w:val="181"/>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in millions)</w:t>
            </w: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5"/>
                <w:szCs w:val="15"/>
                <w:color w:val="auto"/>
              </w:rPr>
            </w:pPr>
          </w:p>
        </w:tc>
      </w:tr>
      <w:tr>
        <w:trPr>
          <w:trHeight w:val="155"/>
        </w:trPr>
        <w:tc>
          <w:tcPr>
            <w:tcW w:w="58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From operating activities:</w:t>
            </w:r>
          </w:p>
        </w:tc>
        <w:tc>
          <w:tcPr>
            <w:tcW w:w="1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1180" w:type="dxa"/>
            <w:vAlign w:val="bottom"/>
          </w:tcPr>
          <w:p>
            <w:pPr>
              <w:jc w:val="right"/>
              <w:ind w:right="804"/>
              <w:spacing w:after="0" w:line="162"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226</w:t>
            </w:r>
          </w:p>
        </w:tc>
        <w:tc>
          <w:tcPr>
            <w:tcW w:w="34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632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Adjustments to reconcile net income to net cash from operating activities: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Non-cash impairment and other charges</w:t>
            </w:r>
          </w:p>
        </w:tc>
        <w:tc>
          <w:tcPr>
            <w:tcW w:w="1180" w:type="dxa"/>
            <w:vAlign w:val="bottom"/>
          </w:tcPr>
          <w:p>
            <w:pPr>
              <w:spacing w:after="0"/>
              <w:rPr>
                <w:sz w:val="14"/>
                <w:szCs w:val="14"/>
                <w:color w:val="auto"/>
              </w:rPr>
            </w:pP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5</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45</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Fair value adjustments to minority investments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38</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(314)</w:t>
            </w: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Depreciation and amortization</w:t>
            </w:r>
          </w:p>
        </w:tc>
        <w:tc>
          <w:tcPr>
            <w:tcW w:w="1180" w:type="dxa"/>
            <w:vAlign w:val="bottom"/>
          </w:tcPr>
          <w:p>
            <w:pPr>
              <w:spacing w:after="0"/>
              <w:rPr>
                <w:sz w:val="14"/>
                <w:szCs w:val="14"/>
                <w:color w:val="auto"/>
              </w:rPr>
            </w:pP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105</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93</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Deferred income taxes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8</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w:t>
            </w: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Share-based compensation expense</w:t>
            </w:r>
          </w:p>
        </w:tc>
        <w:tc>
          <w:tcPr>
            <w:tcW w:w="1180" w:type="dxa"/>
            <w:vAlign w:val="bottom"/>
          </w:tcPr>
          <w:p>
            <w:pPr>
              <w:spacing w:after="0"/>
              <w:rPr>
                <w:sz w:val="14"/>
                <w:szCs w:val="14"/>
                <w:color w:val="auto"/>
              </w:rPr>
            </w:pP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16</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16</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Gain on disposal of business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(18)</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Change in assets and liabilities: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Merchandise inventories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w w:val="96"/>
              </w:rPr>
              <w:t>(413)</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(163)</w:t>
            </w:r>
          </w:p>
        </w:tc>
        <w:tc>
          <w:tcPr>
            <w:tcW w:w="20" w:type="dxa"/>
            <w:vAlign w:val="bottom"/>
          </w:tcPr>
          <w:p>
            <w:pPr>
              <w:spacing w:after="0"/>
              <w:rPr>
                <w:sz w:val="14"/>
                <w:szCs w:val="14"/>
                <w:color w:val="auto"/>
              </w:rPr>
            </w:pPr>
          </w:p>
        </w:tc>
      </w:tr>
      <w:tr>
        <w:trPr>
          <w:trHeight w:val="162"/>
        </w:trPr>
        <w:tc>
          <w:tcPr>
            <w:tcW w:w="5800" w:type="dxa"/>
            <w:vAlign w:val="bottom"/>
          </w:tcPr>
          <w:p>
            <w:pPr>
              <w:ind w:left="340"/>
              <w:spacing w:after="0" w:line="162" w:lineRule="exact"/>
              <w:rPr>
                <w:sz w:val="20"/>
                <w:szCs w:val="20"/>
                <w:color w:val="auto"/>
              </w:rPr>
            </w:pPr>
            <w:r>
              <w:rPr>
                <w:rFonts w:ascii="Arial" w:cs="Arial" w:eastAsia="Arial" w:hAnsi="Arial"/>
                <w:sz w:val="15"/>
                <w:szCs w:val="15"/>
                <w:color w:val="auto"/>
              </w:rPr>
              <w:t>Accounts payable</w:t>
            </w:r>
          </w:p>
        </w:tc>
        <w:tc>
          <w:tcPr>
            <w:tcW w:w="1180" w:type="dxa"/>
            <w:vAlign w:val="bottom"/>
          </w:tcPr>
          <w:p>
            <w:pPr>
              <w:spacing w:after="0"/>
              <w:rPr>
                <w:sz w:val="14"/>
                <w:szCs w:val="14"/>
                <w:color w:val="auto"/>
              </w:rPr>
            </w:pP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10</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139</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Accrued and other liabilities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(69)</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w:t>
            </w:r>
          </w:p>
        </w:tc>
        <w:tc>
          <w:tcPr>
            <w:tcW w:w="20" w:type="dxa"/>
            <w:vAlign w:val="bottom"/>
          </w:tcPr>
          <w:p>
            <w:pPr>
              <w:spacing w:after="0"/>
              <w:rPr>
                <w:sz w:val="14"/>
                <w:szCs w:val="14"/>
                <w:color w:val="auto"/>
              </w:rPr>
            </w:pPr>
          </w:p>
        </w:tc>
      </w:tr>
      <w:tr>
        <w:trPr>
          <w:trHeight w:val="162"/>
        </w:trPr>
        <w:tc>
          <w:tcPr>
            <w:tcW w:w="5800" w:type="dxa"/>
            <w:vAlign w:val="bottom"/>
          </w:tcPr>
          <w:p>
            <w:pPr>
              <w:ind w:left="340"/>
              <w:spacing w:after="0" w:line="162" w:lineRule="exact"/>
              <w:rPr>
                <w:sz w:val="20"/>
                <w:szCs w:val="20"/>
                <w:color w:val="auto"/>
              </w:rPr>
            </w:pPr>
            <w:r>
              <w:rPr>
                <w:rFonts w:ascii="Arial" w:cs="Arial" w:eastAsia="Arial" w:hAnsi="Arial"/>
                <w:sz w:val="15"/>
                <w:szCs w:val="15"/>
                <w:color w:val="auto"/>
              </w:rPr>
              <w:t>Insurance recovery received for inventory loss</w:t>
            </w:r>
          </w:p>
        </w:tc>
        <w:tc>
          <w:tcPr>
            <w:tcW w:w="1180" w:type="dxa"/>
            <w:vAlign w:val="bottom"/>
          </w:tcPr>
          <w:p>
            <w:pPr>
              <w:spacing w:after="0"/>
              <w:rPr>
                <w:sz w:val="14"/>
                <w:szCs w:val="14"/>
                <w:color w:val="auto"/>
              </w:rPr>
            </w:pP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8</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shd w:val="clear" w:color="auto" w:fill="CCEEFF"/>
          </w:tcPr>
          <w:p>
            <w:pPr>
              <w:ind w:left="340"/>
              <w:spacing w:after="0" w:line="162" w:lineRule="exact"/>
              <w:rPr>
                <w:sz w:val="20"/>
                <w:szCs w:val="20"/>
                <w:color w:val="auto"/>
              </w:rPr>
            </w:pPr>
            <w:r>
              <w:rPr>
                <w:rFonts w:ascii="Arial" w:cs="Arial" w:eastAsia="Arial" w:hAnsi="Arial"/>
                <w:sz w:val="15"/>
                <w:szCs w:val="15"/>
                <w:color w:val="auto"/>
              </w:rPr>
              <w:t>Other, net</w:t>
            </w:r>
          </w:p>
        </w:tc>
        <w:tc>
          <w:tcPr>
            <w:tcW w:w="1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(10)</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(109)</w:t>
            </w:r>
          </w:p>
        </w:tc>
        <w:tc>
          <w:tcPr>
            <w:tcW w:w="20" w:type="dxa"/>
            <w:vAlign w:val="bottom"/>
          </w:tcPr>
          <w:p>
            <w:pPr>
              <w:spacing w:after="0"/>
              <w:rPr>
                <w:sz w:val="14"/>
                <w:szCs w:val="14"/>
                <w:color w:val="auto"/>
              </w:rPr>
            </w:pPr>
          </w:p>
        </w:tc>
      </w:tr>
      <w:tr>
        <w:trPr>
          <w:trHeight w:val="155"/>
        </w:trPr>
        <w:tc>
          <w:tcPr>
            <w:tcW w:w="58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Net cash (used in) provided by operating activities</w:t>
            </w: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b w:val="1"/>
                <w:bCs w:val="1"/>
                <w:color w:val="auto"/>
                <w:w w:val="96"/>
              </w:rPr>
              <w:t>(102)</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402</w:t>
            </w:r>
          </w:p>
        </w:tc>
        <w:tc>
          <w:tcPr>
            <w:tcW w:w="20" w:type="dxa"/>
            <w:vAlign w:val="bottom"/>
          </w:tcPr>
          <w:p>
            <w:pPr>
              <w:spacing w:after="0"/>
              <w:rPr>
                <w:sz w:val="13"/>
                <w:szCs w:val="13"/>
                <w:color w:val="auto"/>
              </w:rPr>
            </w:pPr>
          </w:p>
        </w:tc>
      </w:tr>
      <w:tr>
        <w:trPr>
          <w:trHeight w:val="156"/>
        </w:trPr>
        <w:tc>
          <w:tcPr>
            <w:tcW w:w="58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From investing activities:</w:t>
            </w:r>
          </w:p>
        </w:tc>
        <w:tc>
          <w:tcPr>
            <w:tcW w:w="1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Capital expenditures</w:t>
            </w:r>
          </w:p>
        </w:tc>
        <w:tc>
          <w:tcPr>
            <w:tcW w:w="1180" w:type="dxa"/>
            <w:vAlign w:val="bottom"/>
          </w:tcPr>
          <w:p>
            <w:pPr>
              <w:spacing w:after="0"/>
              <w:rPr>
                <w:sz w:val="14"/>
                <w:szCs w:val="14"/>
                <w:color w:val="auto"/>
              </w:rPr>
            </w:pPr>
          </w:p>
        </w:tc>
        <w:tc>
          <w:tcPr>
            <w:tcW w:w="4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w w:val="96"/>
              </w:rPr>
              <w:t>(156)</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(87)</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Purchase of business, net of cash acquired</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(12)</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Minority investments</w:t>
            </w:r>
          </w:p>
        </w:tc>
        <w:tc>
          <w:tcPr>
            <w:tcW w:w="1180" w:type="dxa"/>
            <w:vAlign w:val="bottom"/>
          </w:tcPr>
          <w:p>
            <w:pPr>
              <w:spacing w:after="0"/>
              <w:rPr>
                <w:sz w:val="14"/>
                <w:szCs w:val="14"/>
                <w:color w:val="auto"/>
              </w:rPr>
            </w:pPr>
          </w:p>
        </w:tc>
        <w:tc>
          <w:tcPr>
            <w:tcW w:w="4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(78)</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sale of business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47</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Proceeds from minority investments</w:t>
            </w:r>
          </w:p>
        </w:tc>
        <w:tc>
          <w:tcPr>
            <w:tcW w:w="1180" w:type="dxa"/>
            <w:vAlign w:val="bottom"/>
          </w:tcPr>
          <w:p>
            <w:pPr>
              <w:spacing w:after="0"/>
              <w:rPr>
                <w:sz w:val="14"/>
                <w:szCs w:val="14"/>
                <w:color w:val="auto"/>
              </w:rPr>
            </w:pP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12</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sale of property</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5"/>
                <w:szCs w:val="15"/>
                <w:color w:val="auto"/>
              </w:rPr>
              <w:t>Insurance proceeds related to loss on property and equipment</w:t>
            </w: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r>
      <w:tr>
        <w:trPr>
          <w:trHeight w:val="156"/>
        </w:trPr>
        <w:tc>
          <w:tcPr>
            <w:tcW w:w="58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Net cash used in investing activities</w:t>
            </w:r>
          </w:p>
        </w:tc>
        <w:tc>
          <w:tcPr>
            <w:tcW w:w="11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b w:val="1"/>
                <w:bCs w:val="1"/>
                <w:color w:val="auto"/>
                <w:w w:val="96"/>
              </w:rPr>
              <w:t>(113)</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(159)</w:t>
            </w:r>
          </w:p>
        </w:tc>
        <w:tc>
          <w:tcPr>
            <w:tcW w:w="20" w:type="dxa"/>
            <w:vAlign w:val="bottom"/>
          </w:tcPr>
          <w:p>
            <w:pPr>
              <w:spacing w:after="0"/>
              <w:rPr>
                <w:sz w:val="13"/>
                <w:szCs w:val="13"/>
                <w:color w:val="auto"/>
              </w:rPr>
            </w:pPr>
          </w:p>
        </w:tc>
      </w:tr>
      <w:tr>
        <w:trPr>
          <w:trHeight w:val="155"/>
        </w:trPr>
        <w:tc>
          <w:tcPr>
            <w:tcW w:w="580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From financing activities:</w:t>
            </w: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Purchase of treasury shares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w w:val="96"/>
              </w:rPr>
              <w:t>(129)</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Dividends paid on common stock</w:t>
            </w:r>
          </w:p>
        </w:tc>
        <w:tc>
          <w:tcPr>
            <w:tcW w:w="1180" w:type="dxa"/>
            <w:vAlign w:val="bottom"/>
          </w:tcPr>
          <w:p>
            <w:pPr>
              <w:spacing w:after="0"/>
              <w:rPr>
                <w:sz w:val="14"/>
                <w:szCs w:val="14"/>
                <w:color w:val="auto"/>
              </w:rPr>
            </w:pPr>
          </w:p>
        </w:tc>
        <w:tc>
          <w:tcPr>
            <w:tcW w:w="4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(76)</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(42)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obligations under finance leases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(3)</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Shares of common stock repurchased to satisfy tax withholding obligations</w:t>
            </w:r>
          </w:p>
        </w:tc>
        <w:tc>
          <w:tcPr>
            <w:tcW w:w="1180" w:type="dxa"/>
            <w:vAlign w:val="bottom"/>
          </w:tcPr>
          <w:p>
            <w:pPr>
              <w:spacing w:after="0"/>
              <w:rPr>
                <w:sz w:val="14"/>
                <w:szCs w:val="14"/>
                <w:color w:val="auto"/>
              </w:rPr>
            </w:pPr>
          </w:p>
        </w:tc>
        <w:tc>
          <w:tcPr>
            <w:tcW w:w="4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(1)</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(11)</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Treasury stock reissued under employee stock plan</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3</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Proceeds from exercise of stock options</w:t>
            </w:r>
          </w:p>
        </w:tc>
        <w:tc>
          <w:tcPr>
            <w:tcW w:w="1180" w:type="dxa"/>
            <w:vAlign w:val="bottom"/>
          </w:tcPr>
          <w:p>
            <w:pPr>
              <w:spacing w:after="0"/>
              <w:rPr>
                <w:sz w:val="14"/>
                <w:szCs w:val="14"/>
                <w:color w:val="auto"/>
              </w:rPr>
            </w:pP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3</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10</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Contribution from non-controlling interest</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4</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5"/>
                <w:szCs w:val="15"/>
                <w:color w:val="auto"/>
              </w:rPr>
              <w:t>Payment of revolving credit agreement costs</w:t>
            </w: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4"/>
                <w:szCs w:val="14"/>
                <w:color w:val="auto"/>
              </w:rPr>
            </w:pPr>
          </w:p>
        </w:tc>
      </w:tr>
      <w:tr>
        <w:trPr>
          <w:trHeight w:val="155"/>
        </w:trPr>
        <w:tc>
          <w:tcPr>
            <w:tcW w:w="58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Net cash used in financing activities</w:t>
            </w:r>
          </w:p>
        </w:tc>
        <w:tc>
          <w:tcPr>
            <w:tcW w:w="11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b w:val="1"/>
                <w:bCs w:val="1"/>
                <w:color w:val="auto"/>
                <w:w w:val="96"/>
              </w:rPr>
              <w:t>(199)</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(79)</w:t>
            </w:r>
          </w:p>
        </w:tc>
        <w:tc>
          <w:tcPr>
            <w:tcW w:w="20" w:type="dxa"/>
            <w:vAlign w:val="bottom"/>
          </w:tcPr>
          <w:p>
            <w:pPr>
              <w:spacing w:after="0"/>
              <w:rPr>
                <w:sz w:val="13"/>
                <w:szCs w:val="13"/>
                <w:color w:val="auto"/>
              </w:rPr>
            </w:pPr>
          </w:p>
        </w:tc>
      </w:tr>
      <w:tr>
        <w:trPr>
          <w:trHeight w:val="155"/>
        </w:trPr>
        <w:tc>
          <w:tcPr>
            <w:tcW w:w="58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Effect of exchange rate fluctuations on cash, cash equivalents, and restricted cash</w:t>
            </w: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b w:val="1"/>
                <w:bCs w:val="1"/>
                <w:color w:val="auto"/>
              </w:rPr>
              <w:t>(5)</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r>
      <w:tr>
        <w:trPr>
          <w:trHeight w:val="155"/>
        </w:trPr>
        <w:tc>
          <w:tcPr>
            <w:tcW w:w="58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Net change in cash, cash equivalents, and restricted cash</w:t>
            </w:r>
          </w:p>
        </w:tc>
        <w:tc>
          <w:tcPr>
            <w:tcW w:w="11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4"/>
              <w:spacing w:after="0" w:line="156" w:lineRule="exact"/>
              <w:rPr>
                <w:sz w:val="20"/>
                <w:szCs w:val="20"/>
                <w:color w:val="auto"/>
              </w:rPr>
            </w:pPr>
            <w:r>
              <w:rPr>
                <w:rFonts w:ascii="Arial" w:cs="Arial" w:eastAsia="Arial" w:hAnsi="Arial"/>
                <w:sz w:val="15"/>
                <w:szCs w:val="15"/>
                <w:b w:val="1"/>
                <w:bCs w:val="1"/>
                <w:color w:val="auto"/>
                <w:w w:val="96"/>
              </w:rPr>
              <w:t>(419)</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163</w:t>
            </w:r>
          </w:p>
        </w:tc>
        <w:tc>
          <w:tcPr>
            <w:tcW w:w="20" w:type="dxa"/>
            <w:vAlign w:val="bottom"/>
          </w:tcPr>
          <w:p>
            <w:pPr>
              <w:spacing w:after="0"/>
              <w:rPr>
                <w:sz w:val="13"/>
                <w:szCs w:val="13"/>
                <w:color w:val="auto"/>
              </w:rPr>
            </w:pPr>
          </w:p>
        </w:tc>
      </w:tr>
      <w:tr>
        <w:trPr>
          <w:trHeight w:val="162"/>
        </w:trPr>
        <w:tc>
          <w:tcPr>
            <w:tcW w:w="580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Cash, cash equivalents, and restricted cash at beginning of year</w:t>
            </w: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b w:val="1"/>
                <w:bCs w:val="1"/>
                <w:color w:val="auto"/>
              </w:rPr>
              <w:t>850</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1,718</w:t>
            </w:r>
          </w:p>
        </w:tc>
        <w:tc>
          <w:tcPr>
            <w:tcW w:w="20" w:type="dxa"/>
            <w:vAlign w:val="bottom"/>
          </w:tcPr>
          <w:p>
            <w:pPr>
              <w:spacing w:after="0"/>
              <w:rPr>
                <w:sz w:val="14"/>
                <w:szCs w:val="14"/>
                <w:color w:val="auto"/>
              </w:rPr>
            </w:pPr>
          </w:p>
        </w:tc>
      </w:tr>
      <w:tr>
        <w:trPr>
          <w:trHeight w:val="155"/>
        </w:trPr>
        <w:tc>
          <w:tcPr>
            <w:tcW w:w="58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1180" w:type="dxa"/>
            <w:vAlign w:val="bottom"/>
            <w:tcBorders>
              <w:bottom w:val="single" w:sz="8" w:color="auto"/>
            </w:tcBorders>
            <w:shd w:val="clear" w:color="auto" w:fill="CCEEFF"/>
          </w:tcPr>
          <w:p>
            <w:pPr>
              <w:jc w:val="right"/>
              <w:ind w:right="804"/>
              <w:spacing w:after="0" w:line="156"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b w:val="1"/>
                <w:bCs w:val="1"/>
                <w:color w:val="auto"/>
              </w:rPr>
              <w:t>431</w:t>
            </w:r>
          </w:p>
        </w:tc>
        <w:tc>
          <w:tcPr>
            <w:tcW w:w="34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1,881</w:t>
            </w:r>
          </w:p>
        </w:tc>
        <w:tc>
          <w:tcPr>
            <w:tcW w:w="20" w:type="dxa"/>
            <w:vAlign w:val="bottom"/>
          </w:tcPr>
          <w:p>
            <w:pPr>
              <w:spacing w:after="0"/>
              <w:rPr>
                <w:sz w:val="13"/>
                <w:szCs w:val="13"/>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5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8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b w:val="1"/>
                <w:bCs w:val="1"/>
                <w:color w:val="auto"/>
              </w:rPr>
              <w:t>Cash paid during the year:</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Interest</w:t>
            </w:r>
          </w:p>
        </w:tc>
        <w:tc>
          <w:tcPr>
            <w:tcW w:w="1180" w:type="dxa"/>
            <w:vAlign w:val="bottom"/>
          </w:tcPr>
          <w:p>
            <w:pPr>
              <w:jc w:val="right"/>
              <w:ind w:right="804"/>
              <w:spacing w:after="0" w:line="162"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8</w:t>
            </w:r>
          </w:p>
        </w:tc>
        <w:tc>
          <w:tcPr>
            <w:tcW w:w="34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Income taxes</w:t>
            </w:r>
          </w:p>
        </w:tc>
        <w:tc>
          <w:tcPr>
            <w:tcW w:w="1180" w:type="dxa"/>
            <w:vAlign w:val="bottom"/>
            <w:shd w:val="clear" w:color="auto" w:fill="CCEEFF"/>
          </w:tcPr>
          <w:p>
            <w:pPr>
              <w:jc w:val="right"/>
              <w:ind w:right="804"/>
              <w:spacing w:after="0" w:line="162" w:lineRule="exact"/>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103</w:t>
            </w:r>
          </w:p>
        </w:tc>
        <w:tc>
          <w:tcPr>
            <w:tcW w:w="34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229</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Cash paid for amounts included in measurement of operating lease liabilities</w:t>
            </w:r>
          </w:p>
        </w:tc>
        <w:tc>
          <w:tcPr>
            <w:tcW w:w="1180" w:type="dxa"/>
            <w:vAlign w:val="bottom"/>
          </w:tcPr>
          <w:p>
            <w:pPr>
              <w:jc w:val="right"/>
              <w:ind w:right="804"/>
              <w:spacing w:after="0" w:line="162"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354</w:t>
            </w:r>
          </w:p>
        </w:tc>
        <w:tc>
          <w:tcPr>
            <w:tcW w:w="34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358</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Non-cash investing activities: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Right-of-use assets obtained in exchange for operating lease obligations</w:t>
            </w:r>
          </w:p>
        </w:tc>
        <w:tc>
          <w:tcPr>
            <w:tcW w:w="1180" w:type="dxa"/>
            <w:vAlign w:val="bottom"/>
            <w:shd w:val="clear" w:color="auto" w:fill="CCEEFF"/>
          </w:tcPr>
          <w:p>
            <w:pPr>
              <w:jc w:val="right"/>
              <w:ind w:right="804"/>
              <w:spacing w:after="0" w:line="162" w:lineRule="exact"/>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277</w:t>
            </w:r>
          </w:p>
        </w:tc>
        <w:tc>
          <w:tcPr>
            <w:tcW w:w="34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171</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5"/>
                <w:szCs w:val="15"/>
                <w:color w:val="auto"/>
              </w:rPr>
              <w:t>Assets obtained in exchange for finance lease obligations</w:t>
            </w:r>
          </w:p>
        </w:tc>
        <w:tc>
          <w:tcPr>
            <w:tcW w:w="1180" w:type="dxa"/>
            <w:vAlign w:val="bottom"/>
            <w:tcBorders>
              <w:bottom w:val="single" w:sz="8" w:color="auto"/>
            </w:tcBorders>
          </w:tcPr>
          <w:p>
            <w:pPr>
              <w:jc w:val="right"/>
              <w:ind w:right="804"/>
              <w:spacing w:after="0" w:line="162"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b w:val="1"/>
                <w:bCs w:val="1"/>
                <w:color w:val="auto"/>
              </w:rPr>
              <w:t>1</w:t>
            </w:r>
          </w:p>
        </w:tc>
        <w:tc>
          <w:tcPr>
            <w:tcW w:w="34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w:t>
            </w:r>
          </w:p>
        </w:tc>
        <w:tc>
          <w:tcPr>
            <w:tcW w:w="20" w:type="dxa"/>
            <w:vAlign w:val="bottom"/>
          </w:tcPr>
          <w:p>
            <w:pPr>
              <w:spacing w:after="0"/>
              <w:rPr>
                <w:sz w:val="14"/>
                <w:szCs w:val="14"/>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r>
        <w:rPr>
          <w:rFonts w:ascii="Arial" w:cs="Arial" w:eastAsia="Arial" w:hAnsi="Arial"/>
          <w:sz w:val="15"/>
          <w:szCs w:val="15"/>
          <w:color w:val="auto"/>
        </w:rPr>
        <w:t>.</w:t>
      </w: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8" w:lineRule="auto"/>
        <w:rPr>
          <w:sz w:val="20"/>
          <w:szCs w:val="20"/>
          <w:color w:val="auto"/>
        </w:rPr>
      </w:pPr>
      <w:r>
        <w:rPr>
          <w:rFonts w:ascii="Arial" w:cs="Arial" w:eastAsia="Arial" w:hAnsi="Arial"/>
          <w:sz w:val="18"/>
          <w:szCs w:val="18"/>
          <w:b w:val="1"/>
          <w:bCs w:val="1"/>
          <w:color w:val="auto"/>
        </w:rPr>
        <w:t>NOTES TO THE UNAUDITED CONDENSED CONSOLIDATED FINANCIAL STATEMENTS 1. Summary of Significant Accounting Policies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the Unaudited Condensed Consolidated Financial Statements, the terms “Foot Locker,” “Company,” “we,” “our,” and “us” refer to Foot Locker, Inc. and its consolidated subsidiaries.</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results of operations for the period ended July 30, 2022 are not necessarily indicative of the results to be expected for the full fiscal year due to the continued uncertainty of general economic conditions that may affect us for the remainder of 2022.</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our 2021 Form 10-K.</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 xml:space="preserve">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2021 Form 10-K.</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our present or future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2021, we acquired WSS and atmos, two businesses that will allow us to further differentiate our product offerings, as well as our customer base, and diversify our retail store and omnichannel portfolio.</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WSS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During the twenty-six weeks ended July 30, 2022, we paid an additional $4 million upon the finalization of the value of net assets acquired, with a corresponding increase to goodwill as compared with the amounts presented in the most recent annual report. The aggregate purchase price for the acquisition has increased to $811 million ($741 million, net of cash acquired). There were no additional payments or changes to the value of net assets acquired in the thirteen weeks ended July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2. Acquisitions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represents the final allocation of the purchase price for WSS.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5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24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Long-term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405</w:t>
            </w:r>
          </w:p>
        </w:tc>
      </w:tr>
      <w:tr>
        <w:trPr>
          <w:trHeight w:val="183"/>
        </w:trPr>
        <w:tc>
          <w:tcPr>
            <w:tcW w:w="55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purchase price</w:t>
            </w:r>
          </w:p>
        </w:tc>
        <w:tc>
          <w:tcPr>
            <w:tcW w:w="24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811</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atmos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During the thirteen and twenty-six weeks ended July 30, 2022, we paid an additional $5 million and $8 million, respectively, in connection with the finalization of certain post-closing conditions. The aggregate purchase price for the acquisition has increased to $368 million, subject to adjustment for the finalization of the value of net assets acquired and other post-closing matters. The preliminary purchase price includes contingent consideration initially measured at $35 million, which can reach up to $111 million based on achieving certain revenue growth and EBITDA performance targets. The fair value of the contingent consideration has not changed from the initial measurement. The preliminary purchase price does not yet reflect the finalization of the net working capital provisions and other post-closing adjustments. At closing, we placed $30 million in escrow, and an additional $6 million will be payable if certain post-closing conditions are satisfied. We expect to finalize the remaining amounts by the end of this fiscal year.</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following table represents the preliminary allocation of the purchase price for atmos and includes fair value adjustments to certain assets and liabilities since our most recent annual report. Changes to amounts reported at year end and the previous quarter included an $8 million increase in goodwill due to the additional purchase price, revised downward valuation of the tradenames and the addition of the customer list intangible. The adjustments did not have a significant effect on the consolidated results of operations. We determined that the atmos tradenames will have an indefinite life and will not be amortized.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assessing the tax deductibility of the goodwill related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2. Acquisitions (continued)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represents the preliminary allocation of the purchase price for atmos.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9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30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8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3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08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Current portion of lease obligations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Long-term lease obligations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90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9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21"/>
                <w:szCs w:val="21"/>
                <w:color w:val="auto"/>
                <w:vertAlign w:val="superscript"/>
              </w:rPr>
              <w:t>(1)</w:t>
            </w:r>
          </w:p>
        </w:tc>
        <w:tc>
          <w:tcPr>
            <w:tcW w:w="3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w:t>
            </w:r>
          </w:p>
        </w:tc>
      </w:tr>
      <w:tr>
        <w:trPr>
          <w:trHeight w:val="183"/>
        </w:trPr>
        <w:tc>
          <w:tcPr>
            <w:tcW w:w="49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4"/>
                <w:szCs w:val="14"/>
                <w:color w:val="auto"/>
              </w:rPr>
              <w:t xml:space="preserve">Total purchase price </w:t>
            </w:r>
            <w:r>
              <w:rPr>
                <w:rFonts w:ascii="Arial" w:cs="Arial" w:eastAsia="Arial" w:hAnsi="Arial"/>
                <w:sz w:val="21"/>
                <w:szCs w:val="21"/>
                <w:color w:val="auto"/>
                <w:vertAlign w:val="superscript"/>
              </w:rPr>
              <w:t>(2)</w:t>
            </w:r>
          </w:p>
        </w:tc>
        <w:tc>
          <w:tcPr>
            <w:tcW w:w="3080" w:type="dxa"/>
            <w:vAlign w:val="bottom"/>
            <w:tcBorders>
              <w:bottom w:val="single" w:sz="8" w:color="auto"/>
            </w:tcBorders>
            <w:shd w:val="clear" w:color="auto" w:fill="CCEEFF"/>
          </w:tcPr>
          <w:p>
            <w:pPr>
              <w:jc w:val="right"/>
              <w:ind w:right="519"/>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368</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Goodwill represented on this table is at the exchange rate in effect as of the date of acquisition.</w:t>
      </w:r>
    </w:p>
    <w:p>
      <w:pPr>
        <w:spacing w:after="0" w:line="15" w:lineRule="exact"/>
        <w:rPr>
          <w:rFonts w:ascii="Arial" w:cs="Arial" w:eastAsia="Arial" w:hAnsi="Arial"/>
          <w:sz w:val="14"/>
          <w:szCs w:val="14"/>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purchase price consists of $333 million in cash and $35 million of contingent consideration.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table below presents sales disaggregated based upon sales channel. Sales are attributable to the channel in which the sales transaction is initiated.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rPr>
              <w:t>July 30,</w:t>
            </w:r>
          </w:p>
        </w:tc>
        <w:tc>
          <w:tcPr>
            <w:tcW w:w="300" w:type="dxa"/>
            <w:vAlign w:val="bottom"/>
          </w:tcPr>
          <w:p>
            <w:pPr>
              <w:spacing w:after="0"/>
              <w:rPr>
                <w:sz w:val="13"/>
                <w:szCs w:val="13"/>
                <w:color w:val="auto"/>
              </w:rPr>
            </w:pPr>
          </w:p>
        </w:tc>
        <w:tc>
          <w:tcPr>
            <w:tcW w:w="104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rPr>
              <w:t>July 31,</w:t>
            </w:r>
          </w:p>
        </w:tc>
        <w:tc>
          <w:tcPr>
            <w:tcW w:w="320" w:type="dxa"/>
            <w:vAlign w:val="bottom"/>
          </w:tcPr>
          <w:p>
            <w:pPr>
              <w:spacing w:after="0"/>
              <w:rPr>
                <w:sz w:val="13"/>
                <w:szCs w:val="13"/>
                <w:color w:val="auto"/>
              </w:rPr>
            </w:pPr>
          </w:p>
        </w:tc>
        <w:tc>
          <w:tcPr>
            <w:tcW w:w="104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July 30,</w:t>
            </w:r>
          </w:p>
        </w:tc>
        <w:tc>
          <w:tcPr>
            <w:tcW w:w="300" w:type="dxa"/>
            <w:vAlign w:val="bottom"/>
          </w:tcPr>
          <w:p>
            <w:pPr>
              <w:spacing w:after="0"/>
              <w:rPr>
                <w:sz w:val="13"/>
                <w:szCs w:val="13"/>
                <w:color w:val="auto"/>
              </w:rPr>
            </w:pPr>
          </w:p>
        </w:tc>
        <w:tc>
          <w:tcPr>
            <w:tcW w:w="980" w:type="dxa"/>
            <w:vAlign w:val="bottom"/>
          </w:tcPr>
          <w:p>
            <w:pPr>
              <w:jc w:val="right"/>
              <w:ind w:right="1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r>
      <w:tr>
        <w:trPr>
          <w:trHeight w:val="183"/>
        </w:trPr>
        <w:tc>
          <w:tcPr>
            <w:tcW w:w="26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Channel</w:t>
            </w:r>
          </w:p>
        </w:tc>
        <w:tc>
          <w:tcPr>
            <w:tcW w:w="1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2600" w:type="dxa"/>
            <w:vAlign w:val="bottom"/>
          </w:tcPr>
          <w:p>
            <w:pPr>
              <w:ind w:left="20"/>
              <w:spacing w:after="0" w:line="189" w:lineRule="exact"/>
              <w:rPr>
                <w:sz w:val="20"/>
                <w:szCs w:val="20"/>
                <w:color w:val="auto"/>
              </w:rPr>
            </w:pPr>
            <w:r>
              <w:rPr>
                <w:rFonts w:ascii="Arial" w:cs="Arial" w:eastAsia="Arial" w:hAnsi="Arial"/>
                <w:sz w:val="17"/>
                <w:szCs w:val="17"/>
                <w:color w:val="auto"/>
              </w:rPr>
              <w:t>Stores</w:t>
            </w:r>
          </w:p>
        </w:tc>
        <w:tc>
          <w:tcPr>
            <w:tcW w:w="1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1,716</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1,817</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3,492</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3,437</w:t>
            </w:r>
          </w:p>
        </w:tc>
      </w:tr>
      <w:tr>
        <w:trPr>
          <w:trHeight w:val="189"/>
        </w:trPr>
        <w:tc>
          <w:tcPr>
            <w:tcW w:w="26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1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349</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458</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748</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991</w:t>
            </w:r>
          </w:p>
        </w:tc>
      </w:tr>
      <w:tr>
        <w:trPr>
          <w:trHeight w:val="183"/>
        </w:trPr>
        <w:tc>
          <w:tcPr>
            <w:tcW w:w="26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2,065</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2,275</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4,240</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4,428</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Sales disaggregated based upon geographic area are presented in the table below. Sales are attributable to the geographic area in which the sales transaction is fulfilled.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rPr>
              <w:t>July 30,</w:t>
            </w:r>
          </w:p>
        </w:tc>
        <w:tc>
          <w:tcPr>
            <w:tcW w:w="300" w:type="dxa"/>
            <w:vAlign w:val="bottom"/>
          </w:tcPr>
          <w:p>
            <w:pPr>
              <w:spacing w:after="0"/>
              <w:rPr>
                <w:sz w:val="13"/>
                <w:szCs w:val="13"/>
                <w:color w:val="auto"/>
              </w:rPr>
            </w:pPr>
          </w:p>
        </w:tc>
        <w:tc>
          <w:tcPr>
            <w:tcW w:w="104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rPr>
              <w:t>July 31,</w:t>
            </w:r>
          </w:p>
        </w:tc>
        <w:tc>
          <w:tcPr>
            <w:tcW w:w="320" w:type="dxa"/>
            <w:vAlign w:val="bottom"/>
          </w:tcPr>
          <w:p>
            <w:pPr>
              <w:spacing w:after="0"/>
              <w:rPr>
                <w:sz w:val="13"/>
                <w:szCs w:val="13"/>
                <w:color w:val="auto"/>
              </w:rPr>
            </w:pPr>
          </w:p>
        </w:tc>
        <w:tc>
          <w:tcPr>
            <w:tcW w:w="104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July 30,</w:t>
            </w:r>
          </w:p>
        </w:tc>
        <w:tc>
          <w:tcPr>
            <w:tcW w:w="300" w:type="dxa"/>
            <w:vAlign w:val="bottom"/>
          </w:tcPr>
          <w:p>
            <w:pPr>
              <w:spacing w:after="0"/>
              <w:rPr>
                <w:sz w:val="13"/>
                <w:szCs w:val="13"/>
                <w:color w:val="auto"/>
              </w:rPr>
            </w:pPr>
          </w:p>
        </w:tc>
        <w:tc>
          <w:tcPr>
            <w:tcW w:w="980" w:type="dxa"/>
            <w:vAlign w:val="bottom"/>
          </w:tcPr>
          <w:p>
            <w:pPr>
              <w:jc w:val="right"/>
              <w:ind w:right="1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r>
      <w:tr>
        <w:trPr>
          <w:trHeight w:val="183"/>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Geography</w:t>
            </w:r>
          </w:p>
        </w:tc>
        <w:tc>
          <w:tcPr>
            <w:tcW w:w="1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United States</w:t>
            </w: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1,383</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1,623</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2,923</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3,336</w:t>
            </w:r>
          </w:p>
        </w:tc>
      </w:tr>
      <w:tr>
        <w:trPr>
          <w:trHeight w:val="189"/>
        </w:trPr>
        <w:tc>
          <w:tcPr>
            <w:tcW w:w="26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International</w:t>
            </w:r>
          </w:p>
        </w:tc>
        <w:tc>
          <w:tcPr>
            <w:tcW w:w="1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682</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652</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1,317</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1,092</w:t>
            </w:r>
          </w:p>
        </w:tc>
      </w:tr>
      <w:tr>
        <w:trPr>
          <w:trHeight w:val="183"/>
        </w:trPr>
        <w:tc>
          <w:tcPr>
            <w:tcW w:w="26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2,065</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2,275</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4,240</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4,428</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8" w:lineRule="auto"/>
        <w:rPr>
          <w:sz w:val="20"/>
          <w:szCs w:val="20"/>
          <w:color w:val="auto"/>
        </w:rPr>
      </w:pPr>
      <w:r>
        <w:rPr>
          <w:rFonts w:ascii="Arial" w:cs="Arial" w:eastAsia="Arial" w:hAnsi="Arial"/>
          <w:sz w:val="18"/>
          <w:szCs w:val="18"/>
          <w:b w:val="1"/>
          <w:bCs w:val="1"/>
          <w:color w:val="auto"/>
        </w:rPr>
        <w:t>NOTES TO THE UNAUDITED CONDENSED CONSOLIDATED FINANCIAL STATEMENTS 3. Revenue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Liabilities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July 30,</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jc w:val="right"/>
              <w:ind w:right="415"/>
              <w:spacing w:after="0"/>
              <w:rPr>
                <w:sz w:val="20"/>
                <w:szCs w:val="20"/>
                <w:color w:val="auto"/>
              </w:rPr>
            </w:pPr>
            <w:r>
              <w:rPr>
                <w:rFonts w:ascii="Arial" w:cs="Arial" w:eastAsia="Arial" w:hAnsi="Arial"/>
                <w:sz w:val="17"/>
                <w:szCs w:val="17"/>
                <w:b w:val="1"/>
                <w:bCs w:val="1"/>
                <w:color w:val="auto"/>
              </w:rPr>
              <w:t>July 31,</w:t>
            </w:r>
          </w:p>
        </w:tc>
      </w:tr>
      <w:tr>
        <w:trPr>
          <w:trHeight w:val="21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4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 at beginning of year</w:t>
            </w:r>
          </w:p>
        </w:tc>
        <w:tc>
          <w:tcPr>
            <w:tcW w:w="2420" w:type="dxa"/>
            <w:vAlign w:val="bottom"/>
            <w:shd w:val="clear" w:color="auto" w:fill="CCEEFF"/>
          </w:tcPr>
          <w:p>
            <w:pPr>
              <w:jc w:val="right"/>
              <w:ind w:right="91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46</w:t>
            </w:r>
          </w:p>
        </w:tc>
        <w:tc>
          <w:tcPr>
            <w:tcW w:w="4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Redemptions</w:t>
            </w:r>
          </w:p>
        </w:tc>
        <w:tc>
          <w:tcPr>
            <w:tcW w:w="2420" w:type="dxa"/>
            <w:vAlign w:val="bottom"/>
          </w:tcPr>
          <w:p>
            <w:pPr>
              <w:spacing w:after="0"/>
              <w:rPr>
                <w:sz w:val="16"/>
                <w:szCs w:val="16"/>
                <w:color w:val="auto"/>
              </w:rPr>
            </w:pPr>
          </w:p>
        </w:tc>
        <w:tc>
          <w:tcPr>
            <w:tcW w:w="66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(120)</w:t>
            </w:r>
          </w:p>
        </w:tc>
        <w:tc>
          <w:tcPr>
            <w:tcW w:w="4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24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(8)</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Activations</w:t>
            </w:r>
          </w:p>
        </w:tc>
        <w:tc>
          <w:tcPr>
            <w:tcW w:w="2420" w:type="dxa"/>
            <w:vAlign w:val="bottom"/>
          </w:tcPr>
          <w:p>
            <w:pPr>
              <w:spacing w:after="0"/>
              <w:rPr>
                <w:sz w:val="16"/>
                <w:szCs w:val="16"/>
                <w:color w:val="auto"/>
              </w:rPr>
            </w:pPr>
          </w:p>
        </w:tc>
        <w:tc>
          <w:tcPr>
            <w:tcW w:w="6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115</w:t>
            </w:r>
          </w:p>
        </w:tc>
        <w:tc>
          <w:tcPr>
            <w:tcW w:w="4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128</w:t>
            </w:r>
          </w:p>
        </w:tc>
      </w:tr>
      <w:tr>
        <w:trPr>
          <w:trHeight w:val="189"/>
        </w:trPr>
        <w:tc>
          <w:tcPr>
            <w:tcW w:w="408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Foreign currency fluctuations</w:t>
            </w:r>
          </w:p>
        </w:tc>
        <w:tc>
          <w:tcPr>
            <w:tcW w:w="24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w:t>
            </w:r>
          </w:p>
        </w:tc>
        <w:tc>
          <w:tcPr>
            <w:tcW w:w="4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40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Gift card liability</w:t>
            </w:r>
          </w:p>
        </w:tc>
        <w:tc>
          <w:tcPr>
            <w:tcW w:w="2420" w:type="dxa"/>
            <w:vAlign w:val="bottom"/>
            <w:tcBorders>
              <w:bottom w:val="single" w:sz="8" w:color="auto"/>
            </w:tcBorders>
          </w:tcPr>
          <w:p>
            <w:pPr>
              <w:jc w:val="right"/>
              <w:ind w:right="91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32</w:t>
            </w:r>
          </w:p>
        </w:tc>
        <w:tc>
          <w:tcPr>
            <w:tcW w:w="4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Segment Information</w:t>
      </w:r>
    </w:p>
    <w:p>
      <w:pPr>
        <w:spacing w:after="0" w:line="171"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We have integrated all available shopping channels including stores, websites, apps, and social channels. Store sales are primarily fulfilled from the store’s inventory, but may also be shipped from any of our distribution centers or from a different store location if an item is not available at the original store. Direct-to-customer orders are generally shipped to our customers through our distribution centers but may also be shipped from any store or a combination of our distribution centers and stores depending on availability.</w:t>
      </w:r>
    </w:p>
    <w:p>
      <w:pPr>
        <w:spacing w:after="0" w:line="12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 non-operating income, and net interest expense.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Pr>
          <w:p>
            <w:pPr>
              <w:spacing w:after="0"/>
              <w:rPr>
                <w:sz w:val="18"/>
                <w:szCs w:val="18"/>
                <w:color w:val="auto"/>
              </w:rPr>
            </w:pPr>
          </w:p>
        </w:tc>
        <w:tc>
          <w:tcPr>
            <w:tcW w:w="2300" w:type="dxa"/>
            <w:vAlign w:val="bottom"/>
            <w:gridSpan w:val="4"/>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33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75"/>
              <w:spacing w:after="0" w:line="160" w:lineRule="exact"/>
              <w:rPr>
                <w:sz w:val="20"/>
                <w:szCs w:val="20"/>
                <w:color w:val="auto"/>
              </w:rPr>
            </w:pPr>
            <w:r>
              <w:rPr>
                <w:rFonts w:ascii="Arial" w:cs="Arial" w:eastAsia="Arial" w:hAnsi="Arial"/>
                <w:sz w:val="17"/>
                <w:szCs w:val="17"/>
                <w:b w:val="1"/>
                <w:bCs w:val="1"/>
                <w:color w:val="auto"/>
              </w:rPr>
              <w:t>July 30,</w:t>
            </w: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35"/>
              <w:spacing w:after="0" w:line="160" w:lineRule="exact"/>
              <w:rPr>
                <w:sz w:val="20"/>
                <w:szCs w:val="20"/>
                <w:color w:val="auto"/>
              </w:rPr>
            </w:pPr>
            <w:r>
              <w:rPr>
                <w:rFonts w:ascii="Arial" w:cs="Arial" w:eastAsia="Arial" w:hAnsi="Arial"/>
                <w:sz w:val="17"/>
                <w:szCs w:val="17"/>
                <w:b w:val="1"/>
                <w:bCs w:val="1"/>
                <w:color w:val="auto"/>
              </w:rPr>
              <w:t>July 31,</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75"/>
              <w:spacing w:after="0" w:line="160" w:lineRule="exact"/>
              <w:rPr>
                <w:sz w:val="20"/>
                <w:szCs w:val="20"/>
                <w:color w:val="auto"/>
              </w:rPr>
            </w:pPr>
            <w:r>
              <w:rPr>
                <w:rFonts w:ascii="Arial" w:cs="Arial" w:eastAsia="Arial" w:hAnsi="Arial"/>
                <w:sz w:val="17"/>
                <w:szCs w:val="17"/>
                <w:b w:val="1"/>
                <w:bCs w:val="1"/>
                <w:color w:val="auto"/>
              </w:rPr>
              <w:t>July 30,</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55"/>
              <w:spacing w:after="0" w:line="160" w:lineRule="exact"/>
              <w:rPr>
                <w:sz w:val="20"/>
                <w:szCs w:val="20"/>
                <w:color w:val="auto"/>
              </w:rPr>
            </w:pPr>
            <w:r>
              <w:rPr>
                <w:rFonts w:ascii="Arial" w:cs="Arial" w:eastAsia="Arial" w:hAnsi="Arial"/>
                <w:sz w:val="17"/>
                <w:szCs w:val="17"/>
                <w:b w:val="1"/>
                <w:bCs w:val="1"/>
                <w:color w:val="auto"/>
              </w:rPr>
              <w:t>July 31,</w:t>
            </w:r>
          </w:p>
        </w:tc>
        <w:tc>
          <w:tcPr>
            <w:tcW w:w="20" w:type="dxa"/>
            <w:vAlign w:val="bottom"/>
          </w:tcPr>
          <w:p>
            <w:pPr>
              <w:spacing w:after="0"/>
              <w:rPr>
                <w:sz w:val="13"/>
                <w:szCs w:val="13"/>
                <w:color w:val="auto"/>
              </w:rPr>
            </w:pPr>
          </w:p>
        </w:tc>
      </w:tr>
      <w:tr>
        <w:trPr>
          <w:trHeight w:val="21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2021</w:t>
            </w:r>
          </w:p>
        </w:tc>
        <w:tc>
          <w:tcPr>
            <w:tcW w:w="20" w:type="dxa"/>
            <w:vAlign w:val="bottom"/>
          </w:tcPr>
          <w:p>
            <w:pPr>
              <w:spacing w:after="0"/>
              <w:rPr>
                <w:sz w:val="18"/>
                <w:szCs w:val="18"/>
                <w:color w:val="auto"/>
              </w:rPr>
            </w:pP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2,065</w:t>
            </w:r>
          </w:p>
        </w:tc>
        <w:tc>
          <w:tcPr>
            <w:tcW w:w="3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2,275</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4,240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4,428</w:t>
            </w:r>
          </w:p>
        </w:tc>
        <w:tc>
          <w:tcPr>
            <w:tcW w:w="20" w:type="dxa"/>
            <w:vAlign w:val="bottom"/>
          </w:tcPr>
          <w:p>
            <w:pPr>
              <w:spacing w:after="0"/>
              <w:rPr>
                <w:sz w:val="15"/>
                <w:szCs w:val="15"/>
                <w:color w:val="auto"/>
              </w:rPr>
            </w:pPr>
          </w:p>
        </w:tc>
      </w:tr>
      <w:tr>
        <w:trPr>
          <w:trHeight w:val="189"/>
        </w:trPr>
        <w:tc>
          <w:tcPr>
            <w:tcW w:w="3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Results</w:t>
            </w: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Division profit</w:t>
            </w:r>
          </w:p>
        </w:tc>
        <w:tc>
          <w:tcPr>
            <w:tcW w:w="540" w:type="dxa"/>
            <w:vAlign w:val="bottom"/>
          </w:tcPr>
          <w:p>
            <w:pPr>
              <w:spacing w:after="0"/>
              <w:rPr>
                <w:sz w:val="16"/>
                <w:szCs w:val="16"/>
                <w:color w:val="auto"/>
              </w:rPr>
            </w:pPr>
          </w:p>
        </w:tc>
        <w:tc>
          <w:tcPr>
            <w:tcW w:w="10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184</w:t>
            </w:r>
          </w:p>
        </w:tc>
        <w:tc>
          <w:tcPr>
            <w:tcW w:w="30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332</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444</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647</w:t>
            </w:r>
          </w:p>
        </w:tc>
        <w:tc>
          <w:tcPr>
            <w:tcW w:w="2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36</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18</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w:t>
            </w:r>
          </w:p>
        </w:tc>
        <w:tc>
          <w:tcPr>
            <w:tcW w:w="20" w:type="dxa"/>
            <w:vAlign w:val="bottom"/>
          </w:tcPr>
          <w:p>
            <w:pPr>
              <w:spacing w:after="0"/>
              <w:rPr>
                <w:sz w:val="16"/>
                <w:szCs w:val="16"/>
                <w:color w:val="auto"/>
              </w:rPr>
            </w:pPr>
          </w:p>
        </w:tc>
      </w:tr>
      <w:tr>
        <w:trPr>
          <w:trHeight w:val="189"/>
        </w:trPr>
        <w:tc>
          <w:tcPr>
            <w:tcW w:w="3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33</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32</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70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w:t>
            </w:r>
          </w:p>
        </w:tc>
        <w:tc>
          <w:tcPr>
            <w:tcW w:w="20" w:type="dxa"/>
            <w:vAlign w:val="bottom"/>
          </w:tcPr>
          <w:p>
            <w:pPr>
              <w:spacing w:after="0"/>
              <w:rPr>
                <w:sz w:val="16"/>
                <w:szCs w:val="16"/>
                <w:color w:val="auto"/>
              </w:rPr>
            </w:pP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from operations</w:t>
            </w: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139</w:t>
            </w: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264</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356</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546</w:t>
            </w:r>
          </w:p>
        </w:tc>
        <w:tc>
          <w:tcPr>
            <w:tcW w:w="20" w:type="dxa"/>
            <w:vAlign w:val="bottom"/>
          </w:tcPr>
          <w:p>
            <w:pPr>
              <w:spacing w:after="0"/>
              <w:rPr>
                <w:sz w:val="15"/>
                <w:szCs w:val="15"/>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Interest expense, net</w:t>
            </w:r>
          </w:p>
        </w:tc>
        <w:tc>
          <w:tcPr>
            <w:tcW w:w="540" w:type="dxa"/>
            <w:vAlign w:val="bottom"/>
          </w:tcPr>
          <w:p>
            <w:pPr>
              <w:spacing w:after="0"/>
              <w:rPr>
                <w:sz w:val="16"/>
                <w:szCs w:val="16"/>
                <w:color w:val="auto"/>
              </w:rPr>
            </w:pPr>
          </w:p>
        </w:tc>
        <w:tc>
          <w:tcPr>
            <w:tcW w:w="10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(5)</w:t>
            </w:r>
          </w:p>
        </w:tc>
        <w:tc>
          <w:tcPr>
            <w:tcW w:w="30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60" w:type="dxa"/>
            <w:vAlign w:val="bottom"/>
          </w:tcPr>
          <w:p>
            <w:pPr>
              <w:spacing w:after="0"/>
              <w:rPr>
                <w:sz w:val="16"/>
                <w:szCs w:val="16"/>
                <w:color w:val="auto"/>
              </w:rPr>
            </w:pPr>
          </w:p>
        </w:tc>
        <w:tc>
          <w:tcPr>
            <w:tcW w:w="108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(10)</w:t>
            </w:r>
          </w:p>
        </w:tc>
        <w:tc>
          <w:tcPr>
            <w:tcW w:w="2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r>
      <w:tr>
        <w:trPr>
          <w:trHeight w:val="189"/>
        </w:trPr>
        <w:tc>
          <w:tcPr>
            <w:tcW w:w="33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Other income / (expense), net </w:t>
            </w:r>
            <w:r>
              <w:rPr>
                <w:rFonts w:ascii="Arial" w:cs="Arial" w:eastAsia="Arial" w:hAnsi="Arial"/>
                <w:sz w:val="21"/>
                <w:szCs w:val="21"/>
                <w:color w:val="auto"/>
                <w:vertAlign w:val="superscript"/>
              </w:rPr>
              <w:t>(3)</w:t>
            </w:r>
          </w:p>
        </w:tc>
        <w:tc>
          <w:tcPr>
            <w:tcW w:w="5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w:t>
            </w: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325</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(13)</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329</w:t>
            </w:r>
          </w:p>
        </w:tc>
        <w:tc>
          <w:tcPr>
            <w:tcW w:w="20" w:type="dxa"/>
            <w:vAlign w:val="bottom"/>
          </w:tcPr>
          <w:p>
            <w:pPr>
              <w:spacing w:after="0"/>
              <w:rPr>
                <w:sz w:val="16"/>
                <w:szCs w:val="16"/>
                <w:color w:val="auto"/>
              </w:rPr>
            </w:pPr>
          </w:p>
        </w:tc>
      </w:tr>
      <w:tr>
        <w:trPr>
          <w:trHeight w:val="183"/>
        </w:trPr>
        <w:tc>
          <w:tcPr>
            <w:tcW w:w="33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Income before income taxes</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143</w:t>
            </w:r>
          </w:p>
        </w:tc>
        <w:tc>
          <w:tcPr>
            <w:tcW w:w="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587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333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871</w:t>
            </w:r>
          </w:p>
        </w:tc>
        <w:tc>
          <w:tcPr>
            <w:tcW w:w="20" w:type="dxa"/>
            <w:vAlign w:val="bottom"/>
          </w:tcPr>
          <w:p>
            <w:pPr>
              <w:spacing w:after="0"/>
              <w:rPr>
                <w:sz w:val="15"/>
                <w:szCs w:val="15"/>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See Note 5,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 xml:space="preserve"> for further detail.</w:t>
      </w:r>
    </w:p>
    <w:p>
      <w:pPr>
        <w:jc w:val="both"/>
        <w:ind w:left="380" w:right="79" w:hanging="330"/>
        <w:spacing w:after="0" w:line="216"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 w:lineRule="exact"/>
        <w:rPr>
          <w:rFonts w:ascii="Arial" w:cs="Arial" w:eastAsia="Arial" w:hAnsi="Arial"/>
          <w:sz w:val="13"/>
          <w:szCs w:val="13"/>
          <w:color w:val="auto"/>
        </w:rPr>
      </w:pPr>
    </w:p>
    <w:p>
      <w:pPr>
        <w:ind w:left="380" w:right="79" w:hanging="330"/>
        <w:spacing w:after="0" w:line="262"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Other income / (expense), net for the thirteen weeks and twenty-six weeks ended July 30, 2022 represented primarily the loss on the change in fair value of our investment in Retailors, Ltd., a publicly-listed entity, which was partially offset by other income. See Note 6, </w:t>
      </w:r>
      <w:r>
        <w:rPr>
          <w:rFonts w:ascii="Arial" w:cs="Arial" w:eastAsia="Arial" w:hAnsi="Arial"/>
          <w:sz w:val="12"/>
          <w:szCs w:val="12"/>
          <w:i w:val="1"/>
          <w:iCs w:val="1"/>
          <w:color w:val="auto"/>
        </w:rPr>
        <w:t>Other Income / (Expense), net</w:t>
      </w:r>
      <w:r>
        <w:rPr>
          <w:rFonts w:ascii="Arial" w:cs="Arial" w:eastAsia="Arial" w:hAnsi="Arial"/>
          <w:sz w:val="12"/>
          <w:szCs w:val="12"/>
          <w:color w:val="auto"/>
        </w:rPr>
        <w:t>.</w:t>
      </w:r>
    </w:p>
    <w:p>
      <w:pPr>
        <w:spacing w:after="0" w:line="200" w:lineRule="exact"/>
        <w:rPr>
          <w:sz w:val="20"/>
          <w:szCs w:val="20"/>
          <w:color w:val="auto"/>
        </w:rPr>
      </w:pPr>
    </w:p>
    <w:p>
      <w:pPr>
        <w:spacing w:after="0" w:line="3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514" w:lineRule="auto"/>
        <w:rPr>
          <w:sz w:val="20"/>
          <w:szCs w:val="20"/>
          <w:color w:val="auto"/>
        </w:rPr>
      </w:pPr>
      <w:r>
        <w:rPr>
          <w:rFonts w:ascii="Arial" w:cs="Arial" w:eastAsia="Arial" w:hAnsi="Arial"/>
          <w:sz w:val="18"/>
          <w:szCs w:val="18"/>
          <w:b w:val="1"/>
          <w:bCs w:val="1"/>
          <w:color w:val="auto"/>
        </w:rPr>
        <w:t>NOTES TO THE UNAUDITED CONDENSED CONSOLIDATED FINANCIAL STATEMENTS 5. Impairment and Other Charges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5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Thirteen weeks ended</w:t>
            </w:r>
          </w:p>
        </w:tc>
        <w:tc>
          <w:tcPr>
            <w:tcW w:w="3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350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32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July 31,</w:t>
            </w:r>
          </w:p>
        </w:tc>
        <w:tc>
          <w:tcPr>
            <w:tcW w:w="36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2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2021</w:t>
            </w:r>
          </w:p>
        </w:tc>
      </w:tr>
      <w:tr>
        <w:trPr>
          <w:trHeight w:val="183"/>
        </w:trPr>
        <w:tc>
          <w:tcPr>
            <w:tcW w:w="35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Transformation consulting</w:t>
            </w:r>
          </w:p>
        </w:tc>
        <w:tc>
          <w:tcPr>
            <w:tcW w:w="104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w:t>
            </w:r>
          </w:p>
        </w:tc>
        <w:tc>
          <w:tcPr>
            <w:tcW w:w="1040" w:type="dxa"/>
            <w:vAlign w:val="bottom"/>
            <w:shd w:val="clear" w:color="auto" w:fill="CCEEFF"/>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695"/>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w w:val="84"/>
              </w:rPr>
              <w:t>10</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r>
      <w:tr>
        <w:trPr>
          <w:trHeight w:val="167"/>
        </w:trPr>
        <w:tc>
          <w:tcPr>
            <w:tcW w:w="3500" w:type="dxa"/>
            <w:vAlign w:val="bottom"/>
          </w:tcPr>
          <w:p>
            <w:pPr>
              <w:ind w:left="20"/>
              <w:spacing w:after="0" w:line="167" w:lineRule="exact"/>
              <w:rPr>
                <w:sz w:val="20"/>
                <w:szCs w:val="20"/>
                <w:color w:val="auto"/>
              </w:rPr>
            </w:pPr>
            <w:r>
              <w:rPr>
                <w:rFonts w:ascii="Arial" w:cs="Arial" w:eastAsia="Arial" w:hAnsi="Arial"/>
                <w:sz w:val="17"/>
                <w:szCs w:val="17"/>
                <w:color w:val="auto"/>
              </w:rPr>
              <w:t>Impairment of long-lived assets and right-of-</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7"/>
                <w:szCs w:val="17"/>
                <w:color w:val="auto"/>
              </w:rPr>
              <w:t>use assets</w:t>
            </w:r>
          </w:p>
        </w:tc>
        <w:tc>
          <w:tcPr>
            <w:tcW w:w="1040" w:type="dxa"/>
            <w:vAlign w:val="bottom"/>
          </w:tcPr>
          <w:p>
            <w:pPr>
              <w:spacing w:after="0"/>
              <w:rPr>
                <w:sz w:val="18"/>
                <w:szCs w:val="18"/>
                <w:color w:val="auto"/>
              </w:rPr>
            </w:pP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auto"/>
              </w:rPr>
              <w:t>2</w:t>
            </w:r>
          </w:p>
        </w:tc>
        <w:tc>
          <w:tcPr>
            <w:tcW w:w="1040" w:type="dxa"/>
            <w:vAlign w:val="bottom"/>
          </w:tcPr>
          <w:p>
            <w:pPr>
              <w:spacing w:after="0"/>
              <w:rPr>
                <w:sz w:val="18"/>
                <w:szCs w:val="18"/>
                <w:color w:val="auto"/>
              </w:rPr>
            </w:pPr>
          </w:p>
        </w:tc>
        <w:tc>
          <w:tcPr>
            <w:tcW w:w="360" w:type="dxa"/>
            <w:vAlign w:val="bottom"/>
          </w:tcPr>
          <w:p>
            <w:pPr>
              <w:jc w:val="right"/>
              <w:ind w:right="75"/>
              <w:spacing w:after="0"/>
              <w:rPr>
                <w:sz w:val="20"/>
                <w:szCs w:val="20"/>
                <w:color w:val="auto"/>
              </w:rPr>
            </w:pPr>
            <w:r>
              <w:rPr>
                <w:rFonts w:ascii="Arial" w:cs="Arial" w:eastAsia="Arial" w:hAnsi="Arial"/>
                <w:sz w:val="17"/>
                <w:szCs w:val="17"/>
                <w:color w:val="auto"/>
                <w:w w:val="94"/>
              </w:rPr>
              <w:t>39</w:t>
            </w:r>
          </w:p>
        </w:tc>
        <w:tc>
          <w:tcPr>
            <w:tcW w:w="98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auto"/>
              </w:rPr>
              <w:t>5</w:t>
            </w:r>
          </w:p>
        </w:tc>
        <w:tc>
          <w:tcPr>
            <w:tcW w:w="280" w:type="dxa"/>
            <w:vAlign w:val="bottom"/>
          </w:tcPr>
          <w:p>
            <w:pPr>
              <w:spacing w:after="0"/>
              <w:rPr>
                <w:sz w:val="18"/>
                <w:szCs w:val="18"/>
                <w:color w:val="auto"/>
              </w:rPr>
            </w:pPr>
          </w:p>
        </w:tc>
        <w:tc>
          <w:tcPr>
            <w:tcW w:w="1060" w:type="dxa"/>
            <w:vAlign w:val="bottom"/>
          </w:tcPr>
          <w:p>
            <w:pPr>
              <w:jc w:val="right"/>
              <w:ind w:right="115"/>
              <w:spacing w:after="0"/>
              <w:rPr>
                <w:sz w:val="20"/>
                <w:szCs w:val="20"/>
                <w:color w:val="auto"/>
              </w:rPr>
            </w:pPr>
            <w:r>
              <w:rPr>
                <w:rFonts w:ascii="Arial" w:cs="Arial" w:eastAsia="Arial" w:hAnsi="Arial"/>
                <w:sz w:val="17"/>
                <w:szCs w:val="17"/>
                <w:color w:val="auto"/>
              </w:rPr>
              <w:t>39</w:t>
            </w:r>
          </w:p>
        </w:tc>
      </w:tr>
      <w:tr>
        <w:trPr>
          <w:trHeight w:val="189"/>
        </w:trPr>
        <w:tc>
          <w:tcPr>
            <w:tcW w:w="35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Acquisition and integration costs</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r>
      <w:tr>
        <w:trPr>
          <w:trHeight w:val="189"/>
        </w:trPr>
        <w:tc>
          <w:tcPr>
            <w:tcW w:w="3500" w:type="dxa"/>
            <w:vAlign w:val="bottom"/>
          </w:tcPr>
          <w:p>
            <w:pPr>
              <w:ind w:left="20"/>
              <w:spacing w:after="0" w:line="189" w:lineRule="exact"/>
              <w:rPr>
                <w:sz w:val="20"/>
                <w:szCs w:val="20"/>
                <w:color w:val="auto"/>
              </w:rPr>
            </w:pPr>
            <w:r>
              <w:rPr>
                <w:rFonts w:ascii="Arial" w:cs="Arial" w:eastAsia="Arial" w:hAnsi="Arial"/>
                <w:sz w:val="17"/>
                <w:szCs w:val="17"/>
                <w:color w:val="auto"/>
              </w:rPr>
              <w:t>Lease termination costs</w:t>
            </w:r>
          </w:p>
        </w:tc>
        <w:tc>
          <w:tcPr>
            <w:tcW w:w="1040" w:type="dxa"/>
            <w:vAlign w:val="bottom"/>
          </w:tcPr>
          <w:p>
            <w:pPr>
              <w:spacing w:after="0"/>
              <w:rPr>
                <w:sz w:val="16"/>
                <w:szCs w:val="16"/>
                <w:color w:val="auto"/>
              </w:rPr>
            </w:pPr>
          </w:p>
        </w:tc>
        <w:tc>
          <w:tcPr>
            <w:tcW w:w="3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spacing w:after="0"/>
              <w:rPr>
                <w:sz w:val="16"/>
                <w:szCs w:val="16"/>
                <w:color w:val="auto"/>
              </w:rPr>
            </w:pP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980" w:type="dxa"/>
            <w:vAlign w:val="bottom"/>
          </w:tcPr>
          <w:p>
            <w:pPr>
              <w:spacing w:after="0"/>
              <w:rPr>
                <w:sz w:val="16"/>
                <w:szCs w:val="16"/>
                <w:color w:val="auto"/>
              </w:rPr>
            </w:pPr>
          </w:p>
        </w:tc>
        <w:tc>
          <w:tcPr>
            <w:tcW w:w="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w w:val="93"/>
              </w:rPr>
              <w:t>—</w:t>
            </w:r>
          </w:p>
        </w:tc>
        <w:tc>
          <w:tcPr>
            <w:tcW w:w="280" w:type="dxa"/>
            <w:vAlign w:val="bottom"/>
          </w:tcPr>
          <w:p>
            <w:pPr>
              <w:spacing w:after="0"/>
              <w:rPr>
                <w:sz w:val="16"/>
                <w:szCs w:val="16"/>
                <w:color w:val="auto"/>
              </w:rPr>
            </w:pPr>
          </w:p>
        </w:tc>
        <w:tc>
          <w:tcPr>
            <w:tcW w:w="10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4</w:t>
            </w:r>
          </w:p>
        </w:tc>
      </w:tr>
      <w:tr>
        <w:trPr>
          <w:trHeight w:val="189"/>
        </w:trPr>
        <w:tc>
          <w:tcPr>
            <w:tcW w:w="35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Impairment of investments</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w w:val="93"/>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w:t>
            </w:r>
          </w:p>
        </w:tc>
      </w:tr>
      <w:tr>
        <w:trPr>
          <w:trHeight w:val="189"/>
        </w:trPr>
        <w:tc>
          <w:tcPr>
            <w:tcW w:w="3500" w:type="dxa"/>
            <w:vAlign w:val="bottom"/>
          </w:tcPr>
          <w:p>
            <w:pPr>
              <w:ind w:left="20"/>
              <w:spacing w:after="0" w:line="189" w:lineRule="exact"/>
              <w:rPr>
                <w:sz w:val="20"/>
                <w:szCs w:val="20"/>
                <w:color w:val="auto"/>
              </w:rPr>
            </w:pPr>
            <w:r>
              <w:rPr>
                <w:rFonts w:ascii="Arial" w:cs="Arial" w:eastAsia="Arial" w:hAnsi="Arial"/>
                <w:sz w:val="17"/>
                <w:szCs w:val="17"/>
                <w:color w:val="auto"/>
              </w:rPr>
              <w:t>Reorganization costs</w:t>
            </w:r>
          </w:p>
        </w:tc>
        <w:tc>
          <w:tcPr>
            <w:tcW w:w="1040" w:type="dxa"/>
            <w:vAlign w:val="bottom"/>
          </w:tcPr>
          <w:p>
            <w:pPr>
              <w:spacing w:after="0"/>
              <w:rPr>
                <w:sz w:val="16"/>
                <w:szCs w:val="16"/>
                <w:color w:val="auto"/>
              </w:rPr>
            </w:pPr>
          </w:p>
        </w:tc>
        <w:tc>
          <w:tcPr>
            <w:tcW w:w="3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spacing w:after="0"/>
              <w:rPr>
                <w:sz w:val="16"/>
                <w:szCs w:val="16"/>
                <w:color w:val="auto"/>
              </w:rPr>
            </w:pP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spacing w:after="0"/>
              <w:rPr>
                <w:sz w:val="16"/>
                <w:szCs w:val="16"/>
                <w:color w:val="auto"/>
              </w:rPr>
            </w:pPr>
          </w:p>
        </w:tc>
        <w:tc>
          <w:tcPr>
            <w:tcW w:w="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w w:val="93"/>
              </w:rPr>
              <w:t>—</w:t>
            </w:r>
          </w:p>
        </w:tc>
        <w:tc>
          <w:tcPr>
            <w:tcW w:w="280" w:type="dxa"/>
            <w:vAlign w:val="bottom"/>
          </w:tcPr>
          <w:p>
            <w:pPr>
              <w:spacing w:after="0"/>
              <w:rPr>
                <w:sz w:val="16"/>
                <w:szCs w:val="16"/>
                <w:color w:val="auto"/>
              </w:rPr>
            </w:pPr>
          </w:p>
        </w:tc>
        <w:tc>
          <w:tcPr>
            <w:tcW w:w="10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2</w:t>
            </w:r>
          </w:p>
        </w:tc>
      </w:tr>
      <w:tr>
        <w:trPr>
          <w:trHeight w:val="189"/>
        </w:trPr>
        <w:tc>
          <w:tcPr>
            <w:tcW w:w="35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Insurance recovery</w:t>
            </w:r>
          </w:p>
        </w:tc>
        <w:tc>
          <w:tcPr>
            <w:tcW w:w="10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(7)</w:t>
            </w:r>
          </w:p>
        </w:tc>
        <w:tc>
          <w:tcPr>
            <w:tcW w:w="9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w w:val="93"/>
              </w:rPr>
              <w:t>—</w:t>
            </w: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w:t>
            </w:r>
          </w:p>
        </w:tc>
      </w:tr>
      <w:tr>
        <w:trPr>
          <w:trHeight w:val="183"/>
        </w:trPr>
        <w:tc>
          <w:tcPr>
            <w:tcW w:w="35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1040" w:type="dxa"/>
            <w:vAlign w:val="bottom"/>
            <w:tcBorders>
              <w:bottom w:val="single" w:sz="8" w:color="auto"/>
            </w:tcBorders>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w w:val="94"/>
              </w:rPr>
              <w:t>12</w:t>
            </w:r>
          </w:p>
        </w:tc>
        <w:tc>
          <w:tcPr>
            <w:tcW w:w="1040" w:type="dxa"/>
            <w:vAlign w:val="bottom"/>
            <w:tcBorders>
              <w:bottom w:val="single" w:sz="8" w:color="auto"/>
            </w:tcBorders>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w w:val="94"/>
              </w:rPr>
              <w:t>36</w:t>
            </w:r>
          </w:p>
        </w:tc>
        <w:tc>
          <w:tcPr>
            <w:tcW w:w="980" w:type="dxa"/>
            <w:vAlign w:val="bottom"/>
            <w:tcBorders>
              <w:bottom w:val="single" w:sz="8" w:color="auto"/>
            </w:tcBorders>
          </w:tcPr>
          <w:p>
            <w:pPr>
              <w:jc w:val="right"/>
              <w:ind w:right="695"/>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w w:val="84"/>
              </w:rPr>
              <w:t>18</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40</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For the thirteen and twenty-six weeks ended July 30, 2022, we incurred $9 million and $10 million of transformation consulting expense, respectively. We recorded impairment charges of $2 million and $5 million related to long-lived assets and right-of-use assets, as well as accelerated tenancy charges for the thirteen and twenty-six weeks ended July 30, 2022, respectively. Additionally, we recorded $1 million and $3 million in acquisition and integration costs related to WSS and atmos for the thirteen and twenty-six weeks ended July 30, 2022, respectively.</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For the thirteen and twenty-six weeks ended July 31, 2021, we recorded impairment charges of $39 million, related to the decision to exit the Footaction banner. For the thirteen and twenty-six weeks ended July 31, 2021, we recorded charges of $4 million in lease-related termination costs, offset by $7 million of insurance recovery income related to 2020 social unrest losses. For the twenty-six weeks ended July 31, 2021, we recorded an impairment charge of $2 million related to the underperformance of one of our minority investments, and a severance charge of $2 million in connection with the reorganization of certain support functions.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Other Income / (Expense), net</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Effective June 27, 2022, the Company reached a definitive agreement to sell all assets related to the Eastbay Team Sales business, consisting primarily of inventory and accounts receivable. We received proceeds of $47 million from the transaction, resulting in a gain of $18 million, reported in other income / (expense), net.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Cash, Cash Equivalents, and Restricted Cash</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table below provides a reconciliation of cash and cash equivalents, as reported on our Condensed Consolidated Balance Sheets, to cash, cash equivalents, and restricted cash, as reported on our Condensed Consolidated Statements of Cash Flows.</w:t>
      </w:r>
    </w:p>
    <w:tbl>
      <w:tblPr>
        <w:tblLayout w:type="fixed"/>
        <w:tblInd w:w="4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1900" w:type="dxa"/>
            <w:vAlign w:val="bottom"/>
          </w:tcPr>
          <w:p>
            <w:pPr>
              <w:jc w:val="right"/>
              <w:spacing w:after="0" w:line="176" w:lineRule="exact"/>
              <w:rPr>
                <w:sz w:val="20"/>
                <w:szCs w:val="20"/>
                <w:color w:val="auto"/>
              </w:rPr>
            </w:pPr>
            <w:r>
              <w:rPr>
                <w:rFonts w:ascii="Arial" w:cs="Arial" w:eastAsia="Arial" w:hAnsi="Arial"/>
                <w:sz w:val="17"/>
                <w:szCs w:val="17"/>
                <w:b w:val="1"/>
                <w:bCs w:val="1"/>
                <w:color w:val="auto"/>
              </w:rPr>
              <w:t>July 30,</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415"/>
              <w:spacing w:after="0" w:line="176" w:lineRule="exact"/>
              <w:rPr>
                <w:sz w:val="20"/>
                <w:szCs w:val="20"/>
                <w:color w:val="auto"/>
              </w:rPr>
            </w:pPr>
            <w:r>
              <w:rPr>
                <w:rFonts w:ascii="Arial" w:cs="Arial" w:eastAsia="Arial" w:hAnsi="Arial"/>
                <w:sz w:val="17"/>
                <w:szCs w:val="17"/>
                <w:b w:val="1"/>
                <w:bCs w:val="1"/>
                <w:color w:val="auto"/>
              </w:rPr>
              <w:t>July 31,</w:t>
            </w:r>
          </w:p>
        </w:tc>
      </w:tr>
      <w:tr>
        <w:trPr>
          <w:trHeight w:val="211"/>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9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46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and cash equivalents</w:t>
            </w:r>
          </w:p>
        </w:tc>
        <w:tc>
          <w:tcPr>
            <w:tcW w:w="1900" w:type="dxa"/>
            <w:vAlign w:val="bottom"/>
            <w:shd w:val="clear" w:color="auto" w:fill="CCEEFF"/>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386</w:t>
            </w:r>
          </w:p>
        </w:tc>
        <w:tc>
          <w:tcPr>
            <w:tcW w:w="4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1,845</w:t>
            </w:r>
          </w:p>
        </w:tc>
      </w:tr>
      <w:tr>
        <w:trPr>
          <w:trHeight w:val="189"/>
        </w:trPr>
        <w:tc>
          <w:tcPr>
            <w:tcW w:w="4640" w:type="dxa"/>
            <w:vAlign w:val="bottom"/>
          </w:tcPr>
          <w:p>
            <w:pPr>
              <w:ind w:left="20"/>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1900" w:type="dxa"/>
            <w:vAlign w:val="bottom"/>
          </w:tcPr>
          <w:p>
            <w:pPr>
              <w:spacing w:after="0"/>
              <w:rPr>
                <w:sz w:val="16"/>
                <w:szCs w:val="16"/>
                <w:color w:val="auto"/>
              </w:rPr>
            </w:pPr>
          </w:p>
        </w:tc>
        <w:tc>
          <w:tcPr>
            <w:tcW w:w="5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w:t>
            </w:r>
          </w:p>
        </w:tc>
        <w:tc>
          <w:tcPr>
            <w:tcW w:w="48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46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1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38</w:t>
            </w:r>
          </w:p>
        </w:tc>
        <w:tc>
          <w:tcPr>
            <w:tcW w:w="4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r>
      <w:tr>
        <w:trPr>
          <w:trHeight w:val="183"/>
        </w:trPr>
        <w:tc>
          <w:tcPr>
            <w:tcW w:w="46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1900" w:type="dxa"/>
            <w:vAlign w:val="bottom"/>
            <w:tcBorders>
              <w:bottom w:val="single" w:sz="8" w:color="auto"/>
            </w:tcBorders>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431</w:t>
            </w:r>
          </w:p>
        </w:tc>
        <w:tc>
          <w:tcPr>
            <w:tcW w:w="4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1,881</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38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8. Goodwill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See footnote 2, </w:t>
      </w:r>
      <w:r>
        <w:rPr>
          <w:rFonts w:ascii="Arial" w:cs="Arial" w:eastAsia="Arial" w:hAnsi="Arial"/>
          <w:sz w:val="18"/>
          <w:szCs w:val="18"/>
          <w:i w:val="1"/>
          <w:iCs w:val="1"/>
          <w:color w:val="auto"/>
        </w:rPr>
        <w:t>Acquisitions</w:t>
      </w:r>
      <w:r>
        <w:rPr>
          <w:rFonts w:ascii="Arial" w:cs="Arial" w:eastAsia="Arial" w:hAnsi="Arial"/>
          <w:sz w:val="18"/>
          <w:szCs w:val="18"/>
          <w:color w:val="auto"/>
        </w:rPr>
        <w:t>, for additional information on our recent acquisitions.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In conjunction with the sale of the Eastbay Team Sales business, we allocated $6 million of goodwill to the assets sold, representing the allocable share of the fair value of the reporting unit disposed of.</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 The results of the first quarter analysis did not result in an impairment since the fair value of each reporting unit exceeded its carrying value.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Other Intangible Assets, net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July 30, 2022</w:t>
            </w: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July 31, 2021</w:t>
            </w:r>
          </w:p>
        </w:tc>
        <w:tc>
          <w:tcPr>
            <w:tcW w:w="720" w:type="dxa"/>
            <w:vAlign w:val="bottom"/>
            <w:tcBorders>
              <w:bottom w:val="single" w:sz="8" w:color="auto"/>
            </w:tcBorders>
          </w:tcPr>
          <w:p>
            <w:pPr>
              <w:spacing w:after="0"/>
              <w:rPr>
                <w:sz w:val="18"/>
                <w:szCs w:val="18"/>
                <w:color w:val="auto"/>
              </w:rPr>
            </w:pPr>
          </w:p>
        </w:tc>
      </w:tr>
      <w:tr>
        <w:trPr>
          <w:trHeight w:val="160"/>
        </w:trPr>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135"/>
              <w:spacing w:after="0" w:line="160" w:lineRule="exact"/>
              <w:rPr>
                <w:sz w:val="20"/>
                <w:szCs w:val="20"/>
                <w:color w:val="auto"/>
              </w:rPr>
            </w:pPr>
            <w:r>
              <w:rPr>
                <w:rFonts w:ascii="Arial" w:cs="Arial" w:eastAsia="Arial" w:hAnsi="Arial"/>
                <w:sz w:val="17"/>
                <w:szCs w:val="17"/>
                <w:b w:val="1"/>
                <w:bCs w:val="1"/>
                <w:color w:val="auto"/>
              </w:rPr>
              <w:t>Gross</w:t>
            </w:r>
          </w:p>
        </w:tc>
        <w:tc>
          <w:tcPr>
            <w:tcW w:w="200" w:type="dxa"/>
            <w:vAlign w:val="bottom"/>
          </w:tcPr>
          <w:p>
            <w:pPr>
              <w:spacing w:after="0"/>
              <w:rPr>
                <w:sz w:val="13"/>
                <w:szCs w:val="13"/>
                <w:color w:val="auto"/>
              </w:rPr>
            </w:pPr>
          </w:p>
        </w:tc>
        <w:tc>
          <w:tcPr>
            <w:tcW w:w="84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rPr>
              <w:t>Accum.</w:t>
            </w:r>
          </w:p>
        </w:tc>
        <w:tc>
          <w:tcPr>
            <w:tcW w:w="220" w:type="dxa"/>
            <w:vAlign w:val="bottom"/>
          </w:tcPr>
          <w:p>
            <w:pPr>
              <w:spacing w:after="0"/>
              <w:rPr>
                <w:sz w:val="13"/>
                <w:szCs w:val="13"/>
                <w:color w:val="auto"/>
              </w:rPr>
            </w:pPr>
          </w:p>
        </w:tc>
        <w:tc>
          <w:tcPr>
            <w:tcW w:w="76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Net</w:t>
            </w:r>
          </w:p>
        </w:tc>
        <w:tc>
          <w:tcPr>
            <w:tcW w:w="240" w:type="dxa"/>
            <w:vAlign w:val="bottom"/>
          </w:tcPr>
          <w:p>
            <w:pPr>
              <w:spacing w:after="0"/>
              <w:rPr>
                <w:sz w:val="13"/>
                <w:szCs w:val="13"/>
                <w:color w:val="auto"/>
              </w:rPr>
            </w:pPr>
          </w:p>
        </w:tc>
        <w:tc>
          <w:tcPr>
            <w:tcW w:w="760" w:type="dxa"/>
            <w:vAlign w:val="bottom"/>
          </w:tcPr>
          <w:p>
            <w:pPr>
              <w:jc w:val="right"/>
              <w:ind w:right="135"/>
              <w:spacing w:after="0" w:line="160" w:lineRule="exact"/>
              <w:rPr>
                <w:sz w:val="20"/>
                <w:szCs w:val="20"/>
                <w:color w:val="auto"/>
              </w:rPr>
            </w:pPr>
            <w:r>
              <w:rPr>
                <w:rFonts w:ascii="Arial" w:cs="Arial" w:eastAsia="Arial" w:hAnsi="Arial"/>
                <w:sz w:val="17"/>
                <w:szCs w:val="17"/>
                <w:b w:val="1"/>
                <w:bCs w:val="1"/>
                <w:color w:val="auto"/>
              </w:rPr>
              <w:t>Gross</w:t>
            </w:r>
          </w:p>
        </w:tc>
        <w:tc>
          <w:tcPr>
            <w:tcW w:w="220" w:type="dxa"/>
            <w:vAlign w:val="bottom"/>
          </w:tcPr>
          <w:p>
            <w:pPr>
              <w:spacing w:after="0"/>
              <w:rPr>
                <w:sz w:val="13"/>
                <w:szCs w:val="13"/>
                <w:color w:val="auto"/>
              </w:rPr>
            </w:pPr>
          </w:p>
        </w:tc>
        <w:tc>
          <w:tcPr>
            <w:tcW w:w="84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rPr>
              <w:t>Accum.</w:t>
            </w:r>
          </w:p>
        </w:tc>
        <w:tc>
          <w:tcPr>
            <w:tcW w:w="220" w:type="dxa"/>
            <w:vAlign w:val="bottom"/>
          </w:tcPr>
          <w:p>
            <w:pPr>
              <w:spacing w:after="0"/>
              <w:rPr>
                <w:sz w:val="13"/>
                <w:szCs w:val="13"/>
                <w:color w:val="auto"/>
              </w:rPr>
            </w:pPr>
          </w:p>
        </w:tc>
        <w:tc>
          <w:tcPr>
            <w:tcW w:w="720" w:type="dxa"/>
            <w:vAlign w:val="bottom"/>
          </w:tcPr>
          <w:p>
            <w:pPr>
              <w:jc w:val="right"/>
              <w:ind w:right="215"/>
              <w:spacing w:after="0" w:line="160" w:lineRule="exact"/>
              <w:rPr>
                <w:sz w:val="20"/>
                <w:szCs w:val="20"/>
                <w:color w:val="auto"/>
              </w:rPr>
            </w:pPr>
            <w:r>
              <w:rPr>
                <w:rFonts w:ascii="Arial" w:cs="Arial" w:eastAsia="Arial" w:hAnsi="Arial"/>
                <w:sz w:val="17"/>
                <w:szCs w:val="17"/>
                <w:b w:val="1"/>
                <w:bCs w:val="1"/>
                <w:color w:val="auto"/>
              </w:rPr>
              <w:t>Net</w:t>
            </w:r>
          </w:p>
        </w:tc>
      </w:tr>
      <w:tr>
        <w:trPr>
          <w:trHeight w:val="21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amort.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value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amort.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value</w:t>
            </w:r>
          </w:p>
        </w:tc>
      </w:tr>
      <w:tr>
        <w:trPr>
          <w:trHeight w:val="183"/>
        </w:trPr>
        <w:tc>
          <w:tcPr>
            <w:tcW w:w="276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9"/>
        </w:trPr>
        <w:tc>
          <w:tcPr>
            <w:tcW w:w="2760" w:type="dxa"/>
            <w:vAlign w:val="bottom"/>
          </w:tcPr>
          <w:p>
            <w:pPr>
              <w:ind w:left="220"/>
              <w:spacing w:after="0" w:line="189" w:lineRule="exact"/>
              <w:rPr>
                <w:sz w:val="20"/>
                <w:szCs w:val="20"/>
                <w:color w:val="auto"/>
              </w:rPr>
            </w:pPr>
            <w:r>
              <w:rPr>
                <w:rFonts w:ascii="Arial" w:cs="Arial" w:eastAsia="Arial" w:hAnsi="Arial"/>
                <w:sz w:val="17"/>
                <w:szCs w:val="17"/>
                <w:color w:val="auto"/>
              </w:rPr>
              <w:t>Lease acquisition costs</w:t>
            </w:r>
          </w:p>
        </w:tc>
        <w:tc>
          <w:tcPr>
            <w:tcW w:w="3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97</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(95)</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116</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(112)</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2760" w:type="dxa"/>
            <w:vAlign w:val="bottom"/>
            <w:shd w:val="clear" w:color="auto" w:fill="CCEEFF"/>
          </w:tcPr>
          <w:p>
            <w:pPr>
              <w:ind w:left="220"/>
              <w:spacing w:after="0" w:line="189" w:lineRule="exact"/>
              <w:rPr>
                <w:sz w:val="20"/>
                <w:szCs w:val="20"/>
                <w:color w:val="auto"/>
              </w:rPr>
            </w:pPr>
            <w:r>
              <w:rPr>
                <w:rFonts w:ascii="Arial" w:cs="Arial" w:eastAsia="Arial" w:hAnsi="Arial"/>
                <w:sz w:val="15"/>
                <w:szCs w:val="15"/>
                <w:color w:val="auto"/>
              </w:rPr>
              <w:t xml:space="preserve">Trademarks/tradenames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7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Customer lists</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(5)</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15</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r>
      <w:tr>
        <w:trPr>
          <w:trHeight w:val="183"/>
        </w:trPr>
        <w:tc>
          <w:tcPr>
            <w:tcW w:w="27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135</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(118)</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17</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136</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(129)</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w:t>
            </w:r>
          </w:p>
        </w:tc>
      </w:tr>
      <w:tr>
        <w:trPr>
          <w:trHeight w:val="183"/>
        </w:trPr>
        <w:tc>
          <w:tcPr>
            <w:tcW w:w="2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9"/>
        </w:trPr>
        <w:tc>
          <w:tcPr>
            <w:tcW w:w="27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Trademarks/tradenames</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415</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3"/>
        </w:trPr>
        <w:tc>
          <w:tcPr>
            <w:tcW w:w="27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intangible assets, net</w:t>
            </w: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432</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80" w:right="79" w:hanging="330"/>
        <w:spacing w:after="0" w:line="25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movements of the euro in relation to the U.S. dollar.</w:t>
      </w:r>
    </w:p>
    <w:p>
      <w:pPr>
        <w:spacing w:after="0" w:line="1" w:lineRule="exact"/>
        <w:rPr>
          <w:rFonts w:ascii="Arial" w:cs="Arial" w:eastAsia="Arial" w:hAnsi="Arial"/>
          <w:sz w:val="14"/>
          <w:szCs w:val="14"/>
          <w:color w:val="auto"/>
        </w:rPr>
      </w:pPr>
    </w:p>
    <w:p>
      <w:pPr>
        <w:ind w:left="380" w:hanging="330"/>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fourth quarter of 2021, we recorded a non-cash impairment charge related to the Footaction tradename.</w:t>
      </w:r>
    </w:p>
    <w:p>
      <w:pPr>
        <w:spacing w:after="0" w:line="19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connection with the acquisitions of WSS and atmos, we recognized indefinite life intangible assets of $296 million for WSS related tradenames and $130 million for atmos related tradenames. Additionally, we recognized customer list intangible assets of $13 million for WSS and $9 million for atmos, both of which will be amortized over 3 years. The intangibles related to atmos were originally recorded at the exchange rate in effect as of the date of acquisition and are presented in the above table at current period exchange rates. Amortizing intangible assets primarily represent the WSS and atmos customer lists, and lease acquisition costs, which are amounts that are required to secure prime lease locations and other lease rights, primarily in Europe.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expense recorded is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6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620" w:type="dxa"/>
            <w:vAlign w:val="bottom"/>
          </w:tcPr>
          <w:p>
            <w:pPr>
              <w:spacing w:after="0"/>
              <w:rPr>
                <w:sz w:val="13"/>
                <w:szCs w:val="13"/>
                <w:color w:val="auto"/>
              </w:rPr>
            </w:pPr>
          </w:p>
        </w:tc>
        <w:tc>
          <w:tcPr>
            <w:tcW w:w="1900" w:type="dxa"/>
            <w:vAlign w:val="bottom"/>
          </w:tcPr>
          <w:p>
            <w:pPr>
              <w:jc w:val="center"/>
              <w:ind w:left="1095"/>
              <w:spacing w:after="0" w:line="160" w:lineRule="exact"/>
              <w:rPr>
                <w:sz w:val="20"/>
                <w:szCs w:val="20"/>
                <w:color w:val="auto"/>
              </w:rPr>
            </w:pPr>
            <w:r>
              <w:rPr>
                <w:rFonts w:ascii="Arial" w:cs="Arial" w:eastAsia="Arial" w:hAnsi="Arial"/>
                <w:sz w:val="17"/>
                <w:szCs w:val="17"/>
                <w:b w:val="1"/>
                <w:bCs w:val="1"/>
                <w:color w:val="auto"/>
              </w:rPr>
              <w:t>July 30,</w:t>
            </w:r>
          </w:p>
        </w:tc>
        <w:tc>
          <w:tcPr>
            <w:tcW w:w="280" w:type="dxa"/>
            <w:vAlign w:val="bottom"/>
          </w:tcPr>
          <w:p>
            <w:pPr>
              <w:spacing w:after="0"/>
              <w:rPr>
                <w:sz w:val="13"/>
                <w:szCs w:val="13"/>
                <w:color w:val="auto"/>
              </w:rPr>
            </w:pPr>
          </w:p>
        </w:tc>
        <w:tc>
          <w:tcPr>
            <w:tcW w:w="1040" w:type="dxa"/>
            <w:vAlign w:val="bottom"/>
          </w:tcPr>
          <w:p>
            <w:pPr>
              <w:jc w:val="center"/>
              <w:ind w:left="235"/>
              <w:spacing w:after="0" w:line="160" w:lineRule="exact"/>
              <w:rPr>
                <w:sz w:val="20"/>
                <w:szCs w:val="20"/>
                <w:color w:val="auto"/>
              </w:rPr>
            </w:pPr>
            <w:r>
              <w:rPr>
                <w:rFonts w:ascii="Arial" w:cs="Arial" w:eastAsia="Arial" w:hAnsi="Arial"/>
                <w:sz w:val="17"/>
                <w:szCs w:val="17"/>
                <w:b w:val="1"/>
                <w:bCs w:val="1"/>
                <w:color w:val="auto"/>
              </w:rPr>
              <w:t>July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right="155"/>
              <w:spacing w:after="0" w:line="160" w:lineRule="exact"/>
              <w:rPr>
                <w:sz w:val="20"/>
                <w:szCs w:val="20"/>
                <w:color w:val="auto"/>
              </w:rPr>
            </w:pPr>
            <w:r>
              <w:rPr>
                <w:rFonts w:ascii="Arial" w:cs="Arial" w:eastAsia="Arial" w:hAnsi="Arial"/>
                <w:sz w:val="17"/>
                <w:szCs w:val="17"/>
                <w:b w:val="1"/>
                <w:bCs w:val="1"/>
                <w:color w:val="auto"/>
                <w:w w:val="99"/>
              </w:rPr>
              <w:t>July 30,</w:t>
            </w:r>
          </w:p>
        </w:tc>
        <w:tc>
          <w:tcPr>
            <w:tcW w:w="300" w:type="dxa"/>
            <w:vAlign w:val="bottom"/>
          </w:tcPr>
          <w:p>
            <w:pPr>
              <w:spacing w:after="0"/>
              <w:rPr>
                <w:sz w:val="13"/>
                <w:szCs w:val="13"/>
                <w:color w:val="auto"/>
              </w:rPr>
            </w:pPr>
          </w:p>
        </w:tc>
        <w:tc>
          <w:tcPr>
            <w:tcW w:w="1180" w:type="dxa"/>
            <w:vAlign w:val="bottom"/>
          </w:tcPr>
          <w:p>
            <w:pPr>
              <w:jc w:val="center"/>
              <w:ind w:right="315"/>
              <w:spacing w:after="0" w:line="160" w:lineRule="exact"/>
              <w:rPr>
                <w:sz w:val="20"/>
                <w:szCs w:val="20"/>
                <w:color w:val="auto"/>
              </w:rPr>
            </w:pPr>
            <w:r>
              <w:rPr>
                <w:rFonts w:ascii="Arial" w:cs="Arial" w:eastAsia="Arial" w:hAnsi="Arial"/>
                <w:sz w:val="17"/>
                <w:szCs w:val="17"/>
                <w:b w:val="1"/>
                <w:bCs w:val="1"/>
                <w:color w:val="auto"/>
                <w:w w:val="99"/>
              </w:rPr>
              <w:t>July 31,</w:t>
            </w:r>
          </w:p>
        </w:tc>
      </w:tr>
      <w:tr>
        <w:trPr>
          <w:trHeight w:val="211"/>
        </w:trPr>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r>
      <w:tr>
        <w:trPr>
          <w:trHeight w:val="183"/>
        </w:trPr>
        <w:tc>
          <w:tcPr>
            <w:tcW w:w="26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1900" w:type="dxa"/>
            <w:vAlign w:val="bottom"/>
            <w:tcBorders>
              <w:bottom w:val="single" w:sz="8" w:color="auto"/>
            </w:tcBorders>
            <w:shd w:val="clear" w:color="auto" w:fill="CCEEFF"/>
          </w:tcPr>
          <w:p>
            <w:pPr>
              <w:jc w:val="right"/>
              <w:ind w:right="735"/>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1040" w:type="dxa"/>
            <w:vAlign w:val="bottom"/>
            <w:tcBorders>
              <w:bottom w:val="single" w:sz="8" w:color="auto"/>
            </w:tcBorders>
            <w:shd w:val="clear" w:color="auto" w:fill="CCEEFF"/>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5</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2</w:t>
            </w:r>
          </w:p>
        </w:tc>
      </w:tr>
    </w:tbl>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9. Other Intangible Assets, net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Estimated future amortization expense for finite-life intangible assets is as follows: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40" w:type="dxa"/>
            <w:vAlign w:val="bottom"/>
            <w:tcBorders>
              <w:top w:val="single" w:sz="8" w:color="auto"/>
            </w:tcBorders>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2022</w:t>
            </w:r>
          </w:p>
        </w:tc>
        <w:tc>
          <w:tcPr>
            <w:tcW w:w="3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5"/>
                <w:szCs w:val="15"/>
                <w:color w:val="auto"/>
              </w:rPr>
            </w:pPr>
          </w:p>
        </w:tc>
      </w:tr>
      <w:tr>
        <w:trPr>
          <w:trHeight w:val="189"/>
        </w:trPr>
        <w:tc>
          <w:tcPr>
            <w:tcW w:w="42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2023</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6"/>
                <w:szCs w:val="16"/>
                <w:color w:val="auto"/>
              </w:rPr>
            </w:pPr>
          </w:p>
        </w:tc>
      </w:tr>
      <w:tr>
        <w:trPr>
          <w:trHeight w:val="189"/>
        </w:trPr>
        <w:tc>
          <w:tcPr>
            <w:tcW w:w="4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2024</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r>
      <w:tr>
        <w:trPr>
          <w:trHeight w:val="189"/>
        </w:trPr>
        <w:tc>
          <w:tcPr>
            <w:tcW w:w="4240" w:type="dxa"/>
            <w:vAlign w:val="bottom"/>
            <w:tcBorders>
              <w:bottom w:val="single" w:sz="8" w:color="auto"/>
            </w:tcBorders>
            <w:gridSpan w:val="2"/>
          </w:tcPr>
          <w:p>
            <w:pPr>
              <w:ind w:left="20"/>
              <w:spacing w:after="0" w:line="189" w:lineRule="exact"/>
              <w:rPr>
                <w:sz w:val="20"/>
                <w:szCs w:val="20"/>
                <w:color w:val="auto"/>
              </w:rPr>
            </w:pPr>
            <w:r>
              <w:rPr>
                <w:rFonts w:ascii="Arial" w:cs="Arial" w:eastAsia="Arial" w:hAnsi="Arial"/>
                <w:sz w:val="17"/>
                <w:szCs w:val="17"/>
                <w:color w:val="auto"/>
              </w:rPr>
              <w:t>2025</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438"/>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10. Accumulated Other Comprehensive Loss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7380" w:type="dxa"/>
            <w:vAlign w:val="bottom"/>
            <w:gridSpan w:val="6"/>
          </w:tcPr>
          <w:p>
            <w:pPr>
              <w:ind w:left="20"/>
              <w:spacing w:after="0"/>
              <w:rPr>
                <w:sz w:val="20"/>
                <w:szCs w:val="20"/>
                <w:color w:val="auto"/>
              </w:rPr>
            </w:pPr>
            <w:r>
              <w:rPr>
                <w:rFonts w:ascii="Arial" w:cs="Arial" w:eastAsia="Arial" w:hAnsi="Arial"/>
                <w:sz w:val="18"/>
                <w:szCs w:val="18"/>
                <w:color w:val="auto"/>
              </w:rPr>
              <w:t>Accumulated other comprehensive loss (“AOCL”), net of tax, is comprised of the following:</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95"/>
              <w:spacing w:after="0"/>
              <w:rPr>
                <w:sz w:val="20"/>
                <w:szCs w:val="20"/>
                <w:color w:val="auto"/>
              </w:rPr>
            </w:pPr>
            <w:r>
              <w:rPr>
                <w:rFonts w:ascii="Arial" w:cs="Arial" w:eastAsia="Arial" w:hAnsi="Arial"/>
                <w:sz w:val="17"/>
                <w:szCs w:val="17"/>
                <w:b w:val="1"/>
                <w:bCs w:val="1"/>
                <w:color w:val="auto"/>
              </w:rPr>
              <w:t>July 30,</w:t>
            </w:r>
          </w:p>
        </w:tc>
        <w:tc>
          <w:tcPr>
            <w:tcW w:w="340" w:type="dxa"/>
            <w:vAlign w:val="bottom"/>
          </w:tcPr>
          <w:p>
            <w:pPr>
              <w:spacing w:after="0"/>
              <w:rPr>
                <w:sz w:val="24"/>
                <w:szCs w:val="24"/>
                <w:color w:val="auto"/>
              </w:rPr>
            </w:pPr>
          </w:p>
        </w:tc>
        <w:tc>
          <w:tcPr>
            <w:tcW w:w="1180" w:type="dxa"/>
            <w:vAlign w:val="bottom"/>
          </w:tcPr>
          <w:p>
            <w:pPr>
              <w:jc w:val="right"/>
              <w:ind w:right="335"/>
              <w:spacing w:after="0"/>
              <w:rPr>
                <w:sz w:val="20"/>
                <w:szCs w:val="20"/>
                <w:color w:val="auto"/>
              </w:rPr>
            </w:pPr>
            <w:r>
              <w:rPr>
                <w:rFonts w:ascii="Arial" w:cs="Arial" w:eastAsia="Arial" w:hAnsi="Arial"/>
                <w:sz w:val="17"/>
                <w:szCs w:val="17"/>
                <w:b w:val="1"/>
                <w:bCs w:val="1"/>
                <w:color w:val="auto"/>
              </w:rPr>
              <w:t>July 31,</w:t>
            </w:r>
          </w:p>
        </w:tc>
        <w:tc>
          <w:tcPr>
            <w:tcW w:w="3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January 29,</w:t>
            </w:r>
          </w:p>
        </w:tc>
      </w:tr>
      <w:tr>
        <w:trPr>
          <w:trHeight w:val="211"/>
        </w:trPr>
        <w:tc>
          <w:tcPr>
            <w:tcW w:w="4240" w:type="dxa"/>
            <w:vAlign w:val="bottom"/>
            <w:gridSpan w:val="2"/>
          </w:tcPr>
          <w:p>
            <w:pPr>
              <w:ind w:left="20"/>
              <w:spacing w:after="0"/>
              <w:rPr>
                <w:sz w:val="20"/>
                <w:szCs w:val="20"/>
                <w:color w:val="auto"/>
              </w:rPr>
            </w:pPr>
            <w:r>
              <w:rPr>
                <w:rFonts w:ascii="Arial" w:cs="Arial" w:eastAsia="Arial" w:hAnsi="Arial"/>
                <w:sz w:val="17"/>
                <w:szCs w:val="17"/>
                <w:color w:val="auto"/>
              </w:rPr>
              <w:t>($ in millions)</w:t>
            </w:r>
          </w:p>
        </w:tc>
        <w:tc>
          <w:tcPr>
            <w:tcW w:w="380" w:type="dxa"/>
            <w:vAlign w:val="bottom"/>
          </w:tcPr>
          <w:p>
            <w:pPr>
              <w:spacing w:after="0"/>
              <w:rPr>
                <w:sz w:val="18"/>
                <w:szCs w:val="18"/>
                <w:color w:val="auto"/>
              </w:rPr>
            </w:pPr>
          </w:p>
        </w:tc>
        <w:tc>
          <w:tcPr>
            <w:tcW w:w="1240" w:type="dxa"/>
            <w:vAlign w:val="bottom"/>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340" w:type="dxa"/>
            <w:vAlign w:val="bottom"/>
          </w:tcPr>
          <w:p>
            <w:pPr>
              <w:spacing w:after="0"/>
              <w:rPr>
                <w:sz w:val="18"/>
                <w:szCs w:val="18"/>
                <w:color w:val="auto"/>
              </w:rPr>
            </w:pPr>
          </w:p>
        </w:tc>
        <w:tc>
          <w:tcPr>
            <w:tcW w:w="1180" w:type="dxa"/>
            <w:vAlign w:val="bottom"/>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320" w:type="dxa"/>
            <w:vAlign w:val="bottom"/>
          </w:tcPr>
          <w:p>
            <w:pPr>
              <w:spacing w:after="0"/>
              <w:rPr>
                <w:sz w:val="18"/>
                <w:szCs w:val="18"/>
                <w:color w:val="auto"/>
              </w:rPr>
            </w:pPr>
          </w:p>
        </w:tc>
        <w:tc>
          <w:tcPr>
            <w:tcW w:w="1200" w:type="dxa"/>
            <w:vAlign w:val="bottom"/>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4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3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(182)</w:t>
            </w:r>
          </w:p>
        </w:tc>
        <w:tc>
          <w:tcPr>
            <w:tcW w:w="34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(74)</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(107)</w:t>
            </w:r>
          </w:p>
        </w:tc>
      </w:tr>
      <w:tr>
        <w:trPr>
          <w:trHeight w:val="189"/>
        </w:trPr>
        <w:tc>
          <w:tcPr>
            <w:tcW w:w="20" w:type="dxa"/>
            <w:vAlign w:val="bottom"/>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7"/>
                <w:szCs w:val="17"/>
                <w:color w:val="auto"/>
              </w:rPr>
              <w:t>Hedge contracts</w:t>
            </w:r>
          </w:p>
        </w:tc>
        <w:tc>
          <w:tcPr>
            <w:tcW w:w="38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4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Unrecognized pension cost and postretirement benefit</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(232)</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(263)</w:t>
            </w:r>
          </w:p>
        </w:tc>
        <w:tc>
          <w:tcPr>
            <w:tcW w:w="3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(236)</w:t>
            </w:r>
          </w:p>
        </w:tc>
      </w:tr>
      <w:tr>
        <w:trPr>
          <w:trHeight w:val="183"/>
        </w:trPr>
        <w:tc>
          <w:tcPr>
            <w:tcW w:w="20" w:type="dxa"/>
            <w:vAlign w:val="bottom"/>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(416)</w:t>
            </w:r>
          </w:p>
        </w:tc>
        <w:tc>
          <w:tcPr>
            <w:tcW w:w="3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(338)</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(343)</w:t>
            </w: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twenty-six weeks ended July 30, 2022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Foreign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Items Related</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Currency</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to Pension and</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Translation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60" w:type="dxa"/>
            <w:vAlign w:val="bottom"/>
          </w:tcPr>
          <w:p>
            <w:pPr>
              <w:spacing w:after="0"/>
              <w:rPr>
                <w:sz w:val="18"/>
                <w:szCs w:val="18"/>
                <w:color w:val="auto"/>
              </w:rPr>
            </w:pPr>
          </w:p>
        </w:tc>
        <w:tc>
          <w:tcPr>
            <w:tcW w:w="1000" w:type="dxa"/>
            <w:vAlign w:val="bottom"/>
          </w:tcPr>
          <w:p>
            <w:pPr>
              <w:jc w:val="right"/>
              <w:ind w:right="235"/>
              <w:spacing w:after="0"/>
              <w:rPr>
                <w:sz w:val="20"/>
                <w:szCs w:val="20"/>
                <w:color w:val="auto"/>
              </w:rPr>
            </w:pPr>
            <w:r>
              <w:rPr>
                <w:rFonts w:ascii="Arial" w:cs="Arial" w:eastAsia="Arial" w:hAnsi="Arial"/>
                <w:sz w:val="17"/>
                <w:szCs w:val="17"/>
                <w:b w:val="1"/>
                <w:bCs w:val="1"/>
                <w:color w:val="auto"/>
              </w:rPr>
              <w:t>Hedges</w:t>
            </w:r>
          </w:p>
        </w:tc>
        <w:tc>
          <w:tcPr>
            <w:tcW w:w="280" w:type="dxa"/>
            <w:vAlign w:val="bottom"/>
          </w:tcPr>
          <w:p>
            <w:pPr>
              <w:spacing w:after="0"/>
              <w:rPr>
                <w:sz w:val="18"/>
                <w:szCs w:val="18"/>
                <w:color w:val="auto"/>
              </w:rPr>
            </w:pPr>
          </w:p>
        </w:tc>
        <w:tc>
          <w:tcPr>
            <w:tcW w:w="116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32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January 29, 2022</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(107)</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(236)</w:t>
            </w:r>
          </w:p>
        </w:tc>
        <w:tc>
          <w:tcPr>
            <w:tcW w:w="3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(75)</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line="189" w:lineRule="exact"/>
              <w:rPr>
                <w:sz w:val="20"/>
                <w:szCs w:val="20"/>
                <w:color w:val="auto"/>
              </w:rPr>
            </w:pPr>
            <w:r>
              <w:rPr>
                <w:rFonts w:ascii="Arial" w:cs="Arial" w:eastAsia="Arial" w:hAnsi="Arial"/>
                <w:sz w:val="17"/>
                <w:szCs w:val="17"/>
                <w:color w:val="auto"/>
              </w:rPr>
              <w:t>Reclassification of hedges, net of tax</w:t>
            </w:r>
          </w:p>
        </w:tc>
        <w:tc>
          <w:tcPr>
            <w:tcW w:w="200" w:type="dxa"/>
            <w:vAlign w:val="bottom"/>
          </w:tcPr>
          <w:p>
            <w:pPr>
              <w:spacing w:after="0"/>
              <w:rPr>
                <w:sz w:val="16"/>
                <w:szCs w:val="16"/>
                <w:color w:val="auto"/>
              </w:rPr>
            </w:pP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(4)</w:t>
            </w:r>
          </w:p>
        </w:tc>
        <w:tc>
          <w:tcPr>
            <w:tcW w:w="28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3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Other comprehensive income</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(75)</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(2)</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as of July 30, 2022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(182)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w:t>
            </w:r>
          </w:p>
        </w:tc>
        <w:tc>
          <w:tcPr>
            <w:tcW w:w="2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(232)</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AOCL for the twenty-six weeks ended July 30, 2022 were as follows: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0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Reclassification of hedge loss:</w:t>
            </w:r>
          </w:p>
        </w:tc>
        <w:tc>
          <w:tcPr>
            <w:tcW w:w="28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spacing w:after="0" w:line="189" w:lineRule="exact"/>
              <w:rPr>
                <w:sz w:val="20"/>
                <w:szCs w:val="20"/>
                <w:color w:val="auto"/>
              </w:rPr>
            </w:pPr>
            <w:r>
              <w:rPr>
                <w:rFonts w:ascii="Arial" w:cs="Arial" w:eastAsia="Arial" w:hAnsi="Arial"/>
                <w:sz w:val="17"/>
                <w:szCs w:val="17"/>
                <w:color w:val="auto"/>
              </w:rPr>
              <w:t>Cross-currency swap</w:t>
            </w:r>
          </w:p>
        </w:tc>
        <w:tc>
          <w:tcPr>
            <w:tcW w:w="2880" w:type="dxa"/>
            <w:vAlign w:val="bottom"/>
          </w:tcPr>
          <w:p>
            <w:pPr>
              <w:jc w:val="right"/>
              <w:ind w:right="67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w:t>
            </w:r>
          </w:p>
        </w:tc>
        <w:tc>
          <w:tcPr>
            <w:tcW w:w="28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Pr>
          <w:p>
            <w:pPr>
              <w:spacing w:after="0" w:line="183" w:lineRule="exact"/>
              <w:rPr>
                <w:sz w:val="20"/>
                <w:szCs w:val="20"/>
                <w:color w:val="auto"/>
              </w:rPr>
            </w:pPr>
            <w:r>
              <w:rPr>
                <w:rFonts w:ascii="Arial" w:cs="Arial" w:eastAsia="Arial" w:hAnsi="Arial"/>
                <w:sz w:val="17"/>
                <w:szCs w:val="17"/>
                <w:color w:val="auto"/>
              </w:rPr>
              <w:t>Reclassification of hedges, net of tax</w:t>
            </w:r>
          </w:p>
        </w:tc>
        <w:tc>
          <w:tcPr>
            <w:tcW w:w="2880" w:type="dxa"/>
            <w:vAlign w:val="bottom"/>
          </w:tcPr>
          <w:p>
            <w:pPr>
              <w:jc w:val="right"/>
              <w:ind w:right="67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00" w:type="dxa"/>
            <w:vAlign w:val="bottom"/>
          </w:tcPr>
          <w:p>
            <w:pPr>
              <w:spacing w:after="0" w:line="189" w:lineRule="exact"/>
              <w:rPr>
                <w:sz w:val="20"/>
                <w:szCs w:val="20"/>
                <w:color w:val="auto"/>
              </w:rPr>
            </w:pPr>
            <w:r>
              <w:rPr>
                <w:rFonts w:ascii="Arial" w:cs="Arial" w:eastAsia="Arial" w:hAnsi="Arial"/>
                <w:sz w:val="17"/>
                <w:szCs w:val="17"/>
                <w:color w:val="auto"/>
              </w:rPr>
              <w:t>Amortization of actuarial loss:</w:t>
            </w:r>
          </w:p>
        </w:tc>
        <w:tc>
          <w:tcPr>
            <w:tcW w:w="2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Pension benefits</w:t>
            </w:r>
          </w:p>
        </w:tc>
        <w:tc>
          <w:tcPr>
            <w:tcW w:w="2880" w:type="dxa"/>
            <w:vAlign w:val="bottom"/>
            <w:shd w:val="clear" w:color="auto" w:fill="CCEEFF"/>
          </w:tcPr>
          <w:p>
            <w:pPr>
              <w:jc w:val="right"/>
              <w:ind w:right="67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benefit</w:t>
            </w:r>
          </w:p>
        </w:tc>
        <w:tc>
          <w:tcPr>
            <w:tcW w:w="28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 net of tax</w:t>
            </w:r>
          </w:p>
        </w:tc>
        <w:tc>
          <w:tcPr>
            <w:tcW w:w="2880" w:type="dxa"/>
            <w:vAlign w:val="bottom"/>
            <w:tcBorders>
              <w:bottom w:val="single" w:sz="8" w:color="auto"/>
            </w:tcBorders>
            <w:shd w:val="clear" w:color="auto" w:fill="CCEEFF"/>
          </w:tcPr>
          <w:p>
            <w:pPr>
              <w:jc w:val="right"/>
              <w:ind w:right="67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0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2880" w:type="dxa"/>
            <w:vAlign w:val="bottom"/>
            <w:tcBorders>
              <w:bottom w:val="single" w:sz="8" w:color="auto"/>
            </w:tcBorders>
          </w:tcPr>
          <w:p>
            <w:pPr>
              <w:jc w:val="right"/>
              <w:ind w:right="67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2022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8" w:lineRule="auto"/>
        <w:rPr>
          <w:sz w:val="20"/>
          <w:szCs w:val="20"/>
          <w:color w:val="auto"/>
        </w:rPr>
      </w:pPr>
      <w:r>
        <w:rPr>
          <w:rFonts w:ascii="Arial" w:cs="Arial" w:eastAsia="Arial" w:hAnsi="Arial"/>
          <w:sz w:val="18"/>
          <w:szCs w:val="18"/>
          <w:b w:val="1"/>
          <w:bCs w:val="1"/>
          <w:color w:val="auto"/>
        </w:rPr>
        <w:t>NOTES TO THE UNAUDITED CONDENSED CONSOLIDATED FINANCIAL STATEMENTS 11. Financial Instruments and 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Hedge</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May 6, 2022, we entered into a cross-currency swap contract to reduce the effect of the fluctuating U.S. Dollar (“USD”) to Japanese Yen (“JPY”) foreign exchange rate on our foreign currency-denominated intercompany loan between our Japanese and U.S. subsidiary. We expect the gains and losses on this contract to offset losses and gains on the hedged transaction in an effort to reduce the earnings volatility resulting from the remeasurement of the principal and interest accrued on the loan. Though the intercompany loan eliminates in consolidation, the foreign currency remeasurement of the loan and interest by the U.S. subsidiary is reflected in the consolidated financial statements.</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cross-currency swap contract has a notional amount of JPY 11 billion and final receipt of $85 million. The cross-currency swap contract, which matures on November 2, 2031, swaps Yen-denominated interest payments for U.S. dollar-denominated interest payments, thereby economically converting the JPY 11 billion fixed-rate 3.51% intercompany loan to a fixed-rate 6.77% USD-denominated receivable for our U.S. subsidiary.</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designated the cross-currency swap contract to hedge the changes in value of the intercompany loan and its variability on earnings. We will apply fair value hedge accounting, and we will consider market factors other than the change in the spot exchange rate on the notional amount of the swap to be excluded components. The foreign currency spot rate fluctuations on the cross-currency swap notional amount and interest accruals are reported in earnings each period, while all other changes are reported in other comprehensive income. Because the terms of the hedged item and the hedging instrument match and the likelihood of swap counterparty default is not probable, the hedge is expected to exactly offset changes in the fair value of the foreign currency debt resulting from to foreign currency fluctuations over the term of the swap.</w:t>
      </w:r>
    </w:p>
    <w:p>
      <w:pPr>
        <w:spacing w:after="0" w:line="18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As of July 30, 2022, the cross-currency swap had a fair value of $1 million and was included in other assets. We record the changes in the fair value of the contract to AOCL. Each period, we reclassify an amount out of AOCL equal to the remeasurement gain or loss on the hedged intercompany loan that is recorded in selling, general and administrative expenses. As of July 30, 2022, there was $3 million in AOCL, net of tax, related to the cross-currency swap. In addition, we recognize swap interest income based on the differential in fixed interest rates per the contract. For the thirteen and twenty-six weeks ended July 30, 2022, we recorded $ 1 million of income in interest expense, net. Refer to Note 10 for further information regarding amounts recorded in AOCL.</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54"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212" w:lineRule="exact"/>
        <w:rPr>
          <w:sz w:val="20"/>
          <w:szCs w:val="20"/>
          <w:color w:val="auto"/>
        </w:rPr>
      </w:pPr>
    </w:p>
    <w:p>
      <w:pPr>
        <w:jc w:val="both"/>
        <w:ind w:left="1340" w:right="79" w:hanging="971"/>
        <w:spacing w:after="0" w:line="247"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74" w:lineRule="exact"/>
        <w:rPr>
          <w:sz w:val="20"/>
          <w:szCs w:val="20"/>
          <w:color w:val="auto"/>
        </w:rPr>
      </w:pPr>
    </w:p>
    <w:p>
      <w:pPr>
        <w:jc w:val="both"/>
        <w:ind w:left="1340" w:right="79" w:hanging="971"/>
        <w:spacing w:after="0" w:line="271"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200" w:lineRule="exact"/>
        <w:rPr>
          <w:sz w:val="20"/>
          <w:szCs w:val="20"/>
          <w:color w:val="auto"/>
        </w:rPr>
      </w:pPr>
    </w:p>
    <w:p>
      <w:pPr>
        <w:spacing w:after="0" w:line="34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12. Fair Value Measurements (continued)</w:t>
      </w:r>
    </w:p>
    <w:p>
      <w:pPr>
        <w:spacing w:after="0" w:line="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 2021, we invested $68 million to take a common stock minority stake in a public entity, Retailors, Ltd, which is traded on the Tel Aviv stock exchange. This investment is classified as a Level 1 instrument since the fair value is readily available in an active market.</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fair value of the auction rate security, classified as available-for-sale, is determined by using quoted prices for similar instruments in active markets and accordingly is classified as a Level 2 instrument.</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fair value of the contingent consideration liability associated with the atmos acquisition is estimated using an option pricing model simulation that determines an average projected payment value across numerous iterations.</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As of July 30, 2022</w:t>
            </w: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As of July 31, 2021</w:t>
            </w:r>
          </w:p>
        </w:tc>
        <w:tc>
          <w:tcPr>
            <w:tcW w:w="740" w:type="dxa"/>
            <w:vAlign w:val="bottom"/>
            <w:tcBorders>
              <w:bottom w:val="single" w:sz="8" w:color="auto"/>
            </w:tcBorders>
          </w:tcPr>
          <w:p>
            <w:pPr>
              <w:spacing w:after="0"/>
              <w:rPr>
                <w:sz w:val="18"/>
                <w:szCs w:val="18"/>
                <w:color w:val="auto"/>
              </w:rPr>
            </w:pPr>
          </w:p>
        </w:tc>
      </w:tr>
      <w:tr>
        <w:trPr>
          <w:trHeight w:val="183"/>
        </w:trPr>
        <w:tc>
          <w:tcPr>
            <w:tcW w:w="2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w w:val="97"/>
              </w:rPr>
              <w:t>Level 3</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Level 3</w:t>
            </w:r>
          </w:p>
        </w:tc>
      </w:tr>
      <w:tr>
        <w:trPr>
          <w:trHeight w:val="183"/>
        </w:trPr>
        <w:tc>
          <w:tcPr>
            <w:tcW w:w="25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7"/>
        </w:trPr>
        <w:tc>
          <w:tcPr>
            <w:tcW w:w="2520" w:type="dxa"/>
            <w:vAlign w:val="bottom"/>
          </w:tcPr>
          <w:p>
            <w:pPr>
              <w:ind w:left="20"/>
              <w:spacing w:after="0" w:line="167" w:lineRule="exact"/>
              <w:rPr>
                <w:sz w:val="20"/>
                <w:szCs w:val="20"/>
                <w:color w:val="auto"/>
              </w:rPr>
            </w:pPr>
            <w:r>
              <w:rPr>
                <w:rFonts w:ascii="Arial" w:cs="Arial" w:eastAsia="Arial" w:hAnsi="Arial"/>
                <w:sz w:val="17"/>
                <w:szCs w:val="17"/>
                <w:color w:val="auto"/>
              </w:rPr>
              <w:t>Minority investment in common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1"/>
        </w:trPr>
        <w:tc>
          <w:tcPr>
            <w:tcW w:w="2520" w:type="dxa"/>
            <w:vAlign w:val="bottom"/>
          </w:tcPr>
          <w:p>
            <w:pPr>
              <w:ind w:left="20"/>
              <w:spacing w:after="0"/>
              <w:rPr>
                <w:sz w:val="20"/>
                <w:szCs w:val="20"/>
                <w:color w:val="auto"/>
              </w:rPr>
            </w:pPr>
            <w:r>
              <w:rPr>
                <w:rFonts w:ascii="Arial" w:cs="Arial" w:eastAsia="Arial" w:hAnsi="Arial"/>
                <w:sz w:val="17"/>
                <w:szCs w:val="17"/>
                <w:color w:val="auto"/>
              </w:rPr>
              <w:t>stock</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b w:val="1"/>
                <w:bCs w:val="1"/>
                <w:color w:val="auto"/>
              </w:rPr>
              <w:t>107</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92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r>
      <w:tr>
        <w:trPr>
          <w:trHeight w:val="189"/>
        </w:trPr>
        <w:tc>
          <w:tcPr>
            <w:tcW w:w="25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Available-for-sale security</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6</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r>
      <w:tr>
        <w:trPr>
          <w:trHeight w:val="167"/>
        </w:trPr>
        <w:tc>
          <w:tcPr>
            <w:tcW w:w="2520" w:type="dxa"/>
            <w:vAlign w:val="bottom"/>
          </w:tcPr>
          <w:p>
            <w:pPr>
              <w:ind w:left="20"/>
              <w:spacing w:after="0" w:line="167" w:lineRule="exact"/>
              <w:rPr>
                <w:sz w:val="20"/>
                <w:szCs w:val="20"/>
                <w:color w:val="auto"/>
              </w:rPr>
            </w:pPr>
            <w:r>
              <w:rPr>
                <w:rFonts w:ascii="Arial" w:cs="Arial" w:eastAsia="Arial" w:hAnsi="Arial"/>
                <w:sz w:val="17"/>
                <w:szCs w:val="17"/>
                <w:color w:val="auto"/>
              </w:rPr>
              <w:t>Foreign exchange forward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1"/>
        </w:trPr>
        <w:tc>
          <w:tcPr>
            <w:tcW w:w="2520" w:type="dxa"/>
            <w:vAlign w:val="bottom"/>
          </w:tcPr>
          <w:p>
            <w:pPr>
              <w:ind w:left="20"/>
              <w:spacing w:after="0"/>
              <w:rPr>
                <w:sz w:val="20"/>
                <w:szCs w:val="20"/>
                <w:color w:val="auto"/>
              </w:rPr>
            </w:pPr>
            <w:r>
              <w:rPr>
                <w:rFonts w:ascii="Arial" w:cs="Arial" w:eastAsia="Arial" w:hAnsi="Arial"/>
                <w:sz w:val="17"/>
                <w:szCs w:val="17"/>
                <w:color w:val="auto"/>
              </w:rPr>
              <w:t>contracts</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b w:val="1"/>
                <w:bCs w:val="1"/>
                <w:color w:val="auto"/>
              </w:rPr>
              <w:t>1</w:t>
            </w:r>
          </w:p>
        </w:tc>
        <w:tc>
          <w:tcPr>
            <w:tcW w:w="28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r>
      <w:tr>
        <w:trPr>
          <w:trHeight w:val="189"/>
        </w:trPr>
        <w:tc>
          <w:tcPr>
            <w:tcW w:w="25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Cross-currency swap contract</w:t>
            </w: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r>
      <w:tr>
        <w:trPr>
          <w:trHeight w:val="223"/>
        </w:trPr>
        <w:tc>
          <w:tcPr>
            <w:tcW w:w="25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107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8</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92</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8</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7"/>
                <w:szCs w:val="17"/>
                <w:b w:val="1"/>
                <w:bCs w:val="1"/>
                <w:color w:val="auto"/>
              </w:rPr>
              <w:t>—</w:t>
            </w:r>
          </w:p>
        </w:tc>
      </w:tr>
      <w:tr>
        <w:trPr>
          <w:trHeight w:val="169"/>
        </w:trPr>
        <w:tc>
          <w:tcPr>
            <w:tcW w:w="252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b w:val="1"/>
                <w:bCs w:val="1"/>
                <w:color w:val="auto"/>
              </w:rPr>
              <w:t>Liabilities</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9"/>
        </w:trPr>
        <w:tc>
          <w:tcPr>
            <w:tcW w:w="2520" w:type="dxa"/>
            <w:vAlign w:val="bottom"/>
          </w:tcPr>
          <w:p>
            <w:pPr>
              <w:ind w:left="20"/>
              <w:spacing w:after="0" w:line="189" w:lineRule="exact"/>
              <w:rPr>
                <w:sz w:val="20"/>
                <w:szCs w:val="20"/>
                <w:color w:val="auto"/>
              </w:rPr>
            </w:pPr>
            <w:r>
              <w:rPr>
                <w:rFonts w:ascii="Arial" w:cs="Arial" w:eastAsia="Arial" w:hAnsi="Arial"/>
                <w:sz w:val="17"/>
                <w:szCs w:val="17"/>
                <w:color w:val="auto"/>
              </w:rPr>
              <w:t>Contingent consideration</w:t>
            </w:r>
          </w:p>
        </w:tc>
        <w:tc>
          <w:tcPr>
            <w:tcW w:w="280" w:type="dxa"/>
            <w:vAlign w:val="bottom"/>
          </w:tcPr>
          <w:p>
            <w:pPr>
              <w:spacing w:after="0"/>
              <w:rPr>
                <w:sz w:val="16"/>
                <w:szCs w:val="16"/>
                <w:color w:val="auto"/>
              </w:rPr>
            </w:pPr>
          </w:p>
        </w:tc>
        <w:tc>
          <w:tcPr>
            <w:tcW w:w="8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8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7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35</w:t>
            </w:r>
          </w:p>
        </w:tc>
        <w:tc>
          <w:tcPr>
            <w:tcW w:w="260" w:type="dxa"/>
            <w:vAlign w:val="bottom"/>
          </w:tcPr>
          <w:p>
            <w:pPr>
              <w:spacing w:after="0"/>
              <w:rPr>
                <w:sz w:val="16"/>
                <w:szCs w:val="16"/>
                <w:color w:val="auto"/>
              </w:rPr>
            </w:pPr>
          </w:p>
        </w:tc>
        <w:tc>
          <w:tcPr>
            <w:tcW w:w="8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740" w:type="dxa"/>
            <w:vAlign w:val="bottom"/>
          </w:tcPr>
          <w:p>
            <w:pPr>
              <w:ind w:left="520"/>
              <w:spacing w:after="0" w:line="189" w:lineRule="exact"/>
              <w:rPr>
                <w:sz w:val="20"/>
                <w:szCs w:val="20"/>
                <w:color w:val="auto"/>
              </w:rPr>
            </w:pPr>
            <w:r>
              <w:rPr>
                <w:rFonts w:ascii="Arial" w:cs="Arial" w:eastAsia="Arial" w:hAnsi="Arial"/>
                <w:sz w:val="17"/>
                <w:szCs w:val="17"/>
                <w:color w:val="auto"/>
              </w:rPr>
              <w:t>—</w:t>
            </w:r>
          </w:p>
        </w:tc>
      </w:tr>
      <w:tr>
        <w:trPr>
          <w:trHeight w:val="167"/>
        </w:trPr>
        <w:tc>
          <w:tcPr>
            <w:tcW w:w="252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Foreign exchange forward</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11"/>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r>
      <w:tr>
        <w:trPr>
          <w:trHeight w:val="183"/>
        </w:trPr>
        <w:tc>
          <w:tcPr>
            <w:tcW w:w="25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7"/>
                <w:szCs w:val="17"/>
                <w:color w:val="auto"/>
              </w:rPr>
              <w:t>—</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17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Minority investments measured using the fair value measurement alternative had a carrying value of $579 million and $612 million as of July 30, 2022 and July 31, 2021, respectively.</w:t>
      </w:r>
    </w:p>
    <w:p>
      <w:pPr>
        <w:spacing w:after="0" w:line="37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78" w:lineRule="auto"/>
        <w:rPr>
          <w:sz w:val="20"/>
          <w:szCs w:val="20"/>
          <w:color w:val="auto"/>
        </w:rPr>
      </w:pPr>
      <w:r>
        <w:rPr>
          <w:rFonts w:ascii="Arial" w:cs="Arial" w:eastAsia="Arial" w:hAnsi="Arial"/>
          <w:sz w:val="18"/>
          <w:szCs w:val="18"/>
          <w:b w:val="1"/>
          <w:bCs w:val="1"/>
          <w:color w:val="auto"/>
        </w:rPr>
        <w:t>NOTES TO THE UNAUDITED CONDENSED CONSOLIDATED FINANCIAL STATEMENTS 12. Fair Value Measurements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balance as of July 30, 2022 includes the $400 million 4% Notes. The carrying value and estimated fair value of long-term debt were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July 30, 2022</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July 31, 2021</w:t>
            </w:r>
          </w:p>
        </w:tc>
      </w:tr>
      <w:tr>
        <w:trPr>
          <w:trHeight w:val="183"/>
        </w:trPr>
        <w:tc>
          <w:tcPr>
            <w:tcW w:w="332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Carrying value </w:t>
            </w:r>
            <w:r>
              <w:rPr>
                <w:rFonts w:ascii="Arial" w:cs="Arial" w:eastAsia="Arial" w:hAnsi="Arial"/>
                <w:sz w:val="21"/>
                <w:szCs w:val="21"/>
                <w:color w:val="auto"/>
                <w:vertAlign w:val="superscript"/>
              </w:rPr>
              <w:t>(1)</w:t>
            </w:r>
          </w:p>
        </w:tc>
        <w:tc>
          <w:tcPr>
            <w:tcW w:w="2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5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394</w:t>
            </w:r>
          </w:p>
        </w:tc>
        <w:tc>
          <w:tcPr>
            <w:tcW w:w="3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99</w:t>
            </w:r>
          </w:p>
        </w:tc>
      </w:tr>
      <w:tr>
        <w:trPr>
          <w:trHeight w:val="189"/>
        </w:trPr>
        <w:tc>
          <w:tcPr>
            <w:tcW w:w="33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22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313</w:t>
            </w:r>
          </w:p>
        </w:tc>
        <w:tc>
          <w:tcPr>
            <w:tcW w:w="3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102</w:t>
            </w:r>
          </w:p>
        </w:tc>
      </w:tr>
    </w:tbl>
    <w:p>
      <w:pPr>
        <w:spacing w:after="0" w:line="198"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carrying value of debt as of July 30, 2022 reflects $6 million of issuer’s discount and costs related to the 4% Notes.</w:t>
      </w:r>
    </w:p>
    <w:p>
      <w:pPr>
        <w:spacing w:after="0" w:line="20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Earnings Per Share</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income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EPS is as follows: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rPr>
              <w:t>July 30,</w:t>
            </w:r>
          </w:p>
        </w:tc>
        <w:tc>
          <w:tcPr>
            <w:tcW w:w="300" w:type="dxa"/>
            <w:vAlign w:val="bottom"/>
          </w:tcPr>
          <w:p>
            <w:pPr>
              <w:spacing w:after="0"/>
              <w:rPr>
                <w:sz w:val="13"/>
                <w:szCs w:val="13"/>
                <w:color w:val="auto"/>
              </w:rPr>
            </w:pPr>
          </w:p>
        </w:tc>
        <w:tc>
          <w:tcPr>
            <w:tcW w:w="106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July 31,</w:t>
            </w:r>
          </w:p>
        </w:tc>
        <w:tc>
          <w:tcPr>
            <w:tcW w:w="300" w:type="dxa"/>
            <w:vAlign w:val="bottom"/>
          </w:tcPr>
          <w:p>
            <w:pPr>
              <w:spacing w:after="0"/>
              <w:rPr>
                <w:sz w:val="13"/>
                <w:szCs w:val="13"/>
                <w:color w:val="auto"/>
              </w:rPr>
            </w:pPr>
          </w:p>
        </w:tc>
        <w:tc>
          <w:tcPr>
            <w:tcW w:w="104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July 30,</w:t>
            </w:r>
          </w:p>
        </w:tc>
        <w:tc>
          <w:tcPr>
            <w:tcW w:w="320" w:type="dxa"/>
            <w:vAlign w:val="bottom"/>
          </w:tcPr>
          <w:p>
            <w:pPr>
              <w:spacing w:after="0"/>
              <w:rPr>
                <w:sz w:val="13"/>
                <w:szCs w:val="13"/>
                <w:color w:val="auto"/>
              </w:rPr>
            </w:pPr>
          </w:p>
        </w:tc>
        <w:tc>
          <w:tcPr>
            <w:tcW w:w="980" w:type="dxa"/>
            <w:vAlign w:val="bottom"/>
          </w:tcPr>
          <w:p>
            <w:pPr>
              <w:jc w:val="right"/>
              <w:ind w:right="195"/>
              <w:spacing w:after="0" w:line="160" w:lineRule="exact"/>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380" w:type="dxa"/>
            <w:vAlign w:val="bottom"/>
          </w:tcPr>
          <w:p>
            <w:pPr>
              <w:spacing w:after="0"/>
              <w:rPr>
                <w:sz w:val="18"/>
                <w:szCs w:val="18"/>
                <w:color w:val="auto"/>
              </w:rPr>
            </w:pPr>
          </w:p>
        </w:tc>
        <w:tc>
          <w:tcPr>
            <w:tcW w:w="1040" w:type="dxa"/>
            <w:vAlign w:val="bottom"/>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00" w:type="dxa"/>
            <w:vAlign w:val="bottom"/>
          </w:tcPr>
          <w:p>
            <w:pPr>
              <w:spacing w:after="0"/>
              <w:rPr>
                <w:sz w:val="18"/>
                <w:szCs w:val="18"/>
                <w:color w:val="auto"/>
              </w:rPr>
            </w:pPr>
          </w:p>
        </w:tc>
        <w:tc>
          <w:tcPr>
            <w:tcW w:w="1060" w:type="dxa"/>
            <w:vAlign w:val="bottom"/>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320" w:type="dxa"/>
            <w:vAlign w:val="bottom"/>
          </w:tcPr>
          <w:p>
            <w:pPr>
              <w:spacing w:after="0"/>
              <w:rPr>
                <w:sz w:val="18"/>
                <w:szCs w:val="18"/>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 attributable to Foot Locker, Inc.</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94</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430</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227</w:t>
            </w:r>
          </w:p>
        </w:tc>
        <w:tc>
          <w:tcPr>
            <w:tcW w:w="3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4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Weighted-average common shares</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outstanding</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94.1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103.8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95.1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1.0</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1.4</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1.0</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shd w:val="clear" w:color="auto" w:fill="CCEEFF"/>
          </w:tcPr>
          <w:p>
            <w:pPr>
              <w:spacing w:after="0" w:line="160" w:lineRule="exact"/>
              <w:rPr>
                <w:sz w:val="20"/>
                <w:szCs w:val="20"/>
                <w:color w:val="auto"/>
              </w:rPr>
            </w:pPr>
            <w:r>
              <w:rPr>
                <w:rFonts w:ascii="Arial" w:cs="Arial" w:eastAsia="Arial" w:hAnsi="Arial"/>
                <w:sz w:val="17"/>
                <w:szCs w:val="17"/>
                <w:color w:val="auto"/>
              </w:rPr>
              <w:t>Weighted-average common shares</w:t>
            </w: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outstanding assuming dilution</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95.1</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105.2</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96.1</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per share - basic</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1.00</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4.14</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2.39</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Earnings per share - diluted</w:t>
            </w:r>
          </w:p>
        </w:tc>
        <w:tc>
          <w:tcPr>
            <w:tcW w:w="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0.99</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4.09</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2.36</w:t>
            </w:r>
          </w:p>
        </w:tc>
        <w:tc>
          <w:tcPr>
            <w:tcW w:w="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460" w:type="dxa"/>
            <w:vAlign w:val="bottom"/>
          </w:tcPr>
          <w:p>
            <w:pPr>
              <w:spacing w:after="0" w:line="167" w:lineRule="exact"/>
              <w:rPr>
                <w:sz w:val="20"/>
                <w:szCs w:val="20"/>
                <w:color w:val="auto"/>
              </w:rPr>
            </w:pPr>
            <w:r>
              <w:rPr>
                <w:rFonts w:ascii="Arial" w:cs="Arial" w:eastAsia="Arial" w:hAnsi="Arial"/>
                <w:sz w:val="17"/>
                <w:szCs w:val="17"/>
                <w:color w:val="auto"/>
              </w:rPr>
              <w:t>Anti-dilutive share-based awards excluded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from diluted calculation</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2.8</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Performance stock units related to our long-term incentive programs of 0.8 million and 0.6 million have been excluded from diluted weighted-average shares for the periods ended July 30, 2022 and July 31, 2021, respectively. The issuance of these shares is contingent on our performance metrics as compared to the pre-established performance goals, which have not been achieved.</w:t>
      </w:r>
    </w:p>
    <w:p>
      <w:pPr>
        <w:spacing w:after="0" w:line="39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2022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14. Pension</w:t>
      </w:r>
    </w:p>
    <w:p>
      <w:pPr>
        <w:spacing w:after="0" w:line="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components of net periodic pension benefit expense are presented in the table below. Service cost is recognized as part of SG&amp;A expense, while the other components are recognized as part of Other income / (expense), net.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20" w:type="dxa"/>
            <w:vAlign w:val="bottom"/>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Pr>
          <w:p>
            <w:pPr>
              <w:spacing w:after="0"/>
              <w:rPr>
                <w:sz w:val="18"/>
                <w:szCs w:val="18"/>
                <w:color w:val="auto"/>
              </w:rPr>
            </w:pPr>
          </w:p>
        </w:tc>
        <w:tc>
          <w:tcPr>
            <w:tcW w:w="2320" w:type="dxa"/>
            <w:vAlign w:val="bottom"/>
            <w:gridSpan w:val="4"/>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3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75"/>
              <w:spacing w:after="0" w:line="160" w:lineRule="exact"/>
              <w:rPr>
                <w:sz w:val="20"/>
                <w:szCs w:val="20"/>
                <w:color w:val="auto"/>
              </w:rPr>
            </w:pPr>
            <w:r>
              <w:rPr>
                <w:rFonts w:ascii="Arial" w:cs="Arial" w:eastAsia="Arial" w:hAnsi="Arial"/>
                <w:sz w:val="17"/>
                <w:szCs w:val="17"/>
                <w:b w:val="1"/>
                <w:bCs w:val="1"/>
                <w:color w:val="auto"/>
              </w:rPr>
              <w:t>July 30,</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95"/>
              <w:spacing w:after="0" w:line="160" w:lineRule="exact"/>
              <w:rPr>
                <w:sz w:val="20"/>
                <w:szCs w:val="20"/>
                <w:color w:val="auto"/>
              </w:rPr>
            </w:pPr>
            <w:r>
              <w:rPr>
                <w:rFonts w:ascii="Arial" w:cs="Arial" w:eastAsia="Arial" w:hAnsi="Arial"/>
                <w:sz w:val="17"/>
                <w:szCs w:val="17"/>
                <w:b w:val="1"/>
                <w:bCs w:val="1"/>
                <w:color w:val="auto"/>
              </w:rPr>
              <w:t>July 31,</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95"/>
              <w:spacing w:after="0" w:line="160" w:lineRule="exact"/>
              <w:rPr>
                <w:sz w:val="20"/>
                <w:szCs w:val="20"/>
                <w:color w:val="auto"/>
              </w:rPr>
            </w:pPr>
            <w:r>
              <w:rPr>
                <w:rFonts w:ascii="Arial" w:cs="Arial" w:eastAsia="Arial" w:hAnsi="Arial"/>
                <w:sz w:val="17"/>
                <w:szCs w:val="17"/>
                <w:b w:val="1"/>
                <w:bCs w:val="1"/>
                <w:color w:val="auto"/>
              </w:rPr>
              <w:t>July 30,</w:t>
            </w: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95"/>
              <w:spacing w:after="0" w:line="160" w:lineRule="exact"/>
              <w:rPr>
                <w:sz w:val="20"/>
                <w:szCs w:val="20"/>
                <w:color w:val="auto"/>
              </w:rPr>
            </w:pPr>
            <w:r>
              <w:rPr>
                <w:rFonts w:ascii="Arial" w:cs="Arial" w:eastAsia="Arial" w:hAnsi="Arial"/>
                <w:sz w:val="17"/>
                <w:szCs w:val="17"/>
                <w:b w:val="1"/>
                <w:bCs w:val="1"/>
                <w:color w:val="auto"/>
              </w:rPr>
              <w:t>July 31,</w:t>
            </w:r>
          </w:p>
        </w:tc>
        <w:tc>
          <w:tcPr>
            <w:tcW w:w="20" w:type="dxa"/>
            <w:vAlign w:val="bottom"/>
          </w:tcPr>
          <w:p>
            <w:pPr>
              <w:spacing w:after="0"/>
              <w:rPr>
                <w:sz w:val="13"/>
                <w:szCs w:val="13"/>
                <w:color w:val="auto"/>
              </w:rPr>
            </w:pPr>
          </w:p>
        </w:tc>
      </w:tr>
      <w:tr>
        <w:trPr>
          <w:trHeight w:val="211"/>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8"/>
                <w:szCs w:val="18"/>
                <w:color w:val="auto"/>
              </w:rPr>
            </w:pPr>
          </w:p>
        </w:tc>
      </w:tr>
      <w:tr>
        <w:trPr>
          <w:trHeight w:val="183"/>
        </w:trPr>
        <w:tc>
          <w:tcPr>
            <w:tcW w:w="31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Service cost</w:t>
            </w:r>
          </w:p>
        </w:tc>
        <w:tc>
          <w:tcPr>
            <w:tcW w:w="9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w:t>
            </w:r>
          </w:p>
        </w:tc>
        <w:tc>
          <w:tcPr>
            <w:tcW w:w="3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5"/>
                <w:szCs w:val="15"/>
                <w:color w:val="auto"/>
              </w:rPr>
            </w:pPr>
          </w:p>
        </w:tc>
      </w:tr>
      <w:tr>
        <w:trPr>
          <w:trHeight w:val="189"/>
        </w:trPr>
        <w:tc>
          <w:tcPr>
            <w:tcW w:w="310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920" w:type="dxa"/>
            <w:vAlign w:val="bottom"/>
          </w:tcPr>
          <w:p>
            <w:pPr>
              <w:spacing w:after="0"/>
              <w:rPr>
                <w:sz w:val="16"/>
                <w:szCs w:val="16"/>
                <w:color w:val="auto"/>
              </w:rPr>
            </w:pPr>
          </w:p>
        </w:tc>
        <w:tc>
          <w:tcPr>
            <w:tcW w:w="10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w:t>
            </w:r>
          </w:p>
        </w:tc>
        <w:tc>
          <w:tcPr>
            <w:tcW w:w="260" w:type="dxa"/>
            <w:vAlign w:val="bottom"/>
          </w:tcPr>
          <w:p>
            <w:pPr>
              <w:spacing w:after="0"/>
              <w:rPr>
                <w:sz w:val="16"/>
                <w:szCs w:val="16"/>
                <w:color w:val="auto"/>
              </w:rPr>
            </w:pPr>
          </w:p>
        </w:tc>
        <w:tc>
          <w:tcPr>
            <w:tcW w:w="10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w:t>
            </w:r>
          </w:p>
        </w:tc>
        <w:tc>
          <w:tcPr>
            <w:tcW w:w="3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r>
      <w:tr>
        <w:trPr>
          <w:trHeight w:val="189"/>
        </w:trPr>
        <w:tc>
          <w:tcPr>
            <w:tcW w:w="31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(7)</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(8)</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(15)</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20" w:type="dxa"/>
            <w:vAlign w:val="bottom"/>
          </w:tcPr>
          <w:p>
            <w:pPr>
              <w:spacing w:after="0"/>
              <w:rPr>
                <w:sz w:val="16"/>
                <w:szCs w:val="16"/>
                <w:color w:val="auto"/>
              </w:rPr>
            </w:pPr>
          </w:p>
        </w:tc>
      </w:tr>
      <w:tr>
        <w:trPr>
          <w:trHeight w:val="189"/>
        </w:trPr>
        <w:tc>
          <w:tcPr>
            <w:tcW w:w="31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r>
      <w:tr>
        <w:trPr>
          <w:trHeight w:val="183"/>
        </w:trPr>
        <w:tc>
          <w:tcPr>
            <w:tcW w:w="31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9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5"/>
                <w:szCs w:val="15"/>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Share-Based Compensation</w:t>
      </w:r>
    </w:p>
    <w:p>
      <w:pPr>
        <w:spacing w:after="0" w:line="158"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9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3960" w:type="dxa"/>
            <w:vAlign w:val="bottom"/>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220" w:type="dxa"/>
            <w:vAlign w:val="bottom"/>
          </w:tcPr>
          <w:p>
            <w:pPr>
              <w:spacing w:after="0"/>
              <w:rPr>
                <w:sz w:val="13"/>
                <w:szCs w:val="13"/>
                <w:color w:val="auto"/>
              </w:rPr>
            </w:pPr>
          </w:p>
        </w:tc>
        <w:tc>
          <w:tcPr>
            <w:tcW w:w="102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July 31,</w:t>
            </w:r>
          </w:p>
        </w:tc>
        <w:tc>
          <w:tcPr>
            <w:tcW w:w="240" w:type="dxa"/>
            <w:vAlign w:val="bottom"/>
          </w:tcPr>
          <w:p>
            <w:pPr>
              <w:spacing w:after="0"/>
              <w:rPr>
                <w:sz w:val="13"/>
                <w:szCs w:val="13"/>
                <w:color w:val="auto"/>
              </w:rPr>
            </w:pPr>
          </w:p>
        </w:tc>
        <w:tc>
          <w:tcPr>
            <w:tcW w:w="100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1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r>
      <w:tr>
        <w:trPr>
          <w:trHeight w:val="183"/>
        </w:trPr>
        <w:tc>
          <w:tcPr>
            <w:tcW w:w="39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Options and employee stock purchase plan</w:t>
            </w:r>
          </w:p>
        </w:tc>
        <w:tc>
          <w:tcPr>
            <w:tcW w:w="940" w:type="dxa"/>
            <w:vAlign w:val="bottom"/>
            <w:shd w:val="clear" w:color="auto" w:fill="CCEEFF"/>
          </w:tcPr>
          <w:p>
            <w:pPr>
              <w:jc w:val="right"/>
              <w:ind w:right="655"/>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w:t>
            </w:r>
          </w:p>
        </w:tc>
        <w:tc>
          <w:tcPr>
            <w:tcW w:w="102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w:t>
            </w:r>
          </w:p>
        </w:tc>
        <w:tc>
          <w:tcPr>
            <w:tcW w:w="100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r>
      <w:tr>
        <w:trPr>
          <w:trHeight w:val="189"/>
        </w:trPr>
        <w:tc>
          <w:tcPr>
            <w:tcW w:w="39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Restricted stock units and performance stock units</w:t>
            </w: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7</w:t>
            </w: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6</w:t>
            </w: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4"/>
              </w:rPr>
              <w:t>13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3"/>
        </w:trPr>
        <w:tc>
          <w:tcPr>
            <w:tcW w:w="39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share-based compensation expense</w:t>
            </w:r>
          </w:p>
        </w:tc>
        <w:tc>
          <w:tcPr>
            <w:tcW w:w="940" w:type="dxa"/>
            <w:vAlign w:val="bottom"/>
            <w:tcBorders>
              <w:bottom w:val="single" w:sz="8" w:color="auto"/>
            </w:tcBorders>
            <w:shd w:val="clear" w:color="auto" w:fill="CCEEFF"/>
          </w:tcPr>
          <w:p>
            <w:pPr>
              <w:jc w:val="right"/>
              <w:ind w:right="655"/>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9</w:t>
            </w:r>
          </w:p>
        </w:tc>
        <w:tc>
          <w:tcPr>
            <w:tcW w:w="1020" w:type="dxa"/>
            <w:vAlign w:val="bottom"/>
            <w:tcBorders>
              <w:bottom w:val="single" w:sz="8" w:color="auto"/>
            </w:tcBorders>
            <w:shd w:val="clear" w:color="auto" w:fill="CCEEFF"/>
          </w:tcPr>
          <w:p>
            <w:pPr>
              <w:jc w:val="right"/>
              <w:ind w:right="755"/>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8</w:t>
            </w:r>
          </w:p>
        </w:tc>
        <w:tc>
          <w:tcPr>
            <w:tcW w:w="1000" w:type="dxa"/>
            <w:vAlign w:val="bottom"/>
            <w:tcBorders>
              <w:bottom w:val="single" w:sz="8" w:color="auto"/>
            </w:tcBorders>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4"/>
              </w:rPr>
              <w:t>16</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39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Tax benefit recognized</w:t>
            </w:r>
          </w:p>
        </w:tc>
        <w:tc>
          <w:tcPr>
            <w:tcW w:w="940" w:type="dxa"/>
            <w:vAlign w:val="bottom"/>
            <w:tcBorders>
              <w:bottom w:val="single" w:sz="8" w:color="auto"/>
            </w:tcBorders>
            <w:shd w:val="clear" w:color="auto" w:fill="CCEEFF"/>
          </w:tcPr>
          <w:p>
            <w:pPr>
              <w:jc w:val="right"/>
              <w:ind w:right="65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1020" w:type="dxa"/>
            <w:vAlign w:val="bottom"/>
            <w:tcBorders>
              <w:bottom w:val="single" w:sz="8" w:color="auto"/>
            </w:tcBorders>
            <w:shd w:val="clear" w:color="auto" w:fill="CCEEFF"/>
          </w:tcPr>
          <w:p>
            <w:pPr>
              <w:jc w:val="right"/>
              <w:ind w:right="75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1000" w:type="dxa"/>
            <w:vAlign w:val="bottom"/>
            <w:tcBorders>
              <w:bottom w:val="single" w:sz="8" w:color="auto"/>
            </w:tcBorders>
            <w:shd w:val="clear" w:color="auto" w:fill="CCEEFF"/>
          </w:tcPr>
          <w:p>
            <w:pPr>
              <w:jc w:val="right"/>
              <w:ind w:right="71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use the Black-Scholes option-pricing model to estimate the fair value of options and the stock purchase plan. The Black-Scholes option-pricing model incorporates various and subjective assumptions, including expected term and expected volatility.</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table below shows assumptions used to compute share-based compensation expense for awards granted during the twenty-six weeks ended July 30, 2022 and July 31, 2021.</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Stock Option Plans</w:t>
            </w: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rPr>
              <w:t>Stock Purchase Plan</w:t>
            </w:r>
          </w:p>
        </w:tc>
      </w:tr>
      <w:tr>
        <w:trPr>
          <w:trHeight w:val="160"/>
        </w:trPr>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315"/>
              <w:spacing w:after="0" w:line="160" w:lineRule="exact"/>
              <w:rPr>
                <w:sz w:val="20"/>
                <w:szCs w:val="20"/>
                <w:color w:val="auto"/>
              </w:rPr>
            </w:pPr>
            <w:r>
              <w:rPr>
                <w:rFonts w:ascii="Arial" w:cs="Arial" w:eastAsia="Arial" w:hAnsi="Arial"/>
                <w:sz w:val="17"/>
                <w:szCs w:val="17"/>
                <w:b w:val="1"/>
                <w:bCs w:val="1"/>
                <w:color w:val="auto"/>
              </w:rPr>
              <w:t>July 30,</w:t>
            </w:r>
          </w:p>
        </w:tc>
        <w:tc>
          <w:tcPr>
            <w:tcW w:w="220" w:type="dxa"/>
            <w:vAlign w:val="bottom"/>
          </w:tcPr>
          <w:p>
            <w:pPr>
              <w:spacing w:after="0"/>
              <w:rPr>
                <w:sz w:val="13"/>
                <w:szCs w:val="13"/>
                <w:color w:val="auto"/>
              </w:rPr>
            </w:pPr>
          </w:p>
        </w:tc>
        <w:tc>
          <w:tcPr>
            <w:tcW w:w="1120" w:type="dxa"/>
            <w:vAlign w:val="bottom"/>
          </w:tcPr>
          <w:p>
            <w:pPr>
              <w:jc w:val="right"/>
              <w:ind w:right="355"/>
              <w:spacing w:after="0" w:line="160"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3"/>
                <w:szCs w:val="13"/>
                <w:color w:val="auto"/>
              </w:rPr>
            </w:pPr>
          </w:p>
        </w:tc>
        <w:tc>
          <w:tcPr>
            <w:tcW w:w="1120" w:type="dxa"/>
            <w:vAlign w:val="bottom"/>
          </w:tcPr>
          <w:p>
            <w:pPr>
              <w:jc w:val="right"/>
              <w:ind w:right="355"/>
              <w:spacing w:after="0" w:line="160" w:lineRule="exact"/>
              <w:rPr>
                <w:sz w:val="20"/>
                <w:szCs w:val="20"/>
                <w:color w:val="auto"/>
              </w:rPr>
            </w:pPr>
            <w:r>
              <w:rPr>
                <w:rFonts w:ascii="Arial" w:cs="Arial" w:eastAsia="Arial" w:hAnsi="Arial"/>
                <w:sz w:val="17"/>
                <w:szCs w:val="17"/>
                <w:b w:val="1"/>
                <w:bCs w:val="1"/>
                <w:color w:val="auto"/>
              </w:rPr>
              <w:t>July 30,</w:t>
            </w:r>
          </w:p>
        </w:tc>
        <w:tc>
          <w:tcPr>
            <w:tcW w:w="220" w:type="dxa"/>
            <w:vAlign w:val="bottom"/>
          </w:tcPr>
          <w:p>
            <w:pPr>
              <w:spacing w:after="0"/>
              <w:rPr>
                <w:sz w:val="13"/>
                <w:szCs w:val="13"/>
                <w:color w:val="auto"/>
              </w:rPr>
            </w:pPr>
          </w:p>
        </w:tc>
        <w:tc>
          <w:tcPr>
            <w:tcW w:w="1200" w:type="dxa"/>
            <w:vAlign w:val="bottom"/>
          </w:tcPr>
          <w:p>
            <w:pPr>
              <w:jc w:val="right"/>
              <w:ind w:right="43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3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risk free rate of interest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2.3 %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0.9 </w:t>
            </w:r>
            <w:r>
              <w:rPr>
                <w:rFonts w:ascii="Arial" w:cs="Arial" w:eastAsia="Arial" w:hAnsi="Arial"/>
                <w:sz w:val="17"/>
                <w:szCs w:val="17"/>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0.4 %</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xml:space="preserve">0.2 </w:t>
            </w:r>
            <w:r>
              <w:rPr>
                <w:rFonts w:ascii="Arial" w:cs="Arial" w:eastAsia="Arial" w:hAnsi="Arial"/>
                <w:sz w:val="17"/>
                <w:szCs w:val="17"/>
                <w:b w:val="1"/>
                <w:bCs w:val="1"/>
                <w:color w:val="auto"/>
              </w:rPr>
              <w:t>%</w:t>
            </w: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48.2 %</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40 %</w:t>
            </w:r>
          </w:p>
        </w:tc>
        <w:tc>
          <w:tcPr>
            <w:tcW w:w="22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color w:val="auto"/>
              </w:rPr>
              <w:t>%</w:t>
            </w:r>
          </w:p>
        </w:tc>
      </w:tr>
      <w:tr>
        <w:trPr>
          <w:trHeight w:val="167"/>
        </w:trPr>
        <w:tc>
          <w:tcPr>
            <w:tcW w:w="33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Weighted-average expected award life (in</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1"/>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years)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3.7 %</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2.0 %</w:t>
            </w:r>
          </w:p>
        </w:tc>
        <w:tc>
          <w:tcPr>
            <w:tcW w:w="220" w:type="dxa"/>
            <w:vAlign w:val="bottom"/>
          </w:tcPr>
          <w:p>
            <w:pPr>
              <w:spacing w:after="0"/>
              <w:rPr>
                <w:sz w:val="16"/>
                <w:szCs w:val="16"/>
                <w:color w:val="auto"/>
              </w:rPr>
            </w:pPr>
          </w:p>
        </w:tc>
        <w:tc>
          <w:tcPr>
            <w:tcW w:w="12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5.0 </w:t>
            </w:r>
            <w:r>
              <w:rPr>
                <w:rFonts w:ascii="Arial" w:cs="Arial" w:eastAsia="Arial" w:hAnsi="Arial"/>
                <w:sz w:val="17"/>
                <w:szCs w:val="17"/>
                <w:b w:val="1"/>
                <w:bCs w:val="1"/>
                <w:color w:val="auto"/>
              </w:rPr>
              <w:t>%</w:t>
            </w:r>
          </w:p>
        </w:tc>
      </w:tr>
      <w:tr>
        <w:trPr>
          <w:trHeight w:val="189"/>
        </w:trPr>
        <w:tc>
          <w:tcPr>
            <w:tcW w:w="3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10.5</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20.22</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23.47</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7.84</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15. Share-Based Compensation (continued)</w:t>
      </w:r>
    </w:p>
    <w:p>
      <w:pPr>
        <w:spacing w:after="0" w:line="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information in the table below provides activity under our stock option plans for the twenty-six weeks ended July 30, 2022.</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20" w:type="dxa"/>
            <w:vAlign w:val="bottom"/>
          </w:tcPr>
          <w:p>
            <w:pPr>
              <w:spacing w:after="0"/>
              <w:rPr>
                <w:sz w:val="16"/>
                <w:szCs w:val="16"/>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5800" w:type="dxa"/>
            <w:vAlign w:val="bottom"/>
            <w:gridSpan w:val="2"/>
          </w:tcPr>
          <w:p>
            <w:pPr>
              <w:jc w:val="center"/>
              <w:ind w:left="4275"/>
              <w:spacing w:after="0" w:line="189" w:lineRule="exact"/>
              <w:rPr>
                <w:sz w:val="20"/>
                <w:szCs w:val="20"/>
                <w:color w:val="auto"/>
              </w:rPr>
            </w:pPr>
            <w:r>
              <w:rPr>
                <w:rFonts w:ascii="Arial" w:cs="Arial" w:eastAsia="Arial" w:hAnsi="Arial"/>
                <w:sz w:val="17"/>
                <w:szCs w:val="17"/>
                <w:b w:val="1"/>
                <w:bCs w:val="1"/>
                <w:color w:val="auto"/>
                <w:w w:val="99"/>
              </w:rPr>
              <w:t>Number</w:t>
            </w:r>
          </w:p>
        </w:tc>
        <w:tc>
          <w:tcPr>
            <w:tcW w:w="15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320" w:type="dxa"/>
            <w:vAlign w:val="bottom"/>
          </w:tcPr>
          <w:p>
            <w:pPr>
              <w:spacing w:after="0"/>
              <w:rPr>
                <w:sz w:val="16"/>
                <w:szCs w:val="16"/>
                <w:color w:val="auto"/>
              </w:rPr>
            </w:pPr>
          </w:p>
        </w:tc>
        <w:tc>
          <w:tcPr>
            <w:tcW w:w="124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5180" w:type="dxa"/>
            <w:vAlign w:val="bottom"/>
          </w:tcPr>
          <w:p>
            <w:pPr>
              <w:jc w:val="center"/>
              <w:ind w:left="4895"/>
              <w:spacing w:after="0" w:line="189" w:lineRule="exact"/>
              <w:rPr>
                <w:sz w:val="20"/>
                <w:szCs w:val="20"/>
                <w:color w:val="auto"/>
              </w:rPr>
            </w:pPr>
            <w:r>
              <w:rPr>
                <w:rFonts w:ascii="Arial" w:cs="Arial" w:eastAsia="Arial" w:hAnsi="Arial"/>
                <w:sz w:val="17"/>
                <w:szCs w:val="17"/>
                <w:b w:val="1"/>
                <w:bCs w:val="1"/>
                <w:color w:val="auto"/>
                <w:w w:val="99"/>
              </w:rPr>
              <w:t>of</w:t>
            </w:r>
          </w:p>
        </w:tc>
        <w:tc>
          <w:tcPr>
            <w:tcW w:w="62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Remaining</w:t>
            </w:r>
          </w:p>
        </w:tc>
        <w:tc>
          <w:tcPr>
            <w:tcW w:w="320" w:type="dxa"/>
            <w:vAlign w:val="bottom"/>
          </w:tcPr>
          <w:p>
            <w:pPr>
              <w:spacing w:after="0"/>
              <w:rPr>
                <w:sz w:val="16"/>
                <w:szCs w:val="16"/>
                <w:color w:val="auto"/>
              </w:rPr>
            </w:pPr>
          </w:p>
        </w:tc>
        <w:tc>
          <w:tcPr>
            <w:tcW w:w="124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1"/>
        </w:trPr>
        <w:tc>
          <w:tcPr>
            <w:tcW w:w="5800" w:type="dxa"/>
            <w:vAlign w:val="bottom"/>
            <w:tcBorders>
              <w:bottom w:val="single" w:sz="8" w:color="auto"/>
            </w:tcBorders>
            <w:gridSpan w:val="2"/>
          </w:tcPr>
          <w:p>
            <w:pPr>
              <w:jc w:val="center"/>
              <w:ind w:left="4295"/>
              <w:spacing w:after="0"/>
              <w:rPr>
                <w:sz w:val="20"/>
                <w:szCs w:val="20"/>
                <w:color w:val="auto"/>
              </w:rPr>
            </w:pPr>
            <w:r>
              <w:rPr>
                <w:rFonts w:ascii="Arial" w:cs="Arial" w:eastAsia="Arial" w:hAnsi="Arial"/>
                <w:sz w:val="17"/>
                <w:szCs w:val="17"/>
                <w:b w:val="1"/>
                <w:bCs w:val="1"/>
                <w:color w:val="auto"/>
              </w:rPr>
              <w:t>Shares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r>
      <w:tr>
        <w:trPr>
          <w:trHeight w:val="183"/>
        </w:trPr>
        <w:tc>
          <w:tcPr>
            <w:tcW w:w="5800" w:type="dxa"/>
            <w:vAlign w:val="bottom"/>
            <w:gridSpan w:val="2"/>
          </w:tcPr>
          <w:p>
            <w:pPr>
              <w:jc w:val="center"/>
              <w:ind w:left="4275"/>
              <w:spacing w:after="0" w:line="183" w:lineRule="exact"/>
              <w:rPr>
                <w:sz w:val="20"/>
                <w:szCs w:val="20"/>
                <w:color w:val="auto"/>
              </w:rPr>
            </w:pPr>
            <w:r>
              <w:rPr>
                <w:rFonts w:ascii="Arial" w:cs="Arial" w:eastAsia="Arial" w:hAnsi="Arial"/>
                <w:sz w:val="17"/>
                <w:szCs w:val="17"/>
                <w:color w:val="auto"/>
              </w:rPr>
              <w:t>(in thousands)</w:t>
            </w:r>
          </w:p>
        </w:tc>
        <w:tc>
          <w:tcPr>
            <w:tcW w:w="1540" w:type="dxa"/>
            <w:vAlign w:val="bottom"/>
          </w:tcPr>
          <w:p>
            <w:pPr>
              <w:jc w:val="center"/>
              <w:spacing w:after="0" w:line="183" w:lineRule="exact"/>
              <w:rPr>
                <w:sz w:val="20"/>
                <w:szCs w:val="20"/>
                <w:color w:val="auto"/>
              </w:rPr>
            </w:pPr>
            <w:r>
              <w:rPr>
                <w:rFonts w:ascii="Arial" w:cs="Arial" w:eastAsia="Arial" w:hAnsi="Arial"/>
                <w:sz w:val="17"/>
                <w:szCs w:val="17"/>
                <w:color w:val="auto"/>
                <w:w w:val="98"/>
              </w:rPr>
              <w:t>(in years)</w:t>
            </w:r>
          </w:p>
        </w:tc>
        <w:tc>
          <w:tcPr>
            <w:tcW w:w="320" w:type="dxa"/>
            <w:vAlign w:val="bottom"/>
          </w:tcPr>
          <w:p>
            <w:pPr>
              <w:spacing w:after="0"/>
              <w:rPr>
                <w:sz w:val="15"/>
                <w:szCs w:val="15"/>
                <w:color w:val="auto"/>
              </w:rPr>
            </w:pPr>
          </w:p>
        </w:tc>
        <w:tc>
          <w:tcPr>
            <w:tcW w:w="1240" w:type="dxa"/>
            <w:vAlign w:val="bottom"/>
          </w:tcPr>
          <w:p>
            <w:pPr>
              <w:jc w:val="center"/>
              <w:ind w:right="11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6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w w:val="98"/>
              </w:rPr>
              <w:t>3,211</w:t>
            </w: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48.84</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6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522</w:t>
            </w: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31.02</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6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(116)</w:t>
            </w:r>
          </w:p>
        </w:tc>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26.15</w:t>
            </w:r>
          </w:p>
        </w:tc>
      </w:tr>
      <w:tr>
        <w:trPr>
          <w:trHeight w:val="189"/>
        </w:trPr>
        <w:tc>
          <w:tcPr>
            <w:tcW w:w="5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6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(148)</w:t>
            </w:r>
          </w:p>
        </w:tc>
        <w:tc>
          <w:tcPr>
            <w:tcW w:w="1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51.29</w:t>
            </w:r>
          </w:p>
        </w:tc>
      </w:tr>
      <w:tr>
        <w:trPr>
          <w:trHeight w:val="183"/>
        </w:trPr>
        <w:tc>
          <w:tcPr>
            <w:tcW w:w="5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July 30, 2022</w:t>
            </w:r>
          </w:p>
        </w:tc>
        <w:tc>
          <w:tcPr>
            <w:tcW w:w="6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8"/>
              </w:rPr>
              <w:t>3,469</w:t>
            </w:r>
          </w:p>
        </w:tc>
        <w:tc>
          <w:tcPr>
            <w:tcW w:w="15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5.1</w:t>
            </w:r>
          </w:p>
        </w:tc>
        <w:tc>
          <w:tcPr>
            <w:tcW w:w="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46.82</w:t>
            </w:r>
          </w:p>
        </w:tc>
      </w:tr>
      <w:tr>
        <w:trPr>
          <w:trHeight w:val="189"/>
        </w:trPr>
        <w:tc>
          <w:tcPr>
            <w:tcW w:w="5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Options exercisable at July 30, 2022</w:t>
            </w:r>
          </w:p>
        </w:tc>
        <w:tc>
          <w:tcPr>
            <w:tcW w:w="6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w w:val="98"/>
              </w:rPr>
              <w:t>2,635</w:t>
            </w:r>
          </w:p>
        </w:tc>
        <w:tc>
          <w:tcPr>
            <w:tcW w:w="1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3.9</w:t>
            </w:r>
          </w:p>
        </w:tc>
        <w:tc>
          <w:tcPr>
            <w:tcW w:w="3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51.67</w:t>
            </w:r>
          </w:p>
        </w:tc>
      </w:tr>
      <w:tr>
        <w:trPr>
          <w:trHeight w:val="183"/>
        </w:trPr>
        <w:tc>
          <w:tcPr>
            <w:tcW w:w="5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available for future grant at July 30, 2022</w:t>
            </w:r>
          </w:p>
        </w:tc>
        <w:tc>
          <w:tcPr>
            <w:tcW w:w="6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8"/>
              </w:rPr>
              <w:t>1,837</w:t>
            </w:r>
          </w:p>
        </w:tc>
        <w:tc>
          <w:tcPr>
            <w:tcW w:w="15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r>
    </w:tbl>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fair value of options vested July 30, 2022 and July 31, 2021 was $4 million for both periods. The cash received from option exercises during the thirteen and twenty-six weeks ended July 30, 2022 were $1 million and $3 million, respectively. The related tax benefits realized from option exercises during the thirteen and twenty-six weeks ended July 30, 2022 were not significant. The cash received from option exercises during the thirteen and twenty-six weeks ended July 31, 2021 were $6 million and $10 million, respectively. The related tax benefits realized from option exercises during the thirteen and twenty-six weeks ended July 31, 2021 were $1 million and $2 million, respectively.</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is presented below:</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3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2"/>
          </w:tcPr>
          <w:p>
            <w:pPr>
              <w:ind w:left="1700"/>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360" w:type="dxa"/>
            <w:vAlign w:val="bottom"/>
          </w:tcPr>
          <w:p>
            <w:pPr>
              <w:spacing w:after="0"/>
              <w:rPr>
                <w:sz w:val="13"/>
                <w:szCs w:val="13"/>
                <w:color w:val="auto"/>
              </w:rPr>
            </w:pPr>
          </w:p>
        </w:tc>
        <w:tc>
          <w:tcPr>
            <w:tcW w:w="2240" w:type="dxa"/>
            <w:vAlign w:val="bottom"/>
          </w:tcPr>
          <w:p>
            <w:pPr>
              <w:jc w:val="center"/>
              <w:ind w:left="1515"/>
              <w:spacing w:after="0" w:line="160" w:lineRule="exact"/>
              <w:rPr>
                <w:sz w:val="20"/>
                <w:szCs w:val="20"/>
                <w:color w:val="auto"/>
              </w:rPr>
            </w:pPr>
            <w:r>
              <w:rPr>
                <w:rFonts w:ascii="Arial" w:cs="Arial" w:eastAsia="Arial" w:hAnsi="Arial"/>
                <w:sz w:val="17"/>
                <w:szCs w:val="17"/>
                <w:b w:val="1"/>
                <w:bCs w:val="1"/>
                <w:color w:val="auto"/>
              </w:rPr>
              <w:t>July 30,</w:t>
            </w:r>
          </w:p>
        </w:tc>
        <w:tc>
          <w:tcPr>
            <w:tcW w:w="1380" w:type="dxa"/>
            <w:vAlign w:val="bottom"/>
          </w:tcPr>
          <w:p>
            <w:pPr>
              <w:jc w:val="center"/>
              <w:ind w:left="575"/>
              <w:spacing w:after="0" w:line="160" w:lineRule="exact"/>
              <w:rPr>
                <w:sz w:val="20"/>
                <w:szCs w:val="20"/>
                <w:color w:val="auto"/>
              </w:rPr>
            </w:pPr>
            <w:r>
              <w:rPr>
                <w:rFonts w:ascii="Arial" w:cs="Arial" w:eastAsia="Arial" w:hAnsi="Arial"/>
                <w:sz w:val="17"/>
                <w:szCs w:val="17"/>
                <w:b w:val="1"/>
                <w:bCs w:val="1"/>
                <w:color w:val="auto"/>
              </w:rPr>
              <w:t>July 31,</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ind w:left="80"/>
              <w:spacing w:after="0" w:line="160" w:lineRule="exact"/>
              <w:rPr>
                <w:sz w:val="20"/>
                <w:szCs w:val="20"/>
                <w:color w:val="auto"/>
              </w:rPr>
            </w:pPr>
            <w:r>
              <w:rPr>
                <w:rFonts w:ascii="Arial" w:cs="Arial" w:eastAsia="Arial" w:hAnsi="Arial"/>
                <w:sz w:val="17"/>
                <w:szCs w:val="17"/>
                <w:b w:val="1"/>
                <w:bCs w:val="1"/>
                <w:color w:val="auto"/>
              </w:rPr>
              <w:t>July 30,</w:t>
            </w:r>
          </w:p>
        </w:tc>
        <w:tc>
          <w:tcPr>
            <w:tcW w:w="980" w:type="dxa"/>
            <w:vAlign w:val="bottom"/>
          </w:tcPr>
          <w:p>
            <w:pPr>
              <w:jc w:val="center"/>
              <w:ind w:right="75"/>
              <w:spacing w:after="0" w:line="160" w:lineRule="exact"/>
              <w:rPr>
                <w:sz w:val="20"/>
                <w:szCs w:val="20"/>
                <w:color w:val="auto"/>
              </w:rPr>
            </w:pPr>
            <w:r>
              <w:rPr>
                <w:rFonts w:ascii="Arial" w:cs="Arial" w:eastAsia="Arial" w:hAnsi="Arial"/>
                <w:sz w:val="17"/>
                <w:szCs w:val="17"/>
                <w:b w:val="1"/>
                <w:bCs w:val="1"/>
                <w:color w:val="auto"/>
                <w:w w:val="99"/>
              </w:rPr>
              <w:t>July 31,</w:t>
            </w:r>
          </w:p>
        </w:tc>
      </w:tr>
      <w:tr>
        <w:trPr>
          <w:trHeight w:val="211"/>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2022</w:t>
            </w: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2022</w:t>
            </w: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r>
      <w:tr>
        <w:trPr>
          <w:trHeight w:val="183"/>
        </w:trPr>
        <w:tc>
          <w:tcPr>
            <w:tcW w:w="23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Exercised</w:t>
            </w:r>
          </w:p>
        </w:tc>
        <w:tc>
          <w:tcPr>
            <w:tcW w:w="2240" w:type="dxa"/>
            <w:vAlign w:val="bottom"/>
            <w:tcBorders>
              <w:bottom w:val="single" w:sz="8" w:color="auto"/>
            </w:tcBorders>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5</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ind w:left="74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w:t>
            </w: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79"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Twenty-six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74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tcPr>
          <w:p>
            <w:pPr>
              <w:jc w:val="right"/>
              <w:ind w:right="95"/>
              <w:spacing w:after="0" w:line="160" w:lineRule="exact"/>
              <w:rPr>
                <w:sz w:val="20"/>
                <w:szCs w:val="20"/>
                <w:color w:val="auto"/>
              </w:rPr>
            </w:pPr>
            <w:r>
              <w:rPr>
                <w:rFonts w:ascii="Arial" w:cs="Arial" w:eastAsia="Arial" w:hAnsi="Arial"/>
                <w:sz w:val="17"/>
                <w:szCs w:val="17"/>
                <w:b w:val="1"/>
                <w:bCs w:val="1"/>
                <w:color w:val="auto"/>
              </w:rPr>
              <w:t>July 30,</w:t>
            </w:r>
          </w:p>
        </w:tc>
        <w:tc>
          <w:tcPr>
            <w:tcW w:w="4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43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8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3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2880" w:type="dxa"/>
            <w:vAlign w:val="bottom"/>
            <w:shd w:val="clear" w:color="auto" w:fill="CCEEFF"/>
          </w:tcPr>
          <w:p>
            <w:pPr>
              <w:jc w:val="right"/>
              <w:ind w:right="113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w:t>
            </w:r>
          </w:p>
        </w:tc>
        <w:tc>
          <w:tcPr>
            <w:tcW w:w="4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2880" w:type="dxa"/>
            <w:vAlign w:val="bottom"/>
            <w:tcBorders>
              <w:bottom w:val="single" w:sz="8" w:color="auto"/>
            </w:tcBorders>
          </w:tcPr>
          <w:p>
            <w:pPr>
              <w:jc w:val="right"/>
              <w:ind w:right="1135"/>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48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w:t>
            </w:r>
          </w:p>
        </w:tc>
      </w:tr>
    </w:tbl>
    <w:p>
      <w:pPr>
        <w:spacing w:after="0" w:line="19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July 30, 2022, there was $5 million of total unrecognized compensation cost related to nonvested stock options which is expected to be recognized over a remaining weighted-average period of 1.6 years.</w:t>
      </w:r>
    </w:p>
    <w:p>
      <w:pPr>
        <w:spacing w:after="0" w:line="37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Share-Based Compensation (continued)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information about stock options outstanding and exercisable at July 30, 2022.</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7"/>
                <w:szCs w:val="17"/>
                <w:b w:val="1"/>
                <w:bCs w:val="1"/>
                <w:color w:val="auto"/>
              </w:rPr>
              <w:t>Options Outstanding</w:t>
            </w:r>
          </w:p>
        </w:tc>
        <w:tc>
          <w:tcPr>
            <w:tcW w:w="27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Options Exercisable</w:t>
            </w:r>
          </w:p>
        </w:tc>
      </w:tr>
      <w:tr>
        <w:trPr>
          <w:trHeight w:val="160"/>
        </w:trPr>
        <w:tc>
          <w:tcPr>
            <w:tcW w:w="1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ind w:left="35"/>
              <w:spacing w:after="0" w:line="160" w:lineRule="exact"/>
              <w:rPr>
                <w:sz w:val="20"/>
                <w:szCs w:val="20"/>
                <w:color w:val="auto"/>
              </w:rPr>
            </w:pPr>
            <w:r>
              <w:rPr>
                <w:rFonts w:ascii="Arial" w:cs="Arial" w:eastAsia="Arial" w:hAnsi="Arial"/>
                <w:sz w:val="17"/>
                <w:szCs w:val="17"/>
                <w:b w:val="1"/>
                <w:bCs w:val="1"/>
                <w:color w:val="auto"/>
              </w:rPr>
              <w:t>Weighted-</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Average</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w w:val="99"/>
              </w:rPr>
              <w:t>Weighted-</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40" w:type="dxa"/>
            <w:vAlign w:val="bottom"/>
          </w:tcPr>
          <w:p>
            <w:pPr>
              <w:jc w:val="center"/>
              <w:ind w:right="195"/>
              <w:spacing w:after="0" w:line="189" w:lineRule="exact"/>
              <w:rPr>
                <w:sz w:val="20"/>
                <w:szCs w:val="20"/>
                <w:color w:val="auto"/>
              </w:rPr>
            </w:pPr>
            <w:r>
              <w:rPr>
                <w:rFonts w:ascii="Arial" w:cs="Arial" w:eastAsia="Arial" w:hAnsi="Arial"/>
                <w:sz w:val="17"/>
                <w:szCs w:val="17"/>
                <w:b w:val="1"/>
                <w:bCs w:val="1"/>
                <w:color w:val="auto"/>
              </w:rPr>
              <w:t>Average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Range of Exercise</w:t>
            </w:r>
          </w:p>
        </w:tc>
        <w:tc>
          <w:tcPr>
            <w:tcW w:w="14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Number</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Contractual</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rPr>
              <w:t>Exercise</w:t>
            </w:r>
          </w:p>
        </w:tc>
        <w:tc>
          <w:tcPr>
            <w:tcW w:w="126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1"/>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Prices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rPr>
              <w:t>Life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Price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Exercisable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Price</w:t>
            </w:r>
          </w:p>
        </w:tc>
      </w:tr>
      <w:tr>
        <w:trPr>
          <w:trHeight w:val="183"/>
        </w:trPr>
        <w:tc>
          <w:tcPr>
            <w:tcW w:w="1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0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1100" w:type="dxa"/>
            <w:vAlign w:val="bottom"/>
          </w:tcPr>
          <w:p>
            <w:pPr>
              <w:spacing w:after="0"/>
              <w:rPr>
                <w:sz w:val="15"/>
                <w:szCs w:val="15"/>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$21.60 - $36.51</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1,326</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7.4</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26.37</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601</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24.21</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color w:val="auto"/>
              </w:rPr>
              <w:t>$44.78 - $48.98</w:t>
            </w: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449</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3.3</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45.02</w:t>
            </w:r>
          </w:p>
        </w:tc>
        <w:tc>
          <w:tcPr>
            <w:tcW w:w="12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448</w:t>
            </w:r>
          </w:p>
        </w:tc>
        <w:tc>
          <w:tcPr>
            <w:tcW w:w="3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45.02</w:t>
            </w: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$53.61 - $58.94</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506</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5.8</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56.68</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398</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57.44</w:t>
            </w:r>
          </w:p>
        </w:tc>
      </w:tr>
      <w:tr>
        <w:trPr>
          <w:trHeight w:val="189"/>
        </w:trPr>
        <w:tc>
          <w:tcPr>
            <w:tcW w:w="18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$62.02 - $72.83</w:t>
            </w: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1,188</w:t>
            </w:r>
          </w:p>
        </w:tc>
        <w:tc>
          <w:tcPr>
            <w:tcW w:w="1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3.0</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66.13</w:t>
            </w:r>
          </w:p>
        </w:tc>
        <w:tc>
          <w:tcPr>
            <w:tcW w:w="12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1,188</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66.13</w:t>
            </w:r>
          </w:p>
        </w:tc>
      </w:tr>
      <w:tr>
        <w:trPr>
          <w:trHeight w:val="183"/>
        </w:trPr>
        <w:tc>
          <w:tcPr>
            <w:tcW w:w="18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3,469</w:t>
            </w:r>
          </w:p>
        </w:tc>
        <w:tc>
          <w:tcPr>
            <w:tcW w:w="1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5.1</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46.82</w:t>
            </w:r>
          </w:p>
        </w:tc>
        <w:tc>
          <w:tcPr>
            <w:tcW w:w="12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2,635</w:t>
            </w:r>
          </w:p>
        </w:tc>
        <w:tc>
          <w:tcPr>
            <w:tcW w:w="3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51.67</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 and Performance Stock Units</w:t>
      </w:r>
    </w:p>
    <w:p>
      <w:pPr>
        <w:spacing w:after="0" w:line="15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Restricted stock units (“RSU”) are awarded to certain officers, key employees of the Company, and nonemployee directors. Additionally, performance stock units (“PSU”) are awarded to officers and certain key employees in connection with our long-term incentive program. Each RSU and PSU represents the right to receive one share of our common stock provided that the applicable performance and vesting conditions are satisfied. PSU awards granted in 2022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 and share-based compensation expense will not be adjusted should the target awards vary from actual awards.</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 Compensation expense is recognized over the vesting period. RSU and PSU activity for the twenty-six weeks ended July 30, 2022 is summarized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jc w:val="center"/>
              <w:ind w:left="15"/>
              <w:spacing w:after="0"/>
              <w:rPr>
                <w:sz w:val="20"/>
                <w:szCs w:val="20"/>
                <w:color w:val="auto"/>
              </w:rPr>
            </w:pPr>
            <w:r>
              <w:rPr>
                <w:rFonts w:ascii="Arial" w:cs="Arial" w:eastAsia="Arial" w:hAnsi="Arial"/>
                <w:sz w:val="17"/>
                <w:szCs w:val="17"/>
                <w:b w:val="1"/>
                <w:bCs w:val="1"/>
                <w:color w:val="auto"/>
                <w:w w:val="99"/>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4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20" w:type="dxa"/>
            <w:vAlign w:val="bottom"/>
          </w:tcPr>
          <w:p>
            <w:pPr>
              <w:spacing w:after="0"/>
              <w:rPr>
                <w:sz w:val="16"/>
                <w:szCs w:val="16"/>
                <w:color w:val="auto"/>
              </w:rPr>
            </w:pPr>
          </w:p>
        </w:tc>
        <w:tc>
          <w:tcPr>
            <w:tcW w:w="1320" w:type="dxa"/>
            <w:vAlign w:val="bottom"/>
          </w:tcPr>
          <w:p>
            <w:pPr>
              <w:jc w:val="right"/>
              <w:ind w:right="25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20" w:type="dxa"/>
            <w:vAlign w:val="bottom"/>
          </w:tcPr>
          <w:p>
            <w:pPr>
              <w:spacing w:after="0"/>
              <w:rPr>
                <w:sz w:val="15"/>
                <w:szCs w:val="15"/>
                <w:color w:val="auto"/>
              </w:rPr>
            </w:pPr>
          </w:p>
        </w:tc>
        <w:tc>
          <w:tcPr>
            <w:tcW w:w="132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1,391</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1,026</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30.22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(110)</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14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(60)</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(92)</w:t>
            </w:r>
          </w:p>
        </w:tc>
        <w:tc>
          <w:tcPr>
            <w:tcW w:w="16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July 30, 2022</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2,155</w:t>
            </w:r>
          </w:p>
        </w:tc>
        <w:tc>
          <w:tcPr>
            <w:tcW w:w="16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1.8</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36.95</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80</w:t>
            </w:r>
          </w:p>
        </w:tc>
        <w:tc>
          <w:tcPr>
            <w:tcW w:w="1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right="79" w:hanging="330"/>
        <w:spacing w:after="0" w:line="285"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represents adjustments made to PSUs reflecting changes in estimates based upon our current performance against predefined financial targets.</w:t>
      </w:r>
    </w:p>
    <w:p>
      <w:pPr>
        <w:spacing w:after="0" w:line="36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1834515"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15. Share-Based Compensation (continued)</w:t>
      </w:r>
    </w:p>
    <w:p>
      <w:pPr>
        <w:spacing w:after="0" w:line="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total value of RSU and PSU awards that vested during the twenty-six weeks ended July 30, 2022 and July 31, 2021 was $6 million and $22 million, respectively. As of July 30, 2022, there was $44 million of total unrecognized compensation cost related to nonvested awards.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Legal Proceedings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Foot Locker, Inc. leads the celebration of sneaker and youth culture around the globe through a portfolio of brands including Foot Locker, Lady Foot Locker, Kids Foot Locker, Champs Sports, Eastbay, atmos, WSS, Footaction, and Sidestep. As of July 30, 2022, we operated 2,799 primarily mall-based stores, as well as stores in high-traffic urban retail areas and high streets, in 28 countries across the United States, Canada, Europe, Australia, New Zealand, and Asia, as well as websites and mobile apps. Our purpose is to inspire and empower youth culture around the world, by fueling a shared passion for self-expression and creating unrivaled experiences at the heart of the global sneaker community.</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our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kidsfootlocker.com, champssports.com, atmosusa.com, shopwss.com and related e-commerce sites in the various international countries that we operate. These sites offer some of the largest online product selections and provide a seamless link between e-commerce and physical stores. We also operate the website for eastbay.com.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At July 30, 2022, we operated 2,799 stores as compared with 2,858 and 2,911 stores at January 29, 2022 and July 31, 2021,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 total of 148 franchised stores were operating at July 30, 2022, as compared with 142 and 134 stores at January 29, 2022 and July 31, 2021, respectively, operating in the Middle East and Asia. Revenue from franchised stores was not significant for any of the periods presented. These stores are not included in the operating store count above.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Update</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continue to monitor outbreaks of COVID-19 which cause store closures, reduced operating hours, capacity limitations, and social distancing that may be required to help ensure the health and safety of our team members and our customers. COVID-19 has had, and may continue to have, an effect on ports and trade, as well as global travel.</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to reporting our financial results in accordance with U.S.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13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 The non-GAAP financial information is provided in addition to, and not as an alternative to, our reported results prepared in accordance with GAAP.</w:t>
      </w:r>
    </w:p>
    <w:p>
      <w:pPr>
        <w:spacing w:after="0" w:line="15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Effective with the first quarter of 2022, the calculation for non-GAAP earnings excludes gains and losses from all minority investments, including the adjustments related to the investment in Retailors, Ltd. We believe this is a more representative measure of our recurring earnings, assists in the comparability of results, and is consistent with how management reviews performance. The non-GAAP results for 2021 have been recast, as applicable, to conform to the current year’s presentation. As we report quarterly results through 2022, we will provide updated non-GAAP reconciliations for the corresponding prior year’s quarter under this revised definition.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Presented below is a reconciliation of GAAP and non-GAAP.</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295"/>
              <w:spacing w:after="0" w:line="160" w:lineRule="exact"/>
              <w:rPr>
                <w:sz w:val="20"/>
                <w:szCs w:val="20"/>
                <w:color w:val="auto"/>
              </w:rPr>
            </w:pPr>
            <w:r>
              <w:rPr>
                <w:rFonts w:ascii="Arial" w:cs="Arial" w:eastAsia="Arial" w:hAnsi="Arial"/>
                <w:sz w:val="17"/>
                <w:szCs w:val="17"/>
                <w:b w:val="1"/>
                <w:bCs w:val="1"/>
                <w:color w:val="auto"/>
              </w:rPr>
              <w:t>July 30,</w:t>
            </w:r>
          </w:p>
        </w:tc>
        <w:tc>
          <w:tcPr>
            <w:tcW w:w="260" w:type="dxa"/>
            <w:vAlign w:val="bottom"/>
          </w:tcPr>
          <w:p>
            <w:pPr>
              <w:spacing w:after="0"/>
              <w:rPr>
                <w:sz w:val="13"/>
                <w:szCs w:val="13"/>
                <w:color w:val="auto"/>
              </w:rPr>
            </w:pPr>
          </w:p>
        </w:tc>
        <w:tc>
          <w:tcPr>
            <w:tcW w:w="1080" w:type="dxa"/>
            <w:vAlign w:val="bottom"/>
          </w:tcPr>
          <w:p>
            <w:pPr>
              <w:jc w:val="right"/>
              <w:ind w:right="275"/>
              <w:spacing w:after="0" w:line="160" w:lineRule="exact"/>
              <w:rPr>
                <w:sz w:val="20"/>
                <w:szCs w:val="20"/>
                <w:color w:val="auto"/>
              </w:rPr>
            </w:pPr>
            <w:r>
              <w:rPr>
                <w:rFonts w:ascii="Arial" w:cs="Arial" w:eastAsia="Arial" w:hAnsi="Arial"/>
                <w:sz w:val="17"/>
                <w:szCs w:val="17"/>
                <w:b w:val="1"/>
                <w:bCs w:val="1"/>
                <w:color w:val="auto"/>
              </w:rPr>
              <w:t>July 31,</w:t>
            </w:r>
          </w:p>
        </w:tc>
        <w:tc>
          <w:tcPr>
            <w:tcW w:w="280" w:type="dxa"/>
            <w:vAlign w:val="bottom"/>
          </w:tcPr>
          <w:p>
            <w:pPr>
              <w:spacing w:after="0"/>
              <w:rPr>
                <w:sz w:val="13"/>
                <w:szCs w:val="13"/>
                <w:color w:val="auto"/>
              </w:rPr>
            </w:pPr>
          </w:p>
        </w:tc>
        <w:tc>
          <w:tcPr>
            <w:tcW w:w="104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July 30,</w:t>
            </w:r>
          </w:p>
        </w:tc>
        <w:tc>
          <w:tcPr>
            <w:tcW w:w="320" w:type="dxa"/>
            <w:vAlign w:val="bottom"/>
          </w:tcPr>
          <w:p>
            <w:pPr>
              <w:spacing w:after="0"/>
              <w:rPr>
                <w:sz w:val="13"/>
                <w:szCs w:val="13"/>
                <w:color w:val="auto"/>
              </w:rPr>
            </w:pPr>
          </w:p>
        </w:tc>
        <w:tc>
          <w:tcPr>
            <w:tcW w:w="980" w:type="dxa"/>
            <w:vAlign w:val="bottom"/>
          </w:tcPr>
          <w:p>
            <w:pPr>
              <w:jc w:val="right"/>
              <w:ind w:right="195"/>
              <w:spacing w:after="0" w:line="160" w:lineRule="exact"/>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11"/>
        </w:trPr>
        <w:tc>
          <w:tcPr>
            <w:tcW w:w="352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340" w:type="dxa"/>
            <w:vAlign w:val="bottom"/>
          </w:tcPr>
          <w:p>
            <w:pPr>
              <w:spacing w:after="0"/>
              <w:rPr>
                <w:sz w:val="18"/>
                <w:szCs w:val="18"/>
                <w:color w:val="auto"/>
              </w:rPr>
            </w:pPr>
          </w:p>
        </w:tc>
        <w:tc>
          <w:tcPr>
            <w:tcW w:w="1080" w:type="dxa"/>
            <w:vAlign w:val="bottom"/>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320" w:type="dxa"/>
            <w:vAlign w:val="bottom"/>
          </w:tcPr>
          <w:p>
            <w:pPr>
              <w:spacing w:after="0"/>
              <w:rPr>
                <w:sz w:val="18"/>
                <w:szCs w:val="18"/>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3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line="189" w:lineRule="exact"/>
              <w:rPr>
                <w:sz w:val="20"/>
                <w:szCs w:val="20"/>
                <w:color w:val="auto"/>
              </w:rPr>
            </w:pPr>
            <w:r>
              <w:rPr>
                <w:rFonts w:ascii="Arial" w:cs="Arial" w:eastAsia="Arial" w:hAnsi="Arial"/>
                <w:sz w:val="17"/>
                <w:szCs w:val="17"/>
                <w:color w:val="auto"/>
              </w:rPr>
              <w:t>Income before income taxes</w:t>
            </w: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143</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587</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333</w:t>
            </w:r>
          </w:p>
        </w:tc>
        <w:tc>
          <w:tcPr>
            <w:tcW w:w="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34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26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36</w:t>
            </w:r>
          </w:p>
        </w:tc>
        <w:tc>
          <w:tcPr>
            <w:tcW w:w="28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18</w:t>
            </w:r>
          </w:p>
        </w:tc>
        <w:tc>
          <w:tcPr>
            <w:tcW w:w="3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Other income / expense, net</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(6)</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(320)</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18</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line="160" w:lineRule="exact"/>
              <w:rPr>
                <w:sz w:val="20"/>
                <w:szCs w:val="20"/>
                <w:color w:val="auto"/>
              </w:rPr>
            </w:pPr>
            <w:r>
              <w:rPr>
                <w:rFonts w:ascii="Arial" w:cs="Arial" w:eastAsia="Arial" w:hAnsi="Arial"/>
                <w:sz w:val="17"/>
                <w:szCs w:val="17"/>
                <w:color w:val="auto"/>
              </w:rPr>
              <w:t>Adjusted income before income taxes (non-</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520" w:type="dxa"/>
            <w:vAlign w:val="bottom"/>
            <w:gridSpan w:val="2"/>
          </w:tcPr>
          <w:p>
            <w:pPr>
              <w:spacing w:after="0"/>
              <w:rPr>
                <w:sz w:val="20"/>
                <w:szCs w:val="20"/>
                <w:color w:val="auto"/>
              </w:rPr>
            </w:pPr>
            <w:r>
              <w:rPr>
                <w:rFonts w:ascii="Arial" w:cs="Arial" w:eastAsia="Arial" w:hAnsi="Arial"/>
                <w:sz w:val="17"/>
                <w:szCs w:val="17"/>
                <w:color w:val="auto"/>
              </w:rPr>
              <w:t>GAAP)</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auto"/>
              </w:rPr>
              <w:t>149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303</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369</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attributable to Foot Locker, Inc.</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94</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430</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227</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Impairment and other charges, net of</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income tax benefit of $3, $9, $5, and $10,</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respectively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ind w:left="200"/>
              <w:spacing w:after="0" w:line="167" w:lineRule="exact"/>
              <w:rPr>
                <w:sz w:val="20"/>
                <w:szCs w:val="20"/>
                <w:color w:val="auto"/>
              </w:rPr>
            </w:pPr>
            <w:r>
              <w:rPr>
                <w:rFonts w:ascii="Arial" w:cs="Arial" w:eastAsia="Arial" w:hAnsi="Arial"/>
                <w:sz w:val="17"/>
                <w:szCs w:val="17"/>
                <w:color w:val="auto"/>
              </w:rPr>
              <w:t>Other income / expense, net of</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(expense)/income tax benefit of $(3),</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7"/>
                <w:szCs w:val="17"/>
                <w:color w:val="auto"/>
              </w:rPr>
              <w:t>$(84), $3, and $(84), respectively</w:t>
            </w:r>
          </w:p>
        </w:tc>
        <w:tc>
          <w:tcPr>
            <w:tcW w:w="34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w:t>
            </w:r>
          </w:p>
        </w:tc>
        <w:tc>
          <w:tcPr>
            <w:tcW w:w="26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(236)</w:t>
            </w:r>
          </w:p>
        </w:tc>
        <w:tc>
          <w:tcPr>
            <w:tcW w:w="28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Tax reserves charge</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5</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net income (non-GAAP)</w:t>
            </w: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221</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260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earnings per share</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0.99</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4.09</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2.36</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0.09</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0.25</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0.14</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Other income / expense, net</w:t>
            </w:r>
          </w:p>
        </w:tc>
        <w:tc>
          <w:tcPr>
            <w:tcW w:w="34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(0.03)</w:t>
            </w:r>
          </w:p>
        </w:tc>
        <w:tc>
          <w:tcPr>
            <w:tcW w:w="260" w:type="dxa"/>
            <w:vAlign w:val="bottom"/>
          </w:tcPr>
          <w:p>
            <w:pPr>
              <w:spacing w:after="0"/>
              <w:rPr>
                <w:sz w:val="16"/>
                <w:szCs w:val="16"/>
                <w:color w:val="auto"/>
              </w:rPr>
            </w:pPr>
          </w:p>
        </w:tc>
        <w:tc>
          <w:tcPr>
            <w:tcW w:w="10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(2.25)</w:t>
            </w:r>
          </w:p>
        </w:tc>
        <w:tc>
          <w:tcPr>
            <w:tcW w:w="28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0.16</w:t>
            </w:r>
          </w:p>
        </w:tc>
        <w:tc>
          <w:tcPr>
            <w:tcW w:w="3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Tax reserves charge</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0.05</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0.05</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line="160" w:lineRule="exact"/>
              <w:rPr>
                <w:sz w:val="20"/>
                <w:szCs w:val="20"/>
                <w:color w:val="auto"/>
              </w:rPr>
            </w:pPr>
            <w:r>
              <w:rPr>
                <w:rFonts w:ascii="Arial" w:cs="Arial" w:eastAsia="Arial" w:hAnsi="Arial"/>
                <w:sz w:val="17"/>
                <w:szCs w:val="17"/>
                <w:color w:val="auto"/>
              </w:rPr>
              <w:t>Adjusted diluted earnings per share (non-</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2.71</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 xml:space="preserve">During the thirteen and twenty-six weeks ended July 30, 2022, we recorded pre-tax charges of $12 million and $18 million, respectively, classified as Impairment and Other. See the </w:t>
      </w:r>
      <w:r>
        <w:rPr>
          <w:rFonts w:ascii="Arial" w:cs="Arial" w:eastAsia="Arial" w:hAnsi="Arial"/>
          <w:sz w:val="18"/>
          <w:szCs w:val="18"/>
          <w:i w:val="1"/>
          <w:iCs w:val="1"/>
          <w:color w:val="auto"/>
        </w:rPr>
        <w:t>Impairment and Other Charges</w:t>
      </w:r>
      <w:r>
        <w:rPr>
          <w:rFonts w:ascii="Arial" w:cs="Arial" w:eastAsia="Arial" w:hAnsi="Arial"/>
          <w:sz w:val="18"/>
          <w:szCs w:val="18"/>
          <w:color w:val="auto"/>
        </w:rPr>
        <w:t xml:space="preserve"> section for further information.</w:t>
      </w:r>
    </w:p>
    <w:p>
      <w:pPr>
        <w:spacing w:after="0" w:line="38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2022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 xml:space="preserve">The adjustments made to other income / (expense), net reflect gains or losses primarily associated with our minority investments. See the </w:t>
      </w:r>
      <w:r>
        <w:rPr>
          <w:rFonts w:ascii="Arial" w:cs="Arial" w:eastAsia="Arial" w:hAnsi="Arial"/>
          <w:sz w:val="18"/>
          <w:szCs w:val="18"/>
          <w:i w:val="1"/>
          <w:iCs w:val="1"/>
          <w:color w:val="auto"/>
        </w:rPr>
        <w:t>Other Income / (Expense), net</w:t>
      </w:r>
      <w:r>
        <w:rPr>
          <w:rFonts w:ascii="Arial" w:cs="Arial" w:eastAsia="Arial" w:hAnsi="Arial"/>
          <w:sz w:val="18"/>
          <w:szCs w:val="18"/>
          <w:color w:val="auto"/>
        </w:rPr>
        <w:t xml:space="preserve"> section for further information.</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the second quarter of 2022, we recorded a $5 million charge related to our income tax reserves due to the resolution of a foreign tax settlement.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WSS, and Footaction, including each of their related e -commerce businesses, as well as our Eastbay business. Our EMEA operating segment includes the results of the following banners operating in Europe: Foot Locker, Sidestep, and Kids Foot Locker, including each of their related e-commerce businesses. Our Asia Pacific operating segment includes the results of the Foot Locker banner and its related e-commerce business operating in Australia, New Zealand, and Asia, as well as atmos, which operates primarily in Asia. We have further aggregated these operating segments into one reportable segment based upon their shared customer base and similar economic characteristics.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expenses, non-operating income, and net interest expense.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results.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ind w:right="375"/>
              <w:spacing w:after="0" w:line="160" w:lineRule="exact"/>
              <w:rPr>
                <w:sz w:val="20"/>
                <w:szCs w:val="20"/>
                <w:color w:val="auto"/>
              </w:rPr>
            </w:pPr>
            <w:r>
              <w:rPr>
                <w:rFonts w:ascii="Arial" w:cs="Arial" w:eastAsia="Arial" w:hAnsi="Arial"/>
                <w:sz w:val="17"/>
                <w:szCs w:val="17"/>
                <w:b w:val="1"/>
                <w:bCs w:val="1"/>
                <w:color w:val="auto"/>
                <w:w w:val="99"/>
              </w:rPr>
              <w:t>July 30,</w:t>
            </w:r>
          </w:p>
        </w:tc>
        <w:tc>
          <w:tcPr>
            <w:tcW w:w="260" w:type="dxa"/>
            <w:vAlign w:val="bottom"/>
          </w:tcPr>
          <w:p>
            <w:pPr>
              <w:spacing w:after="0"/>
              <w:rPr>
                <w:sz w:val="13"/>
                <w:szCs w:val="13"/>
                <w:color w:val="auto"/>
              </w:rPr>
            </w:pPr>
          </w:p>
        </w:tc>
        <w:tc>
          <w:tcPr>
            <w:tcW w:w="106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July 31,</w:t>
            </w:r>
          </w:p>
        </w:tc>
        <w:tc>
          <w:tcPr>
            <w:tcW w:w="260" w:type="dxa"/>
            <w:vAlign w:val="bottom"/>
          </w:tcPr>
          <w:p>
            <w:pPr>
              <w:spacing w:after="0"/>
              <w:rPr>
                <w:sz w:val="13"/>
                <w:szCs w:val="13"/>
                <w:color w:val="auto"/>
              </w:rPr>
            </w:pPr>
          </w:p>
        </w:tc>
        <w:tc>
          <w:tcPr>
            <w:tcW w:w="1080" w:type="dxa"/>
            <w:vAlign w:val="bottom"/>
          </w:tcPr>
          <w:p>
            <w:pPr>
              <w:ind w:left="80"/>
              <w:spacing w:after="0" w:line="160" w:lineRule="exact"/>
              <w:rPr>
                <w:sz w:val="20"/>
                <w:szCs w:val="20"/>
                <w:color w:val="auto"/>
              </w:rPr>
            </w:pPr>
            <w:r>
              <w:rPr>
                <w:rFonts w:ascii="Arial" w:cs="Arial" w:eastAsia="Arial" w:hAnsi="Arial"/>
                <w:sz w:val="17"/>
                <w:szCs w:val="17"/>
                <w:b w:val="1"/>
                <w:bCs w:val="1"/>
                <w:color w:val="auto"/>
              </w:rPr>
              <w:t>July 30,</w:t>
            </w:r>
          </w:p>
        </w:tc>
        <w:tc>
          <w:tcPr>
            <w:tcW w:w="280" w:type="dxa"/>
            <w:vAlign w:val="bottom"/>
          </w:tcPr>
          <w:p>
            <w:pPr>
              <w:spacing w:after="0"/>
              <w:rPr>
                <w:sz w:val="13"/>
                <w:szCs w:val="13"/>
                <w:color w:val="auto"/>
              </w:rPr>
            </w:pPr>
          </w:p>
        </w:tc>
        <w:tc>
          <w:tcPr>
            <w:tcW w:w="980" w:type="dxa"/>
            <w:vAlign w:val="bottom"/>
          </w:tcPr>
          <w:p>
            <w:pPr>
              <w:jc w:val="right"/>
              <w:ind w:right="195"/>
              <w:spacing w:after="0" w:line="160" w:lineRule="exact"/>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11"/>
        </w:trPr>
        <w:tc>
          <w:tcPr>
            <w:tcW w:w="33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540" w:type="dxa"/>
            <w:vAlign w:val="bottom"/>
          </w:tcPr>
          <w:p>
            <w:pPr>
              <w:spacing w:after="0"/>
              <w:rPr>
                <w:sz w:val="18"/>
                <w:szCs w:val="18"/>
                <w:color w:val="auto"/>
              </w:rPr>
            </w:pPr>
          </w:p>
        </w:tc>
        <w:tc>
          <w:tcPr>
            <w:tcW w:w="1100" w:type="dxa"/>
            <w:vAlign w:val="bottom"/>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8"/>
                <w:szCs w:val="18"/>
                <w:color w:val="auto"/>
              </w:rPr>
            </w:pPr>
          </w:p>
        </w:tc>
        <w:tc>
          <w:tcPr>
            <w:tcW w:w="106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6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80" w:type="dxa"/>
            <w:vAlign w:val="bottom"/>
          </w:tcPr>
          <w:p>
            <w:pPr>
              <w:spacing w:after="0"/>
              <w:rPr>
                <w:sz w:val="18"/>
                <w:szCs w:val="18"/>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2,065</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2,275</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4,240</w:t>
            </w:r>
          </w:p>
        </w:tc>
        <w:tc>
          <w:tcPr>
            <w:tcW w:w="28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4,428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54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184</w:t>
            </w:r>
          </w:p>
        </w:tc>
        <w:tc>
          <w:tcPr>
            <w:tcW w:w="260" w:type="dxa"/>
            <w:vAlign w:val="bottom"/>
          </w:tcPr>
          <w:p>
            <w:pPr>
              <w:spacing w:after="0"/>
              <w:rPr>
                <w:sz w:val="16"/>
                <w:szCs w:val="16"/>
                <w:color w:val="auto"/>
              </w:rPr>
            </w:pP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332</w:t>
            </w:r>
          </w:p>
        </w:tc>
        <w:tc>
          <w:tcPr>
            <w:tcW w:w="26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444</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36</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18</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33</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32</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70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139</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264</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356</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54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(5)</w:t>
            </w:r>
          </w:p>
        </w:tc>
        <w:tc>
          <w:tcPr>
            <w:tcW w:w="260" w:type="dxa"/>
            <w:vAlign w:val="bottom"/>
          </w:tcPr>
          <w:p>
            <w:pPr>
              <w:spacing w:after="0"/>
              <w:rPr>
                <w:sz w:val="16"/>
                <w:szCs w:val="16"/>
                <w:color w:val="auto"/>
              </w:rPr>
            </w:pPr>
          </w:p>
        </w:tc>
        <w:tc>
          <w:tcPr>
            <w:tcW w:w="10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6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(10)</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 (expense), net </w:t>
            </w:r>
            <w:r>
              <w:rPr>
                <w:rFonts w:ascii="Arial" w:cs="Arial" w:eastAsia="Arial" w:hAnsi="Arial"/>
                <w:sz w:val="21"/>
                <w:szCs w:val="21"/>
                <w:color w:val="auto"/>
                <w:vertAlign w:val="superscript"/>
              </w:rPr>
              <w:t>(3)</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w:t>
            </w: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325</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(13)</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143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587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333</w:t>
            </w:r>
          </w:p>
        </w:tc>
        <w:tc>
          <w:tcPr>
            <w:tcW w:w="2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section for further information.</w:t>
      </w:r>
    </w:p>
    <w:p>
      <w:pPr>
        <w:spacing w:after="0" w:line="15" w:lineRule="exact"/>
        <w:rPr>
          <w:rFonts w:ascii="Arial" w:cs="Arial" w:eastAsia="Arial" w:hAnsi="Arial"/>
          <w:sz w:val="14"/>
          <w:szCs w:val="14"/>
          <w:color w:val="auto"/>
        </w:rPr>
      </w:pPr>
    </w:p>
    <w:p>
      <w:pPr>
        <w:jc w:val="both"/>
        <w:ind w:left="380" w:right="79" w:hanging="330"/>
        <w:spacing w:after="0" w:line="24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1"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Other income / (expense), net includes non-operating items, franchise royalty income, changes in fair value of minority interests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 w:cs="Arial" w:eastAsia="Arial" w:hAnsi="Arial"/>
          <w:sz w:val="14"/>
          <w:szCs w:val="14"/>
          <w:i w:val="1"/>
          <w:iCs w:val="1"/>
          <w:color w:val="auto"/>
        </w:rPr>
        <w:t>Other income / (expense), net</w:t>
      </w:r>
      <w:r>
        <w:rPr>
          <w:rFonts w:ascii="Arial" w:cs="Arial" w:eastAsia="Arial" w:hAnsi="Arial"/>
          <w:sz w:val="14"/>
          <w:szCs w:val="14"/>
          <w:color w:val="auto"/>
        </w:rPr>
        <w:t xml:space="preserve"> section for further information.</w:t>
      </w:r>
    </w:p>
    <w:p>
      <w:pPr>
        <w:spacing w:after="0" w:line="38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WSS and atmos have been excluded from the computation of comparable-store sales. As a result of the Eastbay Team Sales divestiture, sales from this business were removed for the computation of comparable sales for all periods.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3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rPr>
              <w:t>July 30,</w:t>
            </w:r>
          </w:p>
        </w:tc>
        <w:tc>
          <w:tcPr>
            <w:tcW w:w="180" w:type="dxa"/>
            <w:vAlign w:val="bottom"/>
          </w:tcPr>
          <w:p>
            <w:pPr>
              <w:spacing w:after="0"/>
              <w:rPr>
                <w:sz w:val="13"/>
                <w:szCs w:val="13"/>
                <w:color w:val="auto"/>
              </w:rPr>
            </w:pPr>
          </w:p>
        </w:tc>
        <w:tc>
          <w:tcPr>
            <w:tcW w:w="1120" w:type="dxa"/>
            <w:vAlign w:val="bottom"/>
          </w:tcPr>
          <w:p>
            <w:pPr>
              <w:jc w:val="right"/>
              <w:ind w:right="335"/>
              <w:spacing w:after="0" w:line="160" w:lineRule="exact"/>
              <w:rPr>
                <w:sz w:val="20"/>
                <w:szCs w:val="20"/>
                <w:color w:val="auto"/>
              </w:rPr>
            </w:pPr>
            <w:r>
              <w:rPr>
                <w:rFonts w:ascii="Arial" w:cs="Arial" w:eastAsia="Arial" w:hAnsi="Arial"/>
                <w:sz w:val="17"/>
                <w:szCs w:val="17"/>
                <w:b w:val="1"/>
                <w:bCs w:val="1"/>
                <w:color w:val="auto"/>
              </w:rPr>
              <w:t>July 31,</w:t>
            </w:r>
          </w:p>
        </w:tc>
        <w:tc>
          <w:tcPr>
            <w:tcW w:w="180" w:type="dxa"/>
            <w:vAlign w:val="bottom"/>
          </w:tcPr>
          <w:p>
            <w:pPr>
              <w:spacing w:after="0"/>
              <w:rPr>
                <w:sz w:val="13"/>
                <w:szCs w:val="13"/>
                <w:color w:val="auto"/>
              </w:rPr>
            </w:pPr>
          </w:p>
        </w:tc>
        <w:tc>
          <w:tcPr>
            <w:tcW w:w="114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July 30,</w:t>
            </w:r>
          </w:p>
        </w:tc>
        <w:tc>
          <w:tcPr>
            <w:tcW w:w="180" w:type="dxa"/>
            <w:vAlign w:val="bottom"/>
          </w:tcPr>
          <w:p>
            <w:pPr>
              <w:spacing w:after="0"/>
              <w:rPr>
                <w:sz w:val="13"/>
                <w:szCs w:val="13"/>
                <w:color w:val="auto"/>
              </w:rPr>
            </w:pPr>
          </w:p>
        </w:tc>
        <w:tc>
          <w:tcPr>
            <w:tcW w:w="1160" w:type="dxa"/>
            <w:vAlign w:val="bottom"/>
          </w:tcPr>
          <w:p>
            <w:pPr>
              <w:jc w:val="right"/>
              <w:ind w:right="35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5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1,716</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1,817</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3,492</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3,437</w:t>
            </w: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5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(101)</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55</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5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(5.6)%</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1.6 %</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83.1 %</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79.9 %</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82.4 %</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77.6 %</w:t>
            </w: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Comparable sales (decrease) increase</w:t>
            </w:r>
          </w:p>
        </w:tc>
        <w:tc>
          <w:tcPr>
            <w:tcW w:w="5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(6.0)%</w:t>
            </w:r>
          </w:p>
        </w:tc>
        <w:tc>
          <w:tcPr>
            <w:tcW w:w="1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28.4 %</w:t>
            </w:r>
          </w:p>
        </w:tc>
        <w:tc>
          <w:tcPr>
            <w:tcW w:w="1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0.5 %</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54.0 %</w:t>
            </w:r>
          </w:p>
        </w:tc>
      </w:tr>
      <w:tr>
        <w:trPr>
          <w:trHeight w:val="243"/>
        </w:trPr>
        <w:tc>
          <w:tcPr>
            <w:tcW w:w="3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5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349</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458</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748</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991</w:t>
            </w: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5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(109)</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(243)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(23.8)%</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(24.5)%</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5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16.9 %</w:t>
            </w:r>
          </w:p>
        </w:tc>
        <w:tc>
          <w:tcPr>
            <w:tcW w:w="180" w:type="dxa"/>
            <w:vAlign w:val="bottom"/>
          </w:tcPr>
          <w:p>
            <w:pPr>
              <w:spacing w:after="0"/>
              <w:rPr>
                <w:sz w:val="16"/>
                <w:szCs w:val="16"/>
                <w:color w:val="auto"/>
              </w:rPr>
            </w:pPr>
          </w:p>
        </w:tc>
        <w:tc>
          <w:tcPr>
            <w:tcW w:w="11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20.1</w:t>
            </w:r>
          </w:p>
        </w:tc>
        <w:tc>
          <w:tcPr>
            <w:tcW w:w="1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17.6 %</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22.4 %</w:t>
            </w:r>
          </w:p>
        </w:tc>
      </w:tr>
      <w:tr>
        <w:trPr>
          <w:trHeight w:val="189"/>
        </w:trPr>
        <w:tc>
          <w:tcPr>
            <w:tcW w:w="33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decrease</w:t>
            </w: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(26.7)%</w:t>
            </w: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(35.1)</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(28.3)%</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(8.2)%</w:t>
            </w:r>
          </w:p>
        </w:tc>
      </w:tr>
    </w:tbl>
    <w:p>
      <w:pPr>
        <w:spacing w:after="0" w:line="19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For the thirteen weeks ended July 30, 2022, total sales decreased by $210 million, or 9.2%, to $2,065 million, as compared with the corresponding prior-year period. For the twenty-six weeks ended July 30, 2022, total sales decreased by $188 million, or 4.2%, to $4,240 million, as compared with the corresponding prior-year period. Excluding the effect of foreign currency fluctuations, total sales decreased by $ 139 million, or 6.1%, for the thirteen weeks ended July 30, 2022, and decreased by $76 million, or 1.7%, for the twenty-six weeks ended July 30, 2022. Sales from our acquired WSS and atmos banners were $137 million and $48 million, respectively, for the thirteen weeks ended July 30, 2022, and $275 million and $101 million, respectively for the twenty-six weeks ended July 30, 2022. The information shown below represents certain combined stores and direct-to-customers sales metrics, excluding the sales from WSS and atmos.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7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2"/>
          </w:tcPr>
          <w:p>
            <w:pPr>
              <w:jc w:val="right"/>
              <w:ind w:right="515"/>
              <w:spacing w:after="0"/>
              <w:rPr>
                <w:sz w:val="20"/>
                <w:szCs w:val="20"/>
                <w:color w:val="auto"/>
              </w:rPr>
            </w:pPr>
            <w:r>
              <w:rPr>
                <w:rFonts w:ascii="Arial" w:cs="Arial" w:eastAsia="Arial" w:hAnsi="Arial"/>
                <w:sz w:val="17"/>
                <w:szCs w:val="17"/>
                <w:b w:val="1"/>
                <w:bCs w:val="1"/>
                <w:color w:val="auto"/>
              </w:rPr>
              <w:t>Thirteen weeks</w:t>
            </w:r>
          </w:p>
        </w:tc>
        <w:tc>
          <w:tcPr>
            <w:tcW w:w="2300" w:type="dxa"/>
            <w:vAlign w:val="bottom"/>
            <w:tcBorders>
              <w:bottom w:val="single" w:sz="8" w:color="auto"/>
            </w:tcBorders>
            <w:gridSpan w:val="2"/>
          </w:tcPr>
          <w:p>
            <w:pPr>
              <w:jc w:val="right"/>
              <w:ind w:right="415"/>
              <w:spacing w:after="0"/>
              <w:rPr>
                <w:sz w:val="20"/>
                <w:szCs w:val="20"/>
                <w:color w:val="auto"/>
              </w:rPr>
            </w:pPr>
            <w:r>
              <w:rPr>
                <w:rFonts w:ascii="Arial" w:cs="Arial" w:eastAsia="Arial" w:hAnsi="Arial"/>
                <w:sz w:val="17"/>
                <w:szCs w:val="17"/>
                <w:b w:val="1"/>
                <w:bCs w:val="1"/>
                <w:color w:val="auto"/>
              </w:rPr>
              <w:t>Twenty-six weeks</w:t>
            </w:r>
          </w:p>
        </w:tc>
      </w:tr>
      <w:tr>
        <w:trPr>
          <w:trHeight w:val="160"/>
        </w:trPr>
        <w:tc>
          <w:tcPr>
            <w:tcW w:w="2720" w:type="dxa"/>
            <w:vAlign w:val="bottom"/>
          </w:tcPr>
          <w:p>
            <w:pPr>
              <w:spacing w:after="0"/>
              <w:rPr>
                <w:sz w:val="13"/>
                <w:szCs w:val="13"/>
                <w:color w:val="auto"/>
              </w:rPr>
            </w:pPr>
          </w:p>
        </w:tc>
        <w:tc>
          <w:tcPr>
            <w:tcW w:w="2680" w:type="dxa"/>
            <w:vAlign w:val="bottom"/>
          </w:tcPr>
          <w:p>
            <w:pPr>
              <w:jc w:val="right"/>
              <w:ind w:right="155"/>
              <w:spacing w:after="0" w:line="160" w:lineRule="exact"/>
              <w:rPr>
                <w:sz w:val="20"/>
                <w:szCs w:val="20"/>
                <w:color w:val="auto"/>
              </w:rPr>
            </w:pPr>
            <w:r>
              <w:rPr>
                <w:rFonts w:ascii="Arial" w:cs="Arial" w:eastAsia="Arial" w:hAnsi="Arial"/>
                <w:sz w:val="17"/>
                <w:szCs w:val="17"/>
                <w:b w:val="1"/>
                <w:bCs w:val="1"/>
                <w:color w:val="auto"/>
              </w:rPr>
              <w:t>Constant</w:t>
            </w:r>
          </w:p>
        </w:tc>
        <w:tc>
          <w:tcPr>
            <w:tcW w:w="120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w w:val="99"/>
              </w:rPr>
              <w:t>Comparable</w:t>
            </w:r>
          </w:p>
        </w:tc>
        <w:tc>
          <w:tcPr>
            <w:tcW w:w="1120" w:type="dxa"/>
            <w:vAlign w:val="bottom"/>
          </w:tcPr>
          <w:p>
            <w:pPr>
              <w:jc w:val="right"/>
              <w:ind w:right="155"/>
              <w:spacing w:after="0" w:line="160" w:lineRule="exact"/>
              <w:rPr>
                <w:sz w:val="20"/>
                <w:szCs w:val="20"/>
                <w:color w:val="auto"/>
              </w:rPr>
            </w:pPr>
            <w:r>
              <w:rPr>
                <w:rFonts w:ascii="Arial" w:cs="Arial" w:eastAsia="Arial" w:hAnsi="Arial"/>
                <w:sz w:val="17"/>
                <w:szCs w:val="17"/>
                <w:b w:val="1"/>
                <w:bCs w:val="1"/>
                <w:color w:val="auto"/>
              </w:rPr>
              <w:t>Constant</w:t>
            </w:r>
          </w:p>
        </w:tc>
        <w:tc>
          <w:tcPr>
            <w:tcW w:w="118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9"/>
              </w:rPr>
              <w:t>Comparable</w:t>
            </w:r>
          </w:p>
        </w:tc>
      </w:tr>
      <w:tr>
        <w:trPr>
          <w:trHeight w:val="211"/>
        </w:trPr>
        <w:tc>
          <w:tcPr>
            <w:tcW w:w="27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Currencies</w:t>
            </w: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Sales</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Currencies</w:t>
            </w: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Sales</w:t>
            </w:r>
          </w:p>
        </w:tc>
      </w:tr>
      <w:tr>
        <w:trPr>
          <w:trHeight w:val="183"/>
        </w:trPr>
        <w:tc>
          <w:tcPr>
            <w:tcW w:w="27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North America</w:t>
            </w:r>
          </w:p>
        </w:tc>
        <w:tc>
          <w:tcPr>
            <w:tcW w:w="2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(21.5)%</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(16.1)%</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(19.2)%</w:t>
            </w: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(13.9)%</w:t>
            </w:r>
          </w:p>
        </w:tc>
      </w:tr>
      <w:tr>
        <w:trPr>
          <w:trHeight w:val="189"/>
        </w:trPr>
        <w:tc>
          <w:tcPr>
            <w:tcW w:w="2720" w:type="dxa"/>
            <w:vAlign w:val="bottom"/>
          </w:tcPr>
          <w:p>
            <w:pPr>
              <w:ind w:left="20"/>
              <w:spacing w:after="0" w:line="189" w:lineRule="exact"/>
              <w:rPr>
                <w:sz w:val="20"/>
                <w:szCs w:val="20"/>
                <w:color w:val="auto"/>
              </w:rPr>
            </w:pPr>
            <w:r>
              <w:rPr>
                <w:rFonts w:ascii="Arial" w:cs="Arial" w:eastAsia="Arial" w:hAnsi="Arial"/>
                <w:sz w:val="17"/>
                <w:szCs w:val="17"/>
                <w:color w:val="auto"/>
              </w:rPr>
              <w:t>EMEA</w:t>
            </w:r>
          </w:p>
        </w:tc>
        <w:tc>
          <w:tcPr>
            <w:tcW w:w="2680" w:type="dxa"/>
            <w:vAlign w:val="bottom"/>
          </w:tcPr>
          <w:p>
            <w:pPr>
              <w:jc w:val="right"/>
              <w:spacing w:after="0" w:line="189" w:lineRule="exact"/>
              <w:rPr>
                <w:sz w:val="20"/>
                <w:szCs w:val="20"/>
                <w:color w:val="auto"/>
              </w:rPr>
            </w:pPr>
            <w:r>
              <w:rPr>
                <w:rFonts w:ascii="Arial" w:cs="Arial" w:eastAsia="Arial" w:hAnsi="Arial"/>
                <w:sz w:val="17"/>
                <w:szCs w:val="17"/>
                <w:color w:val="auto"/>
              </w:rPr>
              <w:t>6.7 %</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4.5 %</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26.7 %</w:t>
            </w: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23.6 %</w:t>
            </w:r>
          </w:p>
        </w:tc>
      </w:tr>
      <w:tr>
        <w:trPr>
          <w:trHeight w:val="189"/>
        </w:trPr>
        <w:tc>
          <w:tcPr>
            <w:tcW w:w="27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Asia Pacific</w:t>
            </w:r>
          </w:p>
        </w:tc>
        <w:tc>
          <w:tcPr>
            <w:tcW w:w="2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21.5 %</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17.7 %</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18.1 %</w:t>
            </w: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14.0 %</w:t>
            </w:r>
          </w:p>
        </w:tc>
      </w:tr>
      <w:tr>
        <w:trPr>
          <w:trHeight w:val="183"/>
        </w:trPr>
        <w:tc>
          <w:tcPr>
            <w:tcW w:w="27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(14.1)%</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(10.3)%</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(10.1)%</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(6.2)%</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Despite the decline in sales as compared with our record levels in 2021, sales exceeded the results of 2019. Excluding the effect of foreign exchange rate fluctuations and our acquisitions, sales increased by 7.4% and by 1.1% for the quarter and year-to-date periods, respectively, as compared with the corresponding periods of 2019.</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Comparable sales for both our stores and direct-to-customer channels decreased for the quarter. Our direct-to-customer channel saw significant decreases as shoppers navigated back to physical locations. For the year-to-date period, comparable sales were slightly up for our stores, while direct-to-customer decreased when compared with the prior year.</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North American operating segment’s sales, excluding WSS, and comparable-store sales for the current year were negatively affected by the significant fiscal stimulus, which contributed to last year’s growth, as well as the effects of inflation on customer demand. Additionally, the wind down of the Footaction business negatively affected sales, last year we operated 211 stores as compared with 14 this quarter. Within EMEA, sales from the Foot Locker and Sidestep banners increased as tourism returned to more historical levels coupled with an increase in operating days resulting from COVID-19 related store closures in the prior year. Asia Pacific, excluding atmos, generated increases from both strong performance in Australia and New Zealand, coupled with growth in Asia, based on expansion in that region. Asia Pacific’s increases were also affected by the increase in operating days, the current year was essentially open for all days as compared with approximately 80% last year.</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a product perspective for the combined channels, sales declined for both the quarter and year-to-date periods and was related to decreased sales of footwear and apparel, partially offset by increased sales of accessories. The decline in footwear for the second quarter was primarily due to men’s and kids’ basketball footwear, and the decline in sales of apparel represented a decline in sales of men’s and performance apparel, however sales of women’s apparel generated an increase. For the year-to-date period, all wearer segments within the footwear category experienced declines, with the largest decreases coming from men’s and children’s basketball footwear styles. Apparel sales decreased in the men’s and children’s categories, while women’s increased.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7"/>
                <w:szCs w:val="17"/>
                <w:b w:val="1"/>
                <w:bCs w:val="1"/>
                <w:color w:val="auto"/>
              </w:rPr>
              <w:t>Thirteen weeks ended</w:t>
            </w:r>
          </w:p>
        </w:tc>
        <w:tc>
          <w:tcPr>
            <w:tcW w:w="256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3700" w:type="dxa"/>
            <w:vAlign w:val="bottom"/>
          </w:tcPr>
          <w:p>
            <w:pPr>
              <w:spacing w:after="0"/>
              <w:rPr>
                <w:sz w:val="13"/>
                <w:szCs w:val="13"/>
                <w:color w:val="auto"/>
              </w:rPr>
            </w:pPr>
          </w:p>
        </w:tc>
        <w:tc>
          <w:tcPr>
            <w:tcW w:w="1360" w:type="dxa"/>
            <w:vAlign w:val="bottom"/>
          </w:tcPr>
          <w:p>
            <w:pPr>
              <w:jc w:val="right"/>
              <w:ind w:right="375"/>
              <w:spacing w:after="0" w:line="160" w:lineRule="exact"/>
              <w:rPr>
                <w:sz w:val="20"/>
                <w:szCs w:val="20"/>
                <w:color w:val="auto"/>
              </w:rPr>
            </w:pPr>
            <w:r>
              <w:rPr>
                <w:rFonts w:ascii="Arial" w:cs="Arial" w:eastAsia="Arial" w:hAnsi="Arial"/>
                <w:sz w:val="17"/>
                <w:szCs w:val="17"/>
                <w:b w:val="1"/>
                <w:bCs w:val="1"/>
                <w:color w:val="auto"/>
              </w:rPr>
              <w:t>July 30,</w:t>
            </w:r>
          </w:p>
        </w:tc>
        <w:tc>
          <w:tcPr>
            <w:tcW w:w="1280" w:type="dxa"/>
            <w:vAlign w:val="bottom"/>
          </w:tcPr>
          <w:p>
            <w:pPr>
              <w:jc w:val="center"/>
              <w:ind w:right="295"/>
              <w:spacing w:after="0" w:line="160" w:lineRule="exact"/>
              <w:rPr>
                <w:sz w:val="20"/>
                <w:szCs w:val="20"/>
                <w:color w:val="auto"/>
              </w:rPr>
            </w:pPr>
            <w:r>
              <w:rPr>
                <w:rFonts w:ascii="Arial" w:cs="Arial" w:eastAsia="Arial" w:hAnsi="Arial"/>
                <w:sz w:val="17"/>
                <w:szCs w:val="17"/>
                <w:b w:val="1"/>
                <w:bCs w:val="1"/>
                <w:color w:val="auto"/>
                <w:w w:val="99"/>
              </w:rPr>
              <w:t>July 31,</w:t>
            </w:r>
          </w:p>
        </w:tc>
        <w:tc>
          <w:tcPr>
            <w:tcW w:w="1360" w:type="dxa"/>
            <w:vAlign w:val="bottom"/>
          </w:tcPr>
          <w:p>
            <w:pPr>
              <w:jc w:val="right"/>
              <w:ind w:right="375"/>
              <w:spacing w:after="0" w:line="160" w:lineRule="exact"/>
              <w:rPr>
                <w:sz w:val="20"/>
                <w:szCs w:val="20"/>
                <w:color w:val="auto"/>
              </w:rPr>
            </w:pPr>
            <w:r>
              <w:rPr>
                <w:rFonts w:ascii="Arial" w:cs="Arial" w:eastAsia="Arial" w:hAnsi="Arial"/>
                <w:sz w:val="17"/>
                <w:szCs w:val="17"/>
                <w:b w:val="1"/>
                <w:bCs w:val="1"/>
                <w:color w:val="auto"/>
              </w:rPr>
              <w:t>July 30,</w:t>
            </w:r>
          </w:p>
        </w:tc>
        <w:tc>
          <w:tcPr>
            <w:tcW w:w="1200" w:type="dxa"/>
            <w:vAlign w:val="bottom"/>
          </w:tcPr>
          <w:p>
            <w:pPr>
              <w:jc w:val="center"/>
              <w:ind w:right="215"/>
              <w:spacing w:after="0" w:line="160" w:lineRule="exact"/>
              <w:rPr>
                <w:sz w:val="20"/>
                <w:szCs w:val="20"/>
                <w:color w:val="auto"/>
              </w:rPr>
            </w:pPr>
            <w:r>
              <w:rPr>
                <w:rFonts w:ascii="Arial" w:cs="Arial" w:eastAsia="Arial" w:hAnsi="Arial"/>
                <w:sz w:val="17"/>
                <w:szCs w:val="17"/>
                <w:b w:val="1"/>
                <w:bCs w:val="1"/>
                <w:color w:val="auto"/>
                <w:w w:val="99"/>
              </w:rPr>
              <w:t>July 31,</w:t>
            </w:r>
          </w:p>
        </w:tc>
      </w:tr>
      <w:tr>
        <w:trPr>
          <w:trHeight w:val="211"/>
        </w:trPr>
        <w:tc>
          <w:tcPr>
            <w:tcW w:w="37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3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3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31.7 %</w:t>
            </w:r>
          </w:p>
        </w:tc>
        <w:tc>
          <w:tcPr>
            <w:tcW w:w="128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35.1 %</w:t>
            </w:r>
          </w:p>
        </w:tc>
        <w:tc>
          <w:tcPr>
            <w:tcW w:w="13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32.9 %</w:t>
            </w:r>
          </w:p>
        </w:tc>
        <w:tc>
          <w:tcPr>
            <w:tcW w:w="12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34.9 %</w:t>
            </w:r>
          </w:p>
        </w:tc>
      </w:tr>
      <w:tr>
        <w:trPr>
          <w:trHeight w:val="189"/>
        </w:trPr>
        <w:tc>
          <w:tcPr>
            <w:tcW w:w="3700" w:type="dxa"/>
            <w:vAlign w:val="bottom"/>
          </w:tcPr>
          <w:p>
            <w:pPr>
              <w:spacing w:after="0" w:line="189" w:lineRule="exact"/>
              <w:rPr>
                <w:sz w:val="20"/>
                <w:szCs w:val="20"/>
                <w:color w:val="auto"/>
              </w:rPr>
            </w:pPr>
            <w:r>
              <w:rPr>
                <w:rFonts w:ascii="Arial" w:cs="Arial" w:eastAsia="Arial" w:hAnsi="Arial"/>
                <w:sz w:val="17"/>
                <w:szCs w:val="17"/>
                <w:color w:val="auto"/>
              </w:rPr>
              <w:t>Basis point decrease in the gross margin rate</w:t>
            </w:r>
          </w:p>
        </w:tc>
        <w:tc>
          <w:tcPr>
            <w:tcW w:w="136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(340)</w:t>
            </w:r>
          </w:p>
        </w:tc>
        <w:tc>
          <w:tcPr>
            <w:tcW w:w="1280" w:type="dxa"/>
            <w:vAlign w:val="bottom"/>
          </w:tcPr>
          <w:p>
            <w:pPr>
              <w:spacing w:after="0"/>
              <w:rPr>
                <w:sz w:val="16"/>
                <w:szCs w:val="16"/>
                <w:color w:val="auto"/>
              </w:rPr>
            </w:pPr>
          </w:p>
        </w:tc>
        <w:tc>
          <w:tcPr>
            <w:tcW w:w="136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(200)</w:t>
            </w:r>
          </w:p>
        </w:tc>
        <w:tc>
          <w:tcPr>
            <w:tcW w:w="1200" w:type="dxa"/>
            <w:vAlign w:val="bottom"/>
          </w:tcPr>
          <w:p>
            <w:pPr>
              <w:spacing w:after="0"/>
              <w:rPr>
                <w:sz w:val="16"/>
                <w:szCs w:val="16"/>
                <w:color w:val="auto"/>
              </w:rPr>
            </w:pPr>
          </w:p>
        </w:tc>
      </w:tr>
      <w:tr>
        <w:trPr>
          <w:trHeight w:val="189"/>
        </w:trPr>
        <w:tc>
          <w:tcPr>
            <w:tcW w:w="37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370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decline</w:t>
            </w:r>
          </w:p>
        </w:tc>
        <w:tc>
          <w:tcPr>
            <w:tcW w:w="136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(260)</w:t>
            </w:r>
          </w:p>
        </w:tc>
        <w:tc>
          <w:tcPr>
            <w:tcW w:w="1280" w:type="dxa"/>
            <w:vAlign w:val="bottom"/>
          </w:tcPr>
          <w:p>
            <w:pPr>
              <w:spacing w:after="0"/>
              <w:rPr>
                <w:sz w:val="16"/>
                <w:szCs w:val="16"/>
                <w:color w:val="auto"/>
              </w:rPr>
            </w:pPr>
          </w:p>
        </w:tc>
        <w:tc>
          <w:tcPr>
            <w:tcW w:w="136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(160)</w:t>
            </w:r>
          </w:p>
        </w:tc>
        <w:tc>
          <w:tcPr>
            <w:tcW w:w="1200" w:type="dxa"/>
            <w:vAlign w:val="bottom"/>
          </w:tcPr>
          <w:p>
            <w:pPr>
              <w:spacing w:after="0"/>
              <w:rPr>
                <w:sz w:val="16"/>
                <w:szCs w:val="16"/>
                <w:color w:val="auto"/>
              </w:rPr>
            </w:pPr>
          </w:p>
        </w:tc>
      </w:tr>
      <w:tr>
        <w:trPr>
          <w:trHeight w:val="167"/>
        </w:trPr>
        <w:tc>
          <w:tcPr>
            <w:tcW w:w="370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rPr>
              <w:t>Occupancy and buyers’ compensation</w:t>
            </w:r>
          </w:p>
        </w:tc>
        <w:tc>
          <w:tcPr>
            <w:tcW w:w="1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1"/>
        </w:trPr>
        <w:tc>
          <w:tcPr>
            <w:tcW w:w="3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expense rate</w:t>
            </w:r>
          </w:p>
        </w:tc>
        <w:tc>
          <w:tcPr>
            <w:tcW w:w="1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(80)</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(40)</w:t>
            </w:r>
          </w:p>
        </w:tc>
        <w:tc>
          <w:tcPr>
            <w:tcW w:w="1200" w:type="dxa"/>
            <w:vAlign w:val="bottom"/>
            <w:tcBorders>
              <w:bottom w:val="single" w:sz="8" w:color="auto"/>
            </w:tcBorders>
            <w:shd w:val="clear" w:color="auto" w:fill="CCEEFF"/>
          </w:tcPr>
          <w:p>
            <w:pPr>
              <w:spacing w:after="0"/>
              <w:rPr>
                <w:sz w:val="18"/>
                <w:szCs w:val="18"/>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gross margin rate decreased to 31.7% for the thirteen weeks ended July 30, 2022, as compared with the corresponding prior-year period, reflecting a 260-basis point decrease in the merchandise margin rate, and an 80-basis point deleverage in the occupancy and buyers’ compensation rate. For the twenty-six weeks ended July 30, 2022, the gross margin rate declined by 200 basis points, reflecting a 160-basis point decrease in the merchandise margin rate and a 40-basis point deleverage in the occupancy and buyers’ compensation rate.</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declines in merchandise margin rate reflected higher markdowns versus historically-low levels last year and higher supply chain costs. Additionally, merchandise margin is negatively affected by the recent acquisitions that generate a lower rate, which is offset by lower occupancy costs and therefore not significantly affecting the overall gross margin rate. The occupancy rate deleverage also reflected the effect of prior year rent abatements related to COVID-19 that represented $6 million and $11 million for the thirteen and twenty-six weeks of last year, respectively, as compared with insignificant amounts this year.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jc w:val="right"/>
              <w:ind w:right="335"/>
              <w:spacing w:after="0" w:line="160" w:lineRule="exact"/>
              <w:rPr>
                <w:sz w:val="20"/>
                <w:szCs w:val="20"/>
                <w:color w:val="auto"/>
              </w:rPr>
            </w:pPr>
            <w:r>
              <w:rPr>
                <w:rFonts w:ascii="Arial" w:cs="Arial" w:eastAsia="Arial" w:hAnsi="Arial"/>
                <w:sz w:val="17"/>
                <w:szCs w:val="17"/>
                <w:b w:val="1"/>
                <w:bCs w:val="1"/>
                <w:color w:val="auto"/>
              </w:rPr>
              <w:t>July 30,</w:t>
            </w:r>
          </w:p>
        </w:tc>
        <w:tc>
          <w:tcPr>
            <w:tcW w:w="200" w:type="dxa"/>
            <w:vAlign w:val="bottom"/>
          </w:tcPr>
          <w:p>
            <w:pPr>
              <w:spacing w:after="0"/>
              <w:rPr>
                <w:sz w:val="13"/>
                <w:szCs w:val="13"/>
                <w:color w:val="auto"/>
              </w:rPr>
            </w:pPr>
          </w:p>
        </w:tc>
        <w:tc>
          <w:tcPr>
            <w:tcW w:w="1200" w:type="dxa"/>
            <w:vAlign w:val="bottom"/>
          </w:tcPr>
          <w:p>
            <w:pPr>
              <w:jc w:val="right"/>
              <w:ind w:right="435"/>
              <w:spacing w:after="0" w:line="160" w:lineRule="exact"/>
              <w:rPr>
                <w:sz w:val="20"/>
                <w:szCs w:val="20"/>
                <w:color w:val="auto"/>
              </w:rPr>
            </w:pPr>
            <w:r>
              <w:rPr>
                <w:rFonts w:ascii="Arial" w:cs="Arial" w:eastAsia="Arial" w:hAnsi="Arial"/>
                <w:sz w:val="17"/>
                <w:szCs w:val="17"/>
                <w:b w:val="1"/>
                <w:bCs w:val="1"/>
                <w:color w:val="auto"/>
              </w:rPr>
              <w:t>July 31,</w:t>
            </w:r>
          </w:p>
        </w:tc>
        <w:tc>
          <w:tcPr>
            <w:tcW w:w="280" w:type="dxa"/>
            <w:vAlign w:val="bottom"/>
          </w:tcPr>
          <w:p>
            <w:pPr>
              <w:spacing w:after="0"/>
              <w:rPr>
                <w:sz w:val="13"/>
                <w:szCs w:val="13"/>
                <w:color w:val="auto"/>
              </w:rPr>
            </w:pPr>
          </w:p>
        </w:tc>
        <w:tc>
          <w:tcPr>
            <w:tcW w:w="1120" w:type="dxa"/>
            <w:vAlign w:val="bottom"/>
          </w:tcPr>
          <w:p>
            <w:pPr>
              <w:jc w:val="right"/>
              <w:ind w:right="335"/>
              <w:spacing w:after="0" w:line="160" w:lineRule="exact"/>
              <w:rPr>
                <w:sz w:val="20"/>
                <w:szCs w:val="20"/>
                <w:color w:val="auto"/>
              </w:rPr>
            </w:pPr>
            <w:r>
              <w:rPr>
                <w:rFonts w:ascii="Arial" w:cs="Arial" w:eastAsia="Arial" w:hAnsi="Arial"/>
                <w:sz w:val="17"/>
                <w:szCs w:val="17"/>
                <w:b w:val="1"/>
                <w:bCs w:val="1"/>
                <w:color w:val="auto"/>
              </w:rPr>
              <w:t>July 30,</w:t>
            </w:r>
          </w:p>
        </w:tc>
        <w:tc>
          <w:tcPr>
            <w:tcW w:w="200" w:type="dxa"/>
            <w:vAlign w:val="bottom"/>
          </w:tcPr>
          <w:p>
            <w:pPr>
              <w:spacing w:after="0"/>
              <w:rPr>
                <w:sz w:val="13"/>
                <w:szCs w:val="13"/>
                <w:color w:val="auto"/>
              </w:rPr>
            </w:pPr>
          </w:p>
        </w:tc>
        <w:tc>
          <w:tcPr>
            <w:tcW w:w="1160" w:type="dxa"/>
            <w:vAlign w:val="bottom"/>
          </w:tcPr>
          <w:p>
            <w:pPr>
              <w:jc w:val="right"/>
              <w:ind w:right="39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r>
      <w:tr>
        <w:trPr>
          <w:trHeight w:val="183"/>
        </w:trPr>
        <w:tc>
          <w:tcPr>
            <w:tcW w:w="29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SG&amp;A</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452</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rPr>
              <w:t>450</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915</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868</w:t>
            </w:r>
          </w:p>
        </w:tc>
      </w:tr>
      <w:tr>
        <w:trPr>
          <w:trHeight w:val="189"/>
        </w:trPr>
        <w:tc>
          <w:tcPr>
            <w:tcW w:w="29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7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2</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47</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2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0.4 %</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5.4 %</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29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21.9 %</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19.8 %</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21.6 %</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19.6 %</w:t>
            </w:r>
          </w:p>
        </w:tc>
      </w:tr>
    </w:tbl>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SG&amp;A increased by $2 million, or $22 million excluding the effect of foreign currency fluctuations, for the thirteen weeks ended July 30, 2022, as compared with the corresponding prior-year period. For the year-to-date period SG&amp;A increased by $47 million, or $77 million excluding the effect of foreign currency fluctuations. Our newly acquired businesses contributed $38 million and $72 million for the quarter and year-to-date periods, respectively, to the overall increase. As a percentage of sales, SG&amp;A increased by 210 basis points and 200 basis points for the thirteen and twenty-six weeks ended July 30, 2022, respectively, driven by higher labor costs, information technology and support expenses, as well as the effect of COVID-19 related matters in the prior year.</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SG&amp;A for the thirteen and twenty-six weeks ended July 30, 2022 included nominal payroll subsidies from local governments, compared with $4 million and $14 million for the corresponding prior-year periods,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Thirteen weeks ended</w:t>
            </w: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jc w:val="right"/>
              <w:ind w:right="335"/>
              <w:spacing w:after="0" w:line="160" w:lineRule="exact"/>
              <w:rPr>
                <w:sz w:val="20"/>
                <w:szCs w:val="20"/>
                <w:color w:val="auto"/>
              </w:rPr>
            </w:pPr>
            <w:r>
              <w:rPr>
                <w:rFonts w:ascii="Arial" w:cs="Arial" w:eastAsia="Arial" w:hAnsi="Arial"/>
                <w:sz w:val="17"/>
                <w:szCs w:val="17"/>
                <w:b w:val="1"/>
                <w:bCs w:val="1"/>
                <w:color w:val="auto"/>
              </w:rPr>
              <w:t>July 30,</w:t>
            </w:r>
          </w:p>
        </w:tc>
        <w:tc>
          <w:tcPr>
            <w:tcW w:w="200" w:type="dxa"/>
            <w:vAlign w:val="bottom"/>
          </w:tcPr>
          <w:p>
            <w:pPr>
              <w:spacing w:after="0"/>
              <w:rPr>
                <w:sz w:val="13"/>
                <w:szCs w:val="13"/>
                <w:color w:val="auto"/>
              </w:rPr>
            </w:pPr>
          </w:p>
        </w:tc>
        <w:tc>
          <w:tcPr>
            <w:tcW w:w="1100" w:type="dxa"/>
            <w:vAlign w:val="bottom"/>
          </w:tcPr>
          <w:p>
            <w:pPr>
              <w:jc w:val="center"/>
              <w:ind w:right="255"/>
              <w:spacing w:after="0" w:line="160" w:lineRule="exact"/>
              <w:rPr>
                <w:sz w:val="20"/>
                <w:szCs w:val="20"/>
                <w:color w:val="auto"/>
              </w:rPr>
            </w:pPr>
            <w:r>
              <w:rPr>
                <w:rFonts w:ascii="Arial" w:cs="Arial" w:eastAsia="Arial" w:hAnsi="Arial"/>
                <w:sz w:val="17"/>
                <w:szCs w:val="17"/>
                <w:b w:val="1"/>
                <w:bCs w:val="1"/>
                <w:color w:val="auto"/>
              </w:rPr>
              <w:t>July 31,</w:t>
            </w:r>
          </w:p>
        </w:tc>
        <w:tc>
          <w:tcPr>
            <w:tcW w:w="360" w:type="dxa"/>
            <w:vAlign w:val="bottom"/>
          </w:tcPr>
          <w:p>
            <w:pPr>
              <w:spacing w:after="0"/>
              <w:rPr>
                <w:sz w:val="13"/>
                <w:szCs w:val="13"/>
                <w:color w:val="auto"/>
              </w:rPr>
            </w:pPr>
          </w:p>
        </w:tc>
        <w:tc>
          <w:tcPr>
            <w:tcW w:w="1140" w:type="dxa"/>
            <w:vAlign w:val="bottom"/>
          </w:tcPr>
          <w:p>
            <w:pPr>
              <w:jc w:val="right"/>
              <w:ind w:right="355"/>
              <w:spacing w:after="0" w:line="160" w:lineRule="exact"/>
              <w:rPr>
                <w:sz w:val="20"/>
                <w:szCs w:val="20"/>
                <w:color w:val="auto"/>
              </w:rPr>
            </w:pPr>
            <w:r>
              <w:rPr>
                <w:rFonts w:ascii="Arial" w:cs="Arial" w:eastAsia="Arial" w:hAnsi="Arial"/>
                <w:sz w:val="17"/>
                <w:szCs w:val="17"/>
                <w:b w:val="1"/>
                <w:bCs w:val="1"/>
                <w:color w:val="auto"/>
              </w:rPr>
              <w:t>July 30,</w:t>
            </w:r>
          </w:p>
        </w:tc>
        <w:tc>
          <w:tcPr>
            <w:tcW w:w="200" w:type="dxa"/>
            <w:vAlign w:val="bottom"/>
          </w:tcPr>
          <w:p>
            <w:pPr>
              <w:spacing w:after="0"/>
              <w:rPr>
                <w:sz w:val="13"/>
                <w:szCs w:val="13"/>
                <w:color w:val="auto"/>
              </w:rPr>
            </w:pPr>
          </w:p>
        </w:tc>
        <w:tc>
          <w:tcPr>
            <w:tcW w:w="1120" w:type="dxa"/>
            <w:vAlign w:val="bottom"/>
          </w:tcPr>
          <w:p>
            <w:pPr>
              <w:jc w:val="center"/>
              <w:ind w:right="2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2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51</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48</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105</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93</w:t>
            </w: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7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12</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7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6.3 %</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12.9 %</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Depreciation and amortization expense increased by $ 3 million and $ 12 million for the thirteen weeks and twenty-six weeks ended July 30, 2022, respectively, as compared with the corresponding prior-year periods. Excluding the effect of foreign currency fluctuations, depreciation and amortization increased by $5 million and $15 million for the thirteen weeks and twenty-six weeks ended July 30, 2022, respectively, as compared with the corresponding prior-year periods. The increase was primarily related to the acquisitions of WSS and atmos.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Transformation consulting charges were $ 9 million and $10 million for the thirteen and twenty-six weeks ended July 30, 2022, respectively. Impairment of long-lived assets and right-of-use assets was $2 million and $5 million for the thirteen and twenty-six weeks ended July 30, 2022, respectively, and $39 million for both the thirteen and twenty-six weeks ended July 31, 2021. Acquisition and integration costs related to WSS and atmos were $1 million and $3 million for the thirteen and twenty-six weeks ended July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For the thirteen and twenty-six weeks ended July 31, 2021, we recorded charges of $4 million in lease-related termination costs, offset by $7 million of insurance recovery income related to 2020 social unrest losses. For the twenty-six weeks ended July 31, 2021, we recorded an impairment charge of $2 million related to the underperformance of one of our minority investments, and a severance charge of $2 million in connection with the reorganization of certain support functions.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Corporate Expense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right"/>
              <w:ind w:right="215"/>
              <w:spacing w:after="0" w:line="160" w:lineRule="exact"/>
              <w:rPr>
                <w:sz w:val="20"/>
                <w:szCs w:val="20"/>
                <w:color w:val="auto"/>
              </w:rPr>
            </w:pPr>
            <w:r>
              <w:rPr>
                <w:rFonts w:ascii="Arial" w:cs="Arial" w:eastAsia="Arial" w:hAnsi="Arial"/>
                <w:sz w:val="17"/>
                <w:szCs w:val="17"/>
                <w:b w:val="1"/>
                <w:bCs w:val="1"/>
                <w:color w:val="auto"/>
              </w:rPr>
              <w:t>July 30,</w:t>
            </w:r>
          </w:p>
        </w:tc>
        <w:tc>
          <w:tcPr>
            <w:tcW w:w="280" w:type="dxa"/>
            <w:vAlign w:val="bottom"/>
          </w:tcPr>
          <w:p>
            <w:pPr>
              <w:spacing w:after="0"/>
              <w:rPr>
                <w:sz w:val="13"/>
                <w:szCs w:val="13"/>
                <w:color w:val="auto"/>
              </w:rPr>
            </w:pPr>
          </w:p>
        </w:tc>
        <w:tc>
          <w:tcPr>
            <w:tcW w:w="1120" w:type="dxa"/>
            <w:vAlign w:val="bottom"/>
          </w:tcPr>
          <w:p>
            <w:pPr>
              <w:jc w:val="center"/>
              <w:ind w:right="255"/>
              <w:spacing w:after="0" w:line="160" w:lineRule="exact"/>
              <w:rPr>
                <w:sz w:val="20"/>
                <w:szCs w:val="20"/>
                <w:color w:val="auto"/>
              </w:rPr>
            </w:pPr>
            <w:r>
              <w:rPr>
                <w:rFonts w:ascii="Arial" w:cs="Arial" w:eastAsia="Arial" w:hAnsi="Arial"/>
                <w:sz w:val="17"/>
                <w:szCs w:val="17"/>
                <w:b w:val="1"/>
                <w:bCs w:val="1"/>
                <w:color w:val="auto"/>
                <w:w w:val="99"/>
              </w:rPr>
              <w:t>July 31,</w:t>
            </w:r>
          </w:p>
        </w:tc>
        <w:tc>
          <w:tcPr>
            <w:tcW w:w="380" w:type="dxa"/>
            <w:vAlign w:val="bottom"/>
          </w:tcPr>
          <w:p>
            <w:pPr>
              <w:spacing w:after="0"/>
              <w:rPr>
                <w:sz w:val="13"/>
                <w:szCs w:val="13"/>
                <w:color w:val="auto"/>
              </w:rPr>
            </w:pPr>
          </w:p>
        </w:tc>
        <w:tc>
          <w:tcPr>
            <w:tcW w:w="1000" w:type="dxa"/>
            <w:vAlign w:val="bottom"/>
          </w:tcPr>
          <w:p>
            <w:pPr>
              <w:jc w:val="right"/>
              <w:ind w:right="215"/>
              <w:spacing w:after="0" w:line="160" w:lineRule="exact"/>
              <w:rPr>
                <w:sz w:val="20"/>
                <w:szCs w:val="20"/>
                <w:color w:val="auto"/>
              </w:rPr>
            </w:pPr>
            <w:r>
              <w:rPr>
                <w:rFonts w:ascii="Arial" w:cs="Arial" w:eastAsia="Arial" w:hAnsi="Arial"/>
                <w:sz w:val="17"/>
                <w:szCs w:val="17"/>
                <w:b w:val="1"/>
                <w:bCs w:val="1"/>
                <w:color w:val="auto"/>
              </w:rPr>
              <w:t>July 30,</w:t>
            </w:r>
          </w:p>
        </w:tc>
        <w:tc>
          <w:tcPr>
            <w:tcW w:w="300" w:type="dxa"/>
            <w:vAlign w:val="bottom"/>
          </w:tcPr>
          <w:p>
            <w:pPr>
              <w:spacing w:after="0"/>
              <w:rPr>
                <w:sz w:val="13"/>
                <w:szCs w:val="13"/>
                <w:color w:val="auto"/>
              </w:rPr>
            </w:pPr>
          </w:p>
        </w:tc>
        <w:tc>
          <w:tcPr>
            <w:tcW w:w="1140" w:type="dxa"/>
            <w:vAlign w:val="bottom"/>
          </w:tcPr>
          <w:p>
            <w:pPr>
              <w:jc w:val="center"/>
              <w:ind w:right="275"/>
              <w:spacing w:after="0" w:line="160" w:lineRule="exact"/>
              <w:rPr>
                <w:sz w:val="20"/>
                <w:szCs w:val="20"/>
                <w:color w:val="auto"/>
              </w:rPr>
            </w:pPr>
            <w:r>
              <w:rPr>
                <w:rFonts w:ascii="Arial" w:cs="Arial" w:eastAsia="Arial" w:hAnsi="Arial"/>
                <w:sz w:val="17"/>
                <w:szCs w:val="17"/>
                <w:b w:val="1"/>
                <w:bCs w:val="1"/>
                <w:color w:val="auto"/>
                <w:w w:val="99"/>
              </w:rPr>
              <w:t>July 31,</w:t>
            </w:r>
          </w:p>
        </w:tc>
      </w:tr>
      <w:tr>
        <w:trPr>
          <w:trHeight w:val="211"/>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25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Corporate expense</w:t>
            </w: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33</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70</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61</w:t>
            </w:r>
          </w:p>
        </w:tc>
      </w:tr>
      <w:tr>
        <w:trPr>
          <w:trHeight w:val="189"/>
        </w:trPr>
        <w:tc>
          <w:tcPr>
            <w:tcW w:w="25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 Change</w:t>
            </w: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9</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6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Corporate expense increased by $1 million and $9 million for the thirteen and twenty-six weeks ended July 30, 2022, respectively, as compared with the corresponding prior-year periods. Depreciation and amortization included in corporate expense was $10 million and $9 million for the thirteen weeks ended July 30, 2022 and July 31, 2021, respectively, and $19 million and $16 million for the twenty-six weeks ended July 30, 2022 and July 31, 2021, respectively. These increases were primarily due to higher information technology and support expenses.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Results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right"/>
              <w:ind w:right="335"/>
              <w:spacing w:after="0" w:line="160" w:lineRule="exact"/>
              <w:rPr>
                <w:sz w:val="20"/>
                <w:szCs w:val="20"/>
                <w:color w:val="auto"/>
              </w:rPr>
            </w:pPr>
            <w:r>
              <w:rPr>
                <w:rFonts w:ascii="Arial" w:cs="Arial" w:eastAsia="Arial" w:hAnsi="Arial"/>
                <w:sz w:val="17"/>
                <w:szCs w:val="17"/>
                <w:b w:val="1"/>
                <w:bCs w:val="1"/>
                <w:color w:val="auto"/>
              </w:rPr>
              <w:t>July 30,</w:t>
            </w:r>
          </w:p>
        </w:tc>
        <w:tc>
          <w:tcPr>
            <w:tcW w:w="220" w:type="dxa"/>
            <w:vAlign w:val="bottom"/>
          </w:tcPr>
          <w:p>
            <w:pPr>
              <w:spacing w:after="0"/>
              <w:rPr>
                <w:sz w:val="13"/>
                <w:szCs w:val="13"/>
                <w:color w:val="auto"/>
              </w:rPr>
            </w:pPr>
          </w:p>
        </w:tc>
        <w:tc>
          <w:tcPr>
            <w:tcW w:w="1200" w:type="dxa"/>
            <w:vAlign w:val="bottom"/>
          </w:tcPr>
          <w:p>
            <w:pPr>
              <w:jc w:val="right"/>
              <w:ind w:right="435"/>
              <w:spacing w:after="0" w:line="160" w:lineRule="exact"/>
              <w:rPr>
                <w:sz w:val="20"/>
                <w:szCs w:val="20"/>
                <w:color w:val="auto"/>
              </w:rPr>
            </w:pPr>
            <w:r>
              <w:rPr>
                <w:rFonts w:ascii="Arial" w:cs="Arial" w:eastAsia="Arial" w:hAnsi="Arial"/>
                <w:sz w:val="17"/>
                <w:szCs w:val="17"/>
                <w:b w:val="1"/>
                <w:bCs w:val="1"/>
                <w:color w:val="auto"/>
              </w:rPr>
              <w:t>July 31,</w:t>
            </w:r>
          </w:p>
        </w:tc>
        <w:tc>
          <w:tcPr>
            <w:tcW w:w="280" w:type="dxa"/>
            <w:vAlign w:val="bottom"/>
          </w:tcPr>
          <w:p>
            <w:pPr>
              <w:spacing w:after="0"/>
              <w:rPr>
                <w:sz w:val="13"/>
                <w:szCs w:val="13"/>
                <w:color w:val="auto"/>
              </w:rPr>
            </w:pPr>
          </w:p>
        </w:tc>
        <w:tc>
          <w:tcPr>
            <w:tcW w:w="1140" w:type="dxa"/>
            <w:vAlign w:val="bottom"/>
          </w:tcPr>
          <w:p>
            <w:pPr>
              <w:jc w:val="right"/>
              <w:ind w:right="355"/>
              <w:spacing w:after="0" w:line="160" w:lineRule="exact"/>
              <w:rPr>
                <w:sz w:val="20"/>
                <w:szCs w:val="20"/>
                <w:color w:val="auto"/>
              </w:rPr>
            </w:pPr>
            <w:r>
              <w:rPr>
                <w:rFonts w:ascii="Arial" w:cs="Arial" w:eastAsia="Arial" w:hAnsi="Arial"/>
                <w:sz w:val="17"/>
                <w:szCs w:val="17"/>
                <w:b w:val="1"/>
                <w:bCs w:val="1"/>
                <w:color w:val="auto"/>
              </w:rPr>
              <w:t>July 30,</w:t>
            </w:r>
          </w:p>
        </w:tc>
        <w:tc>
          <w:tcPr>
            <w:tcW w:w="200" w:type="dxa"/>
            <w:vAlign w:val="bottom"/>
          </w:tcPr>
          <w:p>
            <w:pPr>
              <w:spacing w:after="0"/>
              <w:rPr>
                <w:sz w:val="13"/>
                <w:szCs w:val="13"/>
                <w:color w:val="auto"/>
              </w:rPr>
            </w:pPr>
          </w:p>
        </w:tc>
        <w:tc>
          <w:tcPr>
            <w:tcW w:w="1100" w:type="dxa"/>
            <w:vAlign w:val="bottom"/>
          </w:tcPr>
          <w:p>
            <w:pPr>
              <w:jc w:val="right"/>
              <w:ind w:right="33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184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332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444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647</w:t>
            </w:r>
          </w:p>
        </w:tc>
      </w:tr>
      <w:tr>
        <w:trPr>
          <w:trHeight w:val="203"/>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1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8.9 %</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14.6 %</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10.5 %</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14.6 %</w:t>
            </w: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Division profit margin as a percentage of sales decreased to 8.9% and 10.5% of sales for the thirteen weeks and twenty-six weeks ended July 30, 2022, respectively, with both sales channels experiencing declines in gross margin and deleveraging expenses. WSS and atmos generated division profit of $6 million and $8 million, respectively for the second quarter, and $19 million and $16 million for the year-to-date period.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9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940" w:type="dxa"/>
            <w:vAlign w:val="bottom"/>
          </w:tcPr>
          <w:p>
            <w:pPr>
              <w:spacing w:after="0"/>
              <w:rPr>
                <w:sz w:val="13"/>
                <w:szCs w:val="13"/>
                <w:color w:val="auto"/>
              </w:rPr>
            </w:pPr>
          </w:p>
        </w:tc>
        <w:tc>
          <w:tcPr>
            <w:tcW w:w="152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320" w:type="dxa"/>
            <w:vAlign w:val="bottom"/>
          </w:tcPr>
          <w:p>
            <w:pPr>
              <w:spacing w:after="0"/>
              <w:rPr>
                <w:sz w:val="13"/>
                <w:szCs w:val="13"/>
                <w:color w:val="auto"/>
              </w:rPr>
            </w:pPr>
          </w:p>
        </w:tc>
        <w:tc>
          <w:tcPr>
            <w:tcW w:w="100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July 31,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ind w:left="80"/>
              <w:spacing w:after="0" w:line="160" w:lineRule="exact"/>
              <w:rPr>
                <w:sz w:val="20"/>
                <w:szCs w:val="20"/>
                <w:color w:val="auto"/>
              </w:rPr>
            </w:pPr>
            <w:r>
              <w:rPr>
                <w:rFonts w:ascii="Arial" w:cs="Arial" w:eastAsia="Arial" w:hAnsi="Arial"/>
                <w:sz w:val="17"/>
                <w:szCs w:val="17"/>
                <w:b w:val="1"/>
                <w:bCs w:val="1"/>
                <w:color w:val="auto"/>
              </w:rPr>
              <w:t>July 30,</w:t>
            </w:r>
          </w:p>
        </w:tc>
        <w:tc>
          <w:tcPr>
            <w:tcW w:w="280" w:type="dxa"/>
            <w:vAlign w:val="bottom"/>
          </w:tcPr>
          <w:p>
            <w:pPr>
              <w:spacing w:after="0"/>
              <w:rPr>
                <w:sz w:val="13"/>
                <w:szCs w:val="13"/>
                <w:color w:val="auto"/>
              </w:rPr>
            </w:pPr>
          </w:p>
        </w:tc>
        <w:tc>
          <w:tcPr>
            <w:tcW w:w="1180" w:type="dxa"/>
            <w:vAlign w:val="bottom"/>
          </w:tcPr>
          <w:p>
            <w:pPr>
              <w:jc w:val="right"/>
              <w:ind w:right="39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2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r>
      <w:tr>
        <w:trPr>
          <w:trHeight w:val="183"/>
        </w:trPr>
        <w:tc>
          <w:tcPr>
            <w:tcW w:w="2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152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w w:val="96"/>
              </w:rPr>
              <w:t>(6)</w:t>
            </w:r>
          </w:p>
        </w:tc>
        <w:tc>
          <w:tcPr>
            <w:tcW w:w="100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96"/>
              </w:rPr>
              <w:t>(3)</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(12)</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(6)</w:t>
            </w:r>
          </w:p>
        </w:tc>
      </w:tr>
      <w:tr>
        <w:trPr>
          <w:trHeight w:val="189"/>
        </w:trPr>
        <w:tc>
          <w:tcPr>
            <w:tcW w:w="2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2</w:t>
            </w:r>
          </w:p>
        </w:tc>
      </w:tr>
      <w:tr>
        <w:trPr>
          <w:trHeight w:val="183"/>
        </w:trPr>
        <w:tc>
          <w:tcPr>
            <w:tcW w:w="29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income, net</w:t>
            </w:r>
          </w:p>
        </w:tc>
        <w:tc>
          <w:tcPr>
            <w:tcW w:w="1520" w:type="dxa"/>
            <w:vAlign w:val="bottom"/>
            <w:tcBorders>
              <w:bottom w:val="single" w:sz="8" w:color="auto"/>
            </w:tcBorders>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w w:val="96"/>
              </w:rPr>
              <w:t>(5)</w:t>
            </w:r>
          </w:p>
        </w:tc>
        <w:tc>
          <w:tcPr>
            <w:tcW w:w="1000" w:type="dxa"/>
            <w:vAlign w:val="bottom"/>
            <w:tcBorders>
              <w:bottom w:val="single" w:sz="8" w:color="auto"/>
            </w:tcBorders>
            <w:shd w:val="clear" w:color="auto" w:fill="CCEEFF"/>
          </w:tcPr>
          <w:p>
            <w:pPr>
              <w:jc w:val="right"/>
              <w:ind w:right="715"/>
              <w:spacing w:after="0" w:line="183"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96"/>
              </w:rPr>
              <w:t>(2)</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(10)</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(4)</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We recorded $5 million and $10 million of net interest expense for the thirteen and twenty-six weeks ended July 30, 2022, respectively as compared with net interest expense of $ 2 million and $4 million for the corresponding prior-year periods. Interest expense increased primarily due to the issuance of the 4% Notes.</w:t>
      </w:r>
    </w:p>
    <w:p>
      <w:pPr>
        <w:spacing w:after="0" w:line="38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Income / (Expense), Net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900" w:type="dxa"/>
            <w:vAlign w:val="bottom"/>
          </w:tcPr>
          <w:p>
            <w:pPr>
              <w:spacing w:after="0"/>
              <w:rPr>
                <w:sz w:val="13"/>
                <w:szCs w:val="13"/>
                <w:color w:val="auto"/>
              </w:rPr>
            </w:pPr>
          </w:p>
        </w:tc>
        <w:tc>
          <w:tcPr>
            <w:tcW w:w="1540" w:type="dxa"/>
            <w:vAlign w:val="bottom"/>
          </w:tcPr>
          <w:p>
            <w:pPr>
              <w:jc w:val="center"/>
              <w:ind w:left="735"/>
              <w:spacing w:after="0" w:line="160" w:lineRule="exact"/>
              <w:rPr>
                <w:sz w:val="20"/>
                <w:szCs w:val="20"/>
                <w:color w:val="auto"/>
              </w:rPr>
            </w:pPr>
            <w:r>
              <w:rPr>
                <w:rFonts w:ascii="Arial" w:cs="Arial" w:eastAsia="Arial" w:hAnsi="Arial"/>
                <w:sz w:val="17"/>
                <w:szCs w:val="17"/>
                <w:b w:val="1"/>
                <w:bCs w:val="1"/>
                <w:color w:val="auto"/>
              </w:rPr>
              <w:t>July 30,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235"/>
              <w:spacing w:after="0" w:line="160" w:lineRule="exact"/>
              <w:rPr>
                <w:sz w:val="20"/>
                <w:szCs w:val="20"/>
                <w:color w:val="auto"/>
              </w:rPr>
            </w:pPr>
            <w:r>
              <w:rPr>
                <w:rFonts w:ascii="Arial" w:cs="Arial" w:eastAsia="Arial" w:hAnsi="Arial"/>
                <w:sz w:val="17"/>
                <w:szCs w:val="17"/>
                <w:b w:val="1"/>
                <w:bCs w:val="1"/>
                <w:color w:val="auto"/>
              </w:rPr>
              <w:t>July 31,</w:t>
            </w:r>
          </w:p>
        </w:tc>
        <w:tc>
          <w:tcPr>
            <w:tcW w:w="380" w:type="dxa"/>
            <w:vAlign w:val="bottom"/>
          </w:tcPr>
          <w:p>
            <w:pPr>
              <w:spacing w:after="0"/>
              <w:rPr>
                <w:sz w:val="13"/>
                <w:szCs w:val="13"/>
                <w:color w:val="auto"/>
              </w:rPr>
            </w:pPr>
          </w:p>
        </w:tc>
        <w:tc>
          <w:tcPr>
            <w:tcW w:w="1040" w:type="dxa"/>
            <w:vAlign w:val="bottom"/>
          </w:tcPr>
          <w:p>
            <w:pPr>
              <w:jc w:val="center"/>
              <w:ind w:right="175"/>
              <w:spacing w:after="0" w:line="160" w:lineRule="exact"/>
              <w:rPr>
                <w:sz w:val="20"/>
                <w:szCs w:val="20"/>
                <w:color w:val="auto"/>
              </w:rPr>
            </w:pPr>
            <w:r>
              <w:rPr>
                <w:rFonts w:ascii="Arial" w:cs="Arial" w:eastAsia="Arial" w:hAnsi="Arial"/>
                <w:sz w:val="17"/>
                <w:szCs w:val="17"/>
                <w:b w:val="1"/>
                <w:bCs w:val="1"/>
                <w:color w:val="auto"/>
                <w:w w:val="99"/>
              </w:rPr>
              <w:t>July 30,</w:t>
            </w:r>
          </w:p>
        </w:tc>
        <w:tc>
          <w:tcPr>
            <w:tcW w:w="260" w:type="dxa"/>
            <w:vAlign w:val="bottom"/>
          </w:tcPr>
          <w:p>
            <w:pPr>
              <w:spacing w:after="0"/>
              <w:rPr>
                <w:sz w:val="13"/>
                <w:szCs w:val="13"/>
                <w:color w:val="auto"/>
              </w:rPr>
            </w:pPr>
          </w:p>
        </w:tc>
        <w:tc>
          <w:tcPr>
            <w:tcW w:w="1140" w:type="dxa"/>
            <w:vAlign w:val="bottom"/>
          </w:tcPr>
          <w:p>
            <w:pPr>
              <w:jc w:val="center"/>
              <w:ind w:right="275"/>
              <w:spacing w:after="0" w:line="160" w:lineRule="exact"/>
              <w:rPr>
                <w:sz w:val="20"/>
                <w:szCs w:val="20"/>
                <w:color w:val="auto"/>
              </w:rPr>
            </w:pPr>
            <w:r>
              <w:rPr>
                <w:rFonts w:ascii="Arial" w:cs="Arial" w:eastAsia="Arial" w:hAnsi="Arial"/>
                <w:sz w:val="17"/>
                <w:szCs w:val="17"/>
                <w:b w:val="1"/>
                <w:bCs w:val="1"/>
                <w:color w:val="auto"/>
                <w:w w:val="99"/>
              </w:rPr>
              <w:t>July 31,</w:t>
            </w:r>
          </w:p>
        </w:tc>
      </w:tr>
      <w:tr>
        <w:trPr>
          <w:trHeight w:val="21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5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29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income / (expense), net</w:t>
            </w:r>
          </w:p>
        </w:tc>
        <w:tc>
          <w:tcPr>
            <w:tcW w:w="1540" w:type="dxa"/>
            <w:vAlign w:val="bottom"/>
            <w:tcBorders>
              <w:bottom w:val="single" w:sz="8" w:color="auto"/>
            </w:tcBorders>
            <w:shd w:val="clear" w:color="auto" w:fill="CCEEFF"/>
          </w:tcPr>
          <w:p>
            <w:pPr>
              <w:jc w:val="right"/>
              <w:ind w:right="735"/>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325</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(13)</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329</w:t>
            </w: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This caption includes non-operating items, including franchise royalty income, changes in fair value of minority investments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thirteen weeks ended July 30, 2022 reflected a gain of $18 million from the divestiture of Eastbay Team Sales, $13 million loss related to a decline in the fair value of our Retailors, Ltd. investment, partially offset by $1 million of income associated with our other minority investments. The twenty-six weeks ended July 30, 2022 reflected the gain from the divestiture of $18 million, a decline in our Retailors, Ltd. investment of $38 million, offset by $1 million of dividend income, and $ 1 million of income from our other minority investments. The prior year amounts included a gain of $290 million representing the fair value adjustment of our minority investment in GOAT, a gain of $24 million related to our Retailors, Ltd. investment, $4 million insurance recovery related to the 2020 social unrest, and $2 million of income associated with our other minority investments. These were all considered our non-GAAP adjustments in all of the periods presented.</w:t>
      </w:r>
    </w:p>
    <w:p>
      <w:pPr>
        <w:spacing w:after="0" w:line="18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Other income / (expense), net also includes $3 million and $6 million of franchise income for the thirteen and twenty-six weeks ended July 30, 2022, respectively. The year-to-date period also includes a charge of $1 million related to our auction rate security.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Twenty-six weeks ended</w:t>
            </w:r>
          </w:p>
        </w:tc>
      </w:tr>
      <w:tr>
        <w:trPr>
          <w:trHeight w:val="160"/>
        </w:trPr>
        <w:tc>
          <w:tcPr>
            <w:tcW w:w="2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jc w:val="right"/>
              <w:ind w:right="335"/>
              <w:spacing w:after="0" w:line="160" w:lineRule="exact"/>
              <w:rPr>
                <w:sz w:val="20"/>
                <w:szCs w:val="20"/>
                <w:color w:val="auto"/>
              </w:rPr>
            </w:pPr>
            <w:r>
              <w:rPr>
                <w:rFonts w:ascii="Arial" w:cs="Arial" w:eastAsia="Arial" w:hAnsi="Arial"/>
                <w:sz w:val="17"/>
                <w:szCs w:val="17"/>
                <w:b w:val="1"/>
                <w:bCs w:val="1"/>
                <w:color w:val="auto"/>
              </w:rPr>
              <w:t>July 30,</w:t>
            </w:r>
          </w:p>
        </w:tc>
        <w:tc>
          <w:tcPr>
            <w:tcW w:w="220" w:type="dxa"/>
            <w:vAlign w:val="bottom"/>
          </w:tcPr>
          <w:p>
            <w:pPr>
              <w:spacing w:after="0"/>
              <w:rPr>
                <w:sz w:val="13"/>
                <w:szCs w:val="13"/>
                <w:color w:val="auto"/>
              </w:rPr>
            </w:pPr>
          </w:p>
        </w:tc>
        <w:tc>
          <w:tcPr>
            <w:tcW w:w="1120" w:type="dxa"/>
            <w:vAlign w:val="bottom"/>
          </w:tcPr>
          <w:p>
            <w:pPr>
              <w:jc w:val="right"/>
              <w:ind w:right="355"/>
              <w:spacing w:after="0" w:line="160"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3"/>
                <w:szCs w:val="13"/>
                <w:color w:val="auto"/>
              </w:rPr>
            </w:pPr>
          </w:p>
        </w:tc>
        <w:tc>
          <w:tcPr>
            <w:tcW w:w="1140" w:type="dxa"/>
            <w:vAlign w:val="bottom"/>
          </w:tcPr>
          <w:p>
            <w:pPr>
              <w:jc w:val="right"/>
              <w:ind w:right="355"/>
              <w:spacing w:after="0" w:line="160" w:lineRule="exact"/>
              <w:rPr>
                <w:sz w:val="20"/>
                <w:szCs w:val="20"/>
                <w:color w:val="auto"/>
              </w:rPr>
            </w:pPr>
            <w:r>
              <w:rPr>
                <w:rFonts w:ascii="Arial" w:cs="Arial" w:eastAsia="Arial" w:hAnsi="Arial"/>
                <w:sz w:val="17"/>
                <w:szCs w:val="17"/>
                <w:b w:val="1"/>
                <w:bCs w:val="1"/>
                <w:color w:val="auto"/>
              </w:rPr>
              <w:t>July 30,</w:t>
            </w:r>
          </w:p>
        </w:tc>
        <w:tc>
          <w:tcPr>
            <w:tcW w:w="220" w:type="dxa"/>
            <w:vAlign w:val="bottom"/>
          </w:tcPr>
          <w:p>
            <w:pPr>
              <w:spacing w:after="0"/>
              <w:rPr>
                <w:sz w:val="13"/>
                <w:szCs w:val="13"/>
                <w:color w:val="auto"/>
              </w:rPr>
            </w:pPr>
          </w:p>
        </w:tc>
        <w:tc>
          <w:tcPr>
            <w:tcW w:w="1140" w:type="dxa"/>
            <w:vAlign w:val="bottom"/>
          </w:tcPr>
          <w:p>
            <w:pPr>
              <w:jc w:val="right"/>
              <w:ind w:right="3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2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r>
      <w:tr>
        <w:trPr>
          <w:trHeight w:val="183"/>
        </w:trPr>
        <w:tc>
          <w:tcPr>
            <w:tcW w:w="2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Provision for income taxes</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49</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157</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107</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239</w:t>
            </w:r>
          </w:p>
        </w:tc>
      </w:tr>
      <w:tr>
        <w:trPr>
          <w:trHeight w:val="189"/>
        </w:trPr>
        <w:tc>
          <w:tcPr>
            <w:tcW w:w="27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Effective tax rate</w:t>
            </w: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34.5 %</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26.8 %</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32.1 %</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27.4 %</w:t>
            </w: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current year interim provision for income taxes was measured using an estimated annual effective tax rate, which represented a blend of federal, state, and foreign taxes and included the effect of certain nondeductible items as well as changes in our mix of domestic and foreign earnings or losses, adjusted for discrete items that occurred within the periods presented.</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 The changes in tax reserves were not significant for any of the periods presented.</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the second quarter of 2022, we recorded a $5 million charge related to our income tax reserves due to the resolution of a foreign tax settlement. Partially offsetting this charge were tax benefits totaling $2 million from reserves releases due to various statute of limitation lapses. The changes in tax reserves were not significant for any of the prior-year periods.</w:t>
      </w:r>
    </w:p>
    <w:p>
      <w:pPr>
        <w:spacing w:after="0" w:line="17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During the quarter ended July 30, 2022, we also recorded a tax expense of $6 million in connection with Eastbay Team Sales divestiture, including the effect of a non-deductible goodwill write-off.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2022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During the twenty-six weeks ended July 30, 2022, we recorded $1 million of expense related to tax deficiencies from share-based compensation, as compared with excess tax benefits of $1 million and $2 million in the first and second quarters of the corresponding prior-year periods, respectively.</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Excluding the above-mentioned discrete items, the effective tax rates for the current year periods increased, as compared with the corresponding prior-year periods, primarily due to the change in the mix of domestic and foreign earnings.</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effective tax rate will vary due to numerous factors, such as level and geographic mix of income and losses, acquisitions, investments, intercompany transactions, foreign currency exchange rates, our stock price, changes in our deferred tax assets and liabilities and their valuation, changes in the laws, regulations, administrative practices, principles, and interpretations related to tax, including changes to the global tax framework and other laws and accounting rules in various jurisdictions.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August 16, 2022, President Biden signed the Inflation Reduction Act (“IRA”) of 2022 into law. The IRA contains a number of revisions to the Internal Revenue Code, including a 15% corporate minimum tax and a 1% excise tax on corporate stock repurchases in tax years beginning after December 31, 2022. We do not currently expect the IRA tax provisions will have a significant effect on our overall effective tax rate.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including strategic investments. We generally finance real estate with operating leases. We believe our cash, cash equivalents, future cash flow from operations, and amounts available under our credit agreement will be adequate to fund these requirements.</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 xml:space="preserve">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As of July 30, 2022, approximately $1,103 million remained available under our current $1.2 billion share repurchase program, which was approved in February 2022. The new program </w:t>
      </w:r>
      <w:r>
        <w:rPr>
          <w:rFonts w:ascii="Arial" w:cs="Arial" w:eastAsia="Arial" w:hAnsi="Arial"/>
          <w:sz w:val="17"/>
          <w:szCs w:val="17"/>
          <w:color w:val="auto"/>
        </w:rPr>
        <w:t>does not have an expiration date.</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continued uncertainties caused by the COVID-19 pandemic, as well as other factors listed under the headings “Disclosure Regarding Forward-Looking Statements,” and “Risk Factors” could affect our ability to continue to fund our needs from business operations.</w:t>
      </w: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Twenty-six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446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5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4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4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provided by operating activities</w:t>
            </w:r>
          </w:p>
        </w:tc>
        <w:tc>
          <w:tcPr>
            <w:tcW w:w="1840" w:type="dxa"/>
            <w:vAlign w:val="bottom"/>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(102)</w:t>
            </w:r>
          </w:p>
        </w:tc>
        <w:tc>
          <w:tcPr>
            <w:tcW w:w="4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402</w:t>
            </w:r>
          </w:p>
        </w:tc>
      </w:tr>
      <w:tr>
        <w:trPr>
          <w:trHeight w:val="189"/>
        </w:trPr>
        <w:tc>
          <w:tcPr>
            <w:tcW w:w="4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84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(504)</w:t>
            </w: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Operating activities reflects net income adjusted for non-cash items and working capital changes. Adjustments to net income for non-cash items include gains, losses, impairment charges, other charges, depreciation and amortization, deferred income taxes, and share-based compensation expense.</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decrease in cash from operating activities reflected higher merchandise purchases and payments of accounts payable and accrued and other liabilities, as well as lower net income, as compared with the same period last year. Higher merchandise purchases were necessary as our year-end inventory levels were affected by the COVID-19 pandemic and the associated supply chain challenges.</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July 30, 2022, we have withheld approximately $7 million of lease and lease-related payments as we continue to negotiate rent deferrals or abatements with our landlords for the period that our stores were closed due to the COVID-19 pandemic.</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Twenty-six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92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5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4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2380" w:type="dxa"/>
            <w:vAlign w:val="bottom"/>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(113)</w:t>
            </w:r>
          </w:p>
        </w:tc>
        <w:tc>
          <w:tcPr>
            <w:tcW w:w="4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(159)</w:t>
            </w:r>
          </w:p>
        </w:tc>
      </w:tr>
      <w:tr>
        <w:trPr>
          <w:trHeight w:val="189"/>
        </w:trPr>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38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46</w:t>
            </w: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change in investing activities primarily reflected higher capital expenditures, partially offset by divestiture of certain assets.</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For the twenty-six weeks ended July 30, 2022, capital expenditures increased by $69 million to $156 million, as compared with the corresponding prior-year period. Our full-year capital spending is expected to be $275 million. The forecast includes $191 million related to the remodeling or relocation of approximately 140 existing stores and the opening of approximately 110 new stores, as well as $84 million for the development of information systems, websites, and infrastructure, including supply chain initiatives.</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During the twenty-six weeks ended July 30, 2022, we paid an additional $12 million for the WSS and atmos acquisitions upon the satisfaction of certain post-closing conditions.</w:t>
      </w:r>
    </w:p>
    <w:p>
      <w:pPr>
        <w:spacing w:after="0" w:line="15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have invested $4 million in minority investments during the current year, including various limited partner venture capital funds managed by Black fund managers, who are committed to advancing diverse-led businesses as part of our Leading in Education and Economic Development (LEED) initiative. During the second quarter of 2022, we sold our position in one of our minority investments receiving proceeds of $12 million. In the prior-year period, we invested $68 million in a public entity, Retailors Ltd., and $10 million in minority investments primarily related to LEED.</w:t>
      </w:r>
    </w:p>
    <w:p>
      <w:pPr>
        <w:spacing w:after="0" w:line="17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Also during the second quarter of 2022, we sold our Eastbay Team Sales business receiving proceeds of $47 million and resulting in a gain of $18 million.</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sold the former Runners Point headquarters in the first quarter of 2021, generating proceeds of $ 3 million. Also last year, we received insurance proceeds of $3 million related to property and equipment claims from the social unrest losses in 2020.</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2022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Twenty-six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92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5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4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2380" w:type="dxa"/>
            <w:vAlign w:val="bottom"/>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(199)</w:t>
            </w:r>
          </w:p>
        </w:tc>
        <w:tc>
          <w:tcPr>
            <w:tcW w:w="4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(79)</w:t>
            </w:r>
          </w:p>
        </w:tc>
      </w:tr>
      <w:tr>
        <w:trPr>
          <w:trHeight w:val="189"/>
        </w:trPr>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38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(120)</w:t>
            </w: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Cash used in financing activities was driven by our return to shareholders initiatives, including our share repurchase program and cash dividends, as follows:</w:t>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Twenty-six weeks ended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84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July 30,</w:t>
            </w:r>
          </w:p>
        </w:tc>
        <w:tc>
          <w:tcPr>
            <w:tcW w:w="5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675"/>
              <w:spacing w:after="0" w:line="160" w:lineRule="exact"/>
              <w:rPr>
                <w:sz w:val="20"/>
                <w:szCs w:val="20"/>
                <w:color w:val="auto"/>
              </w:rPr>
            </w:pPr>
            <w:r>
              <w:rPr>
                <w:rFonts w:ascii="Arial" w:cs="Arial" w:eastAsia="Arial" w:hAnsi="Arial"/>
                <w:sz w:val="17"/>
                <w:szCs w:val="17"/>
                <w:b w:val="1"/>
                <w:bCs w:val="1"/>
                <w:color w:val="auto"/>
              </w:rPr>
              <w:t>July 31,</w:t>
            </w:r>
          </w:p>
        </w:tc>
      </w:tr>
      <w:tr>
        <w:trPr>
          <w:trHeight w:val="211"/>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5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2021</w:t>
            </w:r>
          </w:p>
        </w:tc>
      </w:tr>
      <w:tr>
        <w:trPr>
          <w:trHeight w:val="183"/>
        </w:trPr>
        <w:tc>
          <w:tcPr>
            <w:tcW w:w="38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Share repurchases</w:t>
            </w:r>
          </w:p>
        </w:tc>
        <w:tc>
          <w:tcPr>
            <w:tcW w:w="2500" w:type="dxa"/>
            <w:vAlign w:val="bottom"/>
            <w:shd w:val="clear" w:color="auto" w:fill="CCEEFF"/>
          </w:tcPr>
          <w:p>
            <w:pPr>
              <w:jc w:val="right"/>
              <w:ind w:right="101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129</w:t>
            </w:r>
          </w:p>
        </w:tc>
        <w:tc>
          <w:tcPr>
            <w:tcW w:w="4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41</w:t>
            </w:r>
          </w:p>
        </w:tc>
      </w:tr>
      <w:tr>
        <w:trPr>
          <w:trHeight w:val="189"/>
        </w:trPr>
        <w:tc>
          <w:tcPr>
            <w:tcW w:w="38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Dividends paid on common stock</w:t>
            </w:r>
          </w:p>
        </w:tc>
        <w:tc>
          <w:tcPr>
            <w:tcW w:w="25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76</w:t>
            </w: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5"/>
              <w:spacing w:after="0" w:line="189" w:lineRule="exact"/>
              <w:rPr>
                <w:sz w:val="20"/>
                <w:szCs w:val="20"/>
                <w:color w:val="auto"/>
              </w:rPr>
            </w:pPr>
            <w:r>
              <w:rPr>
                <w:rFonts w:ascii="Arial" w:cs="Arial" w:eastAsia="Arial" w:hAnsi="Arial"/>
                <w:sz w:val="17"/>
                <w:szCs w:val="17"/>
                <w:color w:val="auto"/>
              </w:rPr>
              <w:t>42</w:t>
            </w:r>
          </w:p>
        </w:tc>
      </w:tr>
      <w:tr>
        <w:trPr>
          <w:trHeight w:val="183"/>
        </w:trPr>
        <w:tc>
          <w:tcPr>
            <w:tcW w:w="38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returned to shareholders</w:t>
            </w:r>
          </w:p>
        </w:tc>
        <w:tc>
          <w:tcPr>
            <w:tcW w:w="2500" w:type="dxa"/>
            <w:vAlign w:val="bottom"/>
            <w:tcBorders>
              <w:bottom w:val="single" w:sz="8" w:color="auto"/>
            </w:tcBorders>
            <w:shd w:val="clear" w:color="auto" w:fill="CCEEFF"/>
          </w:tcPr>
          <w:p>
            <w:pPr>
              <w:jc w:val="right"/>
              <w:ind w:right="101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205</w:t>
            </w:r>
          </w:p>
        </w:tc>
        <w:tc>
          <w:tcPr>
            <w:tcW w:w="4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83</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the twenty-six weeks ended July 30, 2022, we repurchased 4,050,000 shares of common stock for $129 million under our share repurchase programs, whereas in the prior year we spent $ 41 million to repurchase shares. We also declared and paid $76 million in dividends representing a quarterly rate of $0.40 per share in 2022, as compared with a quarterly rate of $0.20 per share in the prior-year period.</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paid $1 million to satisfy tax withholding obligations relating to the vesting of share-based equity awards during the twenty-six weeks ended July 30, 2022, as compared with $11 million in 2021. Offsetting this amount were proceeds received in connection with employee stock programs of $6 million in the current year, as compared with $17 million in the prior-year period.</w:t>
      </w:r>
    </w:p>
    <w:p>
      <w:pPr>
        <w:spacing w:after="0" w:line="17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Additionally, we paid $3 million of principal on our finance lease obligations, mainly related to certain WSS stores.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2021 Form 10-K.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2022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the quarter ended July 30, 2022, there were no changes, other than process changes that may be necessary related to the newly acquired businesses, in the Company’s internal control over financial reporting (as defined in Rules 13a-15(f) of the Exchange Act), that materially affected or are reasonably likely to affect the Company’s internal control over financial reporting.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2021 Annual Report on Form 10-K filed with the SEC on March 24, 2022 should be considered as they could materially affect our business, financial condition, or future results.</w:t>
      </w:r>
    </w:p>
    <w:p>
      <w:pPr>
        <w:spacing w:after="0" w:line="169" w:lineRule="exact"/>
        <w:rPr>
          <w:sz w:val="20"/>
          <w:szCs w:val="20"/>
          <w:color w:val="auto"/>
        </w:rPr>
      </w:pPr>
    </w:p>
    <w:p>
      <w:pPr>
        <w:ind w:left="60" w:right="719"/>
        <w:spacing w:after="0" w:line="453" w:lineRule="auto"/>
        <w:rPr>
          <w:sz w:val="20"/>
          <w:szCs w:val="20"/>
          <w:color w:val="auto"/>
        </w:rPr>
      </w:pPr>
      <w:r>
        <w:rPr>
          <w:rFonts w:ascii="Arial" w:cs="Arial" w:eastAsia="Arial" w:hAnsi="Arial"/>
          <w:sz w:val="18"/>
          <w:szCs w:val="18"/>
          <w:color w:val="auto"/>
        </w:rPr>
        <w:t xml:space="preserve">There have not been any significant changes with respect to the risks described in our 2021 Form 10-K. </w:t>
      </w:r>
      <w:r>
        <w:rPr>
          <w:rFonts w:ascii="Arial" w:cs="Arial" w:eastAsia="Arial" w:hAnsi="Arial"/>
          <w:sz w:val="18"/>
          <w:szCs w:val="18"/>
          <w:b w:val="1"/>
          <w:bCs w:val="1"/>
          <w:i w:val="1"/>
          <w:iCs w:val="1"/>
          <w:color w:val="auto"/>
        </w:rPr>
        <w:t>Item 2. Unregistered Sales of Equity Securities and Use of Proceeds</w:t>
      </w:r>
    </w:p>
    <w:p>
      <w:pPr>
        <w:spacing w:after="0" w:line="2"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color w:val="auto"/>
        </w:rPr>
        <w:t>The table below provides information with respect to shares of the Company’s common stock for the thirteen weeks ended July 30, 2022.</w:t>
      </w:r>
    </w:p>
    <w:tbl>
      <w:tblPr>
        <w:tblLayout w:type="fixed"/>
        <w:tblInd w:w="4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2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5"/>
                <w:szCs w:val="15"/>
                <w:color w:val="auto"/>
              </w:rPr>
            </w:pPr>
          </w:p>
        </w:tc>
        <w:tc>
          <w:tcPr>
            <w:tcW w:w="142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380" w:type="dxa"/>
            <w:vAlign w:val="bottom"/>
          </w:tcPr>
          <w:p>
            <w:pPr>
              <w:spacing w:after="0"/>
              <w:rPr>
                <w:sz w:val="16"/>
                <w:szCs w:val="16"/>
                <w:color w:val="auto"/>
              </w:rPr>
            </w:pPr>
          </w:p>
        </w:tc>
        <w:tc>
          <w:tcPr>
            <w:tcW w:w="1820" w:type="dxa"/>
            <w:vAlign w:val="bottom"/>
          </w:tcPr>
          <w:p>
            <w:pPr>
              <w:jc w:val="center"/>
              <w:ind w:left="455"/>
              <w:spacing w:after="0" w:line="189" w:lineRule="exact"/>
              <w:rPr>
                <w:sz w:val="20"/>
                <w:szCs w:val="20"/>
                <w:color w:val="auto"/>
              </w:rPr>
            </w:pPr>
            <w:r>
              <w:rPr>
                <w:rFonts w:ascii="Arial" w:cs="Arial" w:eastAsia="Arial" w:hAnsi="Arial"/>
                <w:sz w:val="17"/>
                <w:szCs w:val="17"/>
                <w:b w:val="1"/>
                <w:bCs w:val="1"/>
                <w:color w:val="auto"/>
                <w:w w:val="98"/>
              </w:rPr>
              <w:t>Total</w:t>
            </w:r>
          </w:p>
        </w:tc>
        <w:tc>
          <w:tcPr>
            <w:tcW w:w="220" w:type="dxa"/>
            <w:vAlign w:val="bottom"/>
          </w:tcPr>
          <w:p>
            <w:pPr>
              <w:spacing w:after="0"/>
              <w:rPr>
                <w:sz w:val="16"/>
                <w:szCs w:val="16"/>
                <w:color w:val="auto"/>
              </w:rPr>
            </w:pPr>
          </w:p>
        </w:tc>
        <w:tc>
          <w:tcPr>
            <w:tcW w:w="92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rPr>
              <w:t>Average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Purchased as</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380" w:type="dxa"/>
            <w:vAlign w:val="bottom"/>
          </w:tcPr>
          <w:p>
            <w:pPr>
              <w:spacing w:after="0"/>
              <w:rPr>
                <w:sz w:val="16"/>
                <w:szCs w:val="16"/>
                <w:color w:val="auto"/>
              </w:rPr>
            </w:pPr>
          </w:p>
        </w:tc>
        <w:tc>
          <w:tcPr>
            <w:tcW w:w="1820" w:type="dxa"/>
            <w:vAlign w:val="bottom"/>
          </w:tcPr>
          <w:p>
            <w:pPr>
              <w:jc w:val="center"/>
              <w:ind w:left="455"/>
              <w:spacing w:after="0" w:line="189" w:lineRule="exact"/>
              <w:rPr>
                <w:sz w:val="20"/>
                <w:szCs w:val="20"/>
                <w:color w:val="auto"/>
              </w:rPr>
            </w:pPr>
            <w:r>
              <w:rPr>
                <w:rFonts w:ascii="Arial" w:cs="Arial" w:eastAsia="Arial" w:hAnsi="Arial"/>
                <w:sz w:val="17"/>
                <w:szCs w:val="17"/>
                <w:b w:val="1"/>
                <w:bCs w:val="1"/>
                <w:color w:val="auto"/>
                <w:w w:val="99"/>
              </w:rPr>
              <w:t>Number</w:t>
            </w:r>
          </w:p>
        </w:tc>
        <w:tc>
          <w:tcPr>
            <w:tcW w:w="22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Price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380" w:type="dxa"/>
            <w:vAlign w:val="bottom"/>
          </w:tcPr>
          <w:p>
            <w:pPr>
              <w:spacing w:after="0"/>
              <w:rPr>
                <w:sz w:val="16"/>
                <w:szCs w:val="16"/>
                <w:color w:val="auto"/>
              </w:rPr>
            </w:pPr>
          </w:p>
        </w:tc>
        <w:tc>
          <w:tcPr>
            <w:tcW w:w="1820" w:type="dxa"/>
            <w:vAlign w:val="bottom"/>
          </w:tcPr>
          <w:p>
            <w:pPr>
              <w:jc w:val="center"/>
              <w:ind w:left="475"/>
              <w:spacing w:after="0" w:line="189" w:lineRule="exact"/>
              <w:rPr>
                <w:sz w:val="20"/>
                <w:szCs w:val="20"/>
                <w:color w:val="auto"/>
              </w:rPr>
            </w:pPr>
            <w:r>
              <w:rPr>
                <w:rFonts w:ascii="Arial" w:cs="Arial" w:eastAsia="Arial" w:hAnsi="Arial"/>
                <w:sz w:val="17"/>
                <w:szCs w:val="17"/>
                <w:b w:val="1"/>
                <w:bCs w:val="1"/>
                <w:color w:val="auto"/>
              </w:rPr>
              <w:t>of Shares</w:t>
            </w:r>
          </w:p>
        </w:tc>
        <w:tc>
          <w:tcPr>
            <w:tcW w:w="220" w:type="dxa"/>
            <w:vAlign w:val="bottom"/>
          </w:tcPr>
          <w:p>
            <w:pPr>
              <w:spacing w:after="0"/>
              <w:rPr>
                <w:sz w:val="16"/>
                <w:szCs w:val="16"/>
                <w:color w:val="auto"/>
              </w:rPr>
            </w:pPr>
          </w:p>
        </w:tc>
        <w:tc>
          <w:tcPr>
            <w:tcW w:w="92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Paid Per</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 Purchased</w:t>
            </w:r>
          </w:p>
        </w:tc>
        <w:tc>
          <w:tcPr>
            <w:tcW w:w="1820" w:type="dxa"/>
            <w:vAlign w:val="bottom"/>
            <w:tcBorders>
              <w:bottom w:val="single" w:sz="8" w:color="auto"/>
            </w:tcBorders>
          </w:tcPr>
          <w:p>
            <w:pPr>
              <w:jc w:val="center"/>
              <w:ind w:left="455"/>
              <w:spacing w:after="0" w:line="211"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5"/>
              <w:spacing w:after="0" w:line="211" w:lineRule="exact"/>
              <w:rPr>
                <w:sz w:val="20"/>
                <w:szCs w:val="20"/>
                <w:color w:val="auto"/>
              </w:rPr>
            </w:pPr>
            <w:r>
              <w:rPr>
                <w:rFonts w:ascii="Arial" w:cs="Arial" w:eastAsia="Arial" w:hAnsi="Arial"/>
                <w:sz w:val="16"/>
                <w:szCs w:val="16"/>
                <w:b w:val="1"/>
                <w:bCs w:val="1"/>
                <w:color w:val="auto"/>
                <w:w w:val="99"/>
              </w:rPr>
              <w:t xml:space="preserve">Share </w:t>
            </w:r>
            <w:r>
              <w:rPr>
                <w:rFonts w:ascii="Arial" w:cs="Arial" w:eastAsia="Arial" w:hAnsi="Arial"/>
                <w:sz w:val="24"/>
                <w:szCs w:val="24"/>
                <w:color w:val="auto"/>
                <w:w w:val="99"/>
                <w:vertAlign w:val="superscript"/>
              </w:rPr>
              <w:t>(1)</w:t>
            </w:r>
          </w:p>
        </w:tc>
        <w:tc>
          <w:tcPr>
            <w:tcW w:w="1920" w:type="dxa"/>
            <w:vAlign w:val="bottom"/>
            <w:tcBorders>
              <w:bottom w:val="single" w:sz="8" w:color="auto"/>
            </w:tcBorders>
          </w:tcPr>
          <w:p>
            <w:pPr>
              <w:jc w:val="center"/>
              <w:spacing w:after="0" w:line="211"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line="211"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23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May 1 to May 28, 2022</w:t>
            </w:r>
          </w:p>
        </w:tc>
        <w:tc>
          <w:tcPr>
            <w:tcW w:w="18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1,143,322,902</w:t>
            </w:r>
          </w:p>
        </w:tc>
      </w:tr>
      <w:tr>
        <w:trPr>
          <w:trHeight w:val="189"/>
        </w:trPr>
        <w:tc>
          <w:tcPr>
            <w:tcW w:w="2380" w:type="dxa"/>
            <w:vAlign w:val="bottom"/>
          </w:tcPr>
          <w:p>
            <w:pPr>
              <w:ind w:left="20"/>
              <w:spacing w:after="0" w:line="189" w:lineRule="exact"/>
              <w:rPr>
                <w:sz w:val="20"/>
                <w:szCs w:val="20"/>
                <w:color w:val="auto"/>
              </w:rPr>
            </w:pPr>
            <w:r>
              <w:rPr>
                <w:rFonts w:ascii="Arial" w:cs="Arial" w:eastAsia="Arial" w:hAnsi="Arial"/>
                <w:sz w:val="17"/>
                <w:szCs w:val="17"/>
                <w:color w:val="auto"/>
              </w:rPr>
              <w:t>May 29 to July 2, 2022</w:t>
            </w:r>
          </w:p>
        </w:tc>
        <w:tc>
          <w:tcPr>
            <w:tcW w:w="1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1,405,235</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28.22</w:t>
            </w:r>
          </w:p>
        </w:tc>
        <w:tc>
          <w:tcPr>
            <w:tcW w:w="19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1,400,000</w:t>
            </w:r>
          </w:p>
        </w:tc>
        <w:tc>
          <w:tcPr>
            <w:tcW w:w="2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1,103,814,042</w:t>
            </w:r>
          </w:p>
        </w:tc>
      </w:tr>
      <w:tr>
        <w:trPr>
          <w:trHeight w:val="189"/>
        </w:trPr>
        <w:tc>
          <w:tcPr>
            <w:tcW w:w="23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July 3 to July 30, 2022</w:t>
            </w:r>
          </w:p>
        </w:tc>
        <w:tc>
          <w:tcPr>
            <w:tcW w:w="18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549</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26.97</w:t>
            </w:r>
          </w:p>
        </w:tc>
        <w:tc>
          <w:tcPr>
            <w:tcW w:w="19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1,103,814,042</w:t>
            </w:r>
          </w:p>
        </w:tc>
      </w:tr>
      <w:tr>
        <w:trPr>
          <w:trHeight w:val="183"/>
        </w:trPr>
        <w:tc>
          <w:tcPr>
            <w:tcW w:w="2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1,405,784</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28.22</w:t>
            </w:r>
          </w:p>
        </w:tc>
        <w:tc>
          <w:tcPr>
            <w:tcW w:w="19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1,400,000</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pacing w:after="0" w:line="99" w:lineRule="exact"/>
        <w:rPr>
          <w:sz w:val="20"/>
          <w:szCs w:val="20"/>
          <w:color w:val="auto"/>
        </w:rPr>
      </w:pPr>
    </w:p>
    <w:p>
      <w:pPr>
        <w:jc w:val="both"/>
        <w:ind w:left="380" w:right="79" w:hanging="330"/>
        <w:spacing w:after="0" w:line="263"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columns include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64" w:lineRule="exact"/>
        <w:rPr>
          <w:rFonts w:ascii="Arial" w:cs="Arial" w:eastAsia="Arial" w:hAnsi="Arial"/>
          <w:sz w:val="14"/>
          <w:szCs w:val="14"/>
          <w:color w:val="auto"/>
        </w:rPr>
      </w:pPr>
    </w:p>
    <w:p>
      <w:pPr>
        <w:ind w:left="380" w:right="79" w:hanging="330"/>
        <w:spacing w:after="0" w:line="285"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February 24, 2022, the Board of Directors approved a new $1.2 billion share repurchase program. The new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628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Item 6. Exhibits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Exhibit No.</w:t>
            </w:r>
          </w:p>
        </w:tc>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4"/>
          </w:tcPr>
          <w:p>
            <w:pPr>
              <w:ind w:left="46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6"/>
                <w:szCs w:val="16"/>
                <w:color w:val="auto"/>
              </w:rPr>
              <w:t>†</w:t>
            </w:r>
          </w:p>
        </w:tc>
        <w:tc>
          <w:tcPr>
            <w:tcW w:w="220" w:type="dxa"/>
            <w:vAlign w:val="bottom"/>
            <w:tcBorders>
              <w:top w:val="single" w:sz="8" w:color="CCEEFF"/>
              <w:right w:val="single" w:sz="8" w:color="CCEEFF"/>
            </w:tcBorders>
            <w:vMerge w:val="restart"/>
            <w:shd w:val="clear" w:color="auto" w:fill="CCEEFF"/>
          </w:tcPr>
          <w:p>
            <w:pPr>
              <w:spacing w:after="0"/>
              <w:rPr>
                <w:sz w:val="14"/>
                <w:szCs w:val="14"/>
                <w:color w:val="auto"/>
              </w:rPr>
            </w:pPr>
          </w:p>
        </w:tc>
        <w:tc>
          <w:tcPr>
            <w:tcW w:w="5120" w:type="dxa"/>
            <w:vAlign w:val="bottom"/>
            <w:tcBorders>
              <w:top w:val="single" w:sz="8" w:color="auto"/>
            </w:tcBorders>
            <w:gridSpan w:val="6"/>
            <w:shd w:val="clear" w:color="auto" w:fill="CCEEFF"/>
          </w:tcPr>
          <w:p>
            <w:pPr>
              <w:spacing w:after="0" w:line="169" w:lineRule="exact"/>
              <w:rPr>
                <w:rFonts w:ascii="Arial" w:cs="Arial" w:eastAsia="Arial" w:hAnsi="Arial"/>
                <w:sz w:val="18"/>
                <w:szCs w:val="18"/>
                <w:color w:val="0000EE"/>
              </w:rPr>
            </w:pPr>
            <w:hyperlink r:id="rId70">
              <w:r>
                <w:rPr>
                  <w:rFonts w:ascii="Arial" w:cs="Arial" w:eastAsia="Arial" w:hAnsi="Arial"/>
                  <w:sz w:val="18"/>
                  <w:szCs w:val="18"/>
                  <w:color w:val="0000EE"/>
                </w:rPr>
                <w:t>Letter  Agreement,  by  and  between  the  Company  and</w:t>
              </w:r>
            </w:hyperlink>
          </w:p>
        </w:tc>
        <w:tc>
          <w:tcPr>
            <w:tcW w:w="740" w:type="dxa"/>
            <w:vAlign w:val="bottom"/>
            <w:tcBorders>
              <w:top w:val="single" w:sz="8" w:color="auto"/>
            </w:tcBorders>
            <w:gridSpan w:val="3"/>
            <w:shd w:val="clear" w:color="auto" w:fill="CCEEFF"/>
          </w:tcPr>
          <w:p>
            <w:pPr>
              <w:ind w:left="120"/>
              <w:spacing w:after="0" w:line="169" w:lineRule="exact"/>
              <w:rPr>
                <w:rFonts w:ascii="Arial" w:cs="Arial" w:eastAsia="Arial" w:hAnsi="Arial"/>
                <w:sz w:val="18"/>
                <w:szCs w:val="18"/>
                <w:color w:val="0000EE"/>
                <w:w w:val="96"/>
              </w:rPr>
            </w:pPr>
            <w:hyperlink r:id="rId70">
              <w:r>
                <w:rPr>
                  <w:rFonts w:ascii="Arial" w:cs="Arial" w:eastAsia="Arial" w:hAnsi="Arial"/>
                  <w:sz w:val="18"/>
                  <w:szCs w:val="18"/>
                  <w:color w:val="0000EE"/>
                  <w:w w:val="96"/>
                </w:rPr>
                <w:t>Richard</w:t>
              </w:r>
            </w:hyperlink>
          </w:p>
        </w:tc>
        <w:tc>
          <w:tcPr>
            <w:tcW w:w="380" w:type="dxa"/>
            <w:vAlign w:val="bottom"/>
            <w:tcBorders>
              <w:top w:val="single" w:sz="8" w:color="auto"/>
            </w:tcBorders>
            <w:shd w:val="clear" w:color="auto" w:fill="CCEEFF"/>
          </w:tcPr>
          <w:p>
            <w:pPr>
              <w:ind w:left="160"/>
              <w:spacing w:after="0" w:line="169" w:lineRule="exact"/>
              <w:rPr>
                <w:rFonts w:ascii="Arial" w:cs="Arial" w:eastAsia="Arial" w:hAnsi="Arial"/>
                <w:sz w:val="18"/>
                <w:szCs w:val="18"/>
                <w:color w:val="0000EE"/>
              </w:rPr>
            </w:pPr>
            <w:hyperlink r:id="rId70">
              <w:r>
                <w:rPr>
                  <w:rFonts w:ascii="Arial" w:cs="Arial" w:eastAsia="Arial" w:hAnsi="Arial"/>
                  <w:sz w:val="18"/>
                  <w:szCs w:val="18"/>
                  <w:color w:val="0000EE"/>
                </w:rPr>
                <w:t>A.</w:t>
              </w:r>
            </w:hyperlink>
          </w:p>
        </w:tc>
        <w:tc>
          <w:tcPr>
            <w:tcW w:w="920" w:type="dxa"/>
            <w:vAlign w:val="bottom"/>
            <w:tcBorders>
              <w:top w:val="single" w:sz="8" w:color="auto"/>
            </w:tcBorders>
            <w:gridSpan w:val="4"/>
            <w:shd w:val="clear" w:color="auto" w:fill="CCEEFF"/>
          </w:tcPr>
          <w:p>
            <w:pPr>
              <w:jc w:val="right"/>
              <w:ind w:right="60"/>
              <w:spacing w:after="0" w:line="169" w:lineRule="exact"/>
              <w:rPr>
                <w:rFonts w:ascii="Arial" w:cs="Arial" w:eastAsia="Arial" w:hAnsi="Arial"/>
                <w:sz w:val="18"/>
                <w:szCs w:val="18"/>
                <w:color w:val="0000EE"/>
              </w:rPr>
            </w:pPr>
            <w:hyperlink r:id="rId70">
              <w:r>
                <w:rPr>
                  <w:rFonts w:ascii="Arial" w:cs="Arial" w:eastAsia="Arial" w:hAnsi="Arial"/>
                  <w:sz w:val="18"/>
                  <w:szCs w:val="18"/>
                  <w:color w:val="0000EE"/>
                </w:rPr>
                <w:t>Johnson,</w:t>
              </w:r>
            </w:hyperlink>
          </w:p>
        </w:tc>
        <w:tc>
          <w:tcPr>
            <w:tcW w:w="720" w:type="dxa"/>
            <w:vAlign w:val="bottom"/>
            <w:tcBorders>
              <w:top w:val="single" w:sz="8" w:color="auto"/>
            </w:tcBorders>
            <w:gridSpan w:val="10"/>
            <w:shd w:val="clear" w:color="auto" w:fill="CCEEFF"/>
          </w:tcPr>
          <w:p>
            <w:pPr>
              <w:jc w:val="right"/>
              <w:ind w:right="160"/>
              <w:spacing w:after="0" w:line="169" w:lineRule="exact"/>
              <w:rPr>
                <w:rFonts w:ascii="Arial" w:cs="Arial" w:eastAsia="Arial" w:hAnsi="Arial"/>
                <w:sz w:val="18"/>
                <w:szCs w:val="18"/>
                <w:color w:val="0000EE"/>
              </w:rPr>
            </w:pPr>
            <w:hyperlink r:id="rId70">
              <w:r>
                <w:rPr>
                  <w:rFonts w:ascii="Arial" w:cs="Arial" w:eastAsia="Arial" w:hAnsi="Arial"/>
                  <w:sz w:val="18"/>
                  <w:szCs w:val="18"/>
                  <w:color w:val="0000EE"/>
                </w:rPr>
                <w:t>dated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Borders>
              <w:top w:val="single" w:sz="8" w:color="auto"/>
              <w:bottom w:val="single" w:sz="8" w:color="CCEEFF"/>
            </w:tcBorders>
            <w:vMerge w:val="continue"/>
            <w:shd w:val="clear" w:color="auto" w:fill="CCEEFF"/>
          </w:tcPr>
          <w:p>
            <w:pPr>
              <w:spacing w:after="0"/>
              <w:rPr>
                <w:sz w:val="15"/>
                <w:szCs w:val="15"/>
                <w:color w:val="auto"/>
              </w:rPr>
            </w:pPr>
          </w:p>
        </w:tc>
        <w:tc>
          <w:tcPr>
            <w:tcW w:w="220" w:type="dxa"/>
            <w:vAlign w:val="bottom"/>
            <w:tcBorders>
              <w:top w:val="single" w:sz="8" w:color="CCEEFF"/>
              <w:bottom w:val="single" w:sz="8" w:color="CCEEFF"/>
              <w:right w:val="single" w:sz="8" w:color="CCEEFF"/>
            </w:tcBorders>
            <w:vMerge w:val="continue"/>
            <w:shd w:val="clear" w:color="auto" w:fill="CCEEFF"/>
          </w:tcPr>
          <w:p>
            <w:pPr>
              <w:spacing w:after="0"/>
              <w:rPr>
                <w:sz w:val="15"/>
                <w:szCs w:val="15"/>
                <w:color w:val="auto"/>
              </w:rPr>
            </w:pPr>
          </w:p>
        </w:tc>
        <w:tc>
          <w:tcPr>
            <w:tcW w:w="7720" w:type="dxa"/>
            <w:vAlign w:val="bottom"/>
            <w:tcBorders>
              <w:top w:val="single" w:sz="8" w:color="0000EE"/>
              <w:bottom w:val="single" w:sz="8" w:color="0000EE"/>
            </w:tcBorders>
            <w:gridSpan w:val="16"/>
            <w:shd w:val="clear" w:color="auto" w:fill="CCEEFF"/>
          </w:tcPr>
          <w:p>
            <w:pPr>
              <w:spacing w:after="0" w:line="182" w:lineRule="exact"/>
              <w:rPr>
                <w:rFonts w:ascii="Arial" w:cs="Arial" w:eastAsia="Arial" w:hAnsi="Arial"/>
                <w:sz w:val="18"/>
                <w:szCs w:val="18"/>
                <w:color w:val="0000EE"/>
              </w:rPr>
            </w:pPr>
            <w:hyperlink r:id="rId70">
              <w:r>
                <w:rPr>
                  <w:rFonts w:ascii="Arial" w:cs="Arial" w:eastAsia="Arial" w:hAnsi="Arial"/>
                  <w:sz w:val="18"/>
                  <w:szCs w:val="18"/>
                  <w:color w:val="0000EE"/>
                </w:rPr>
                <w:t>August 17, 2022 (incorporated herein by reference to Exhibit 10.1 to the Current Report on Form</w:t>
              </w:r>
            </w:hyperlink>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5120" w:type="dxa"/>
            <w:vAlign w:val="bottom"/>
            <w:gridSpan w:val="6"/>
            <w:shd w:val="clear" w:color="auto" w:fill="CCEEFF"/>
          </w:tcPr>
          <w:p>
            <w:pPr>
              <w:spacing w:after="0" w:line="182" w:lineRule="exact"/>
              <w:rPr>
                <w:rFonts w:ascii="Arial" w:cs="Arial" w:eastAsia="Arial" w:hAnsi="Arial"/>
                <w:sz w:val="18"/>
                <w:szCs w:val="18"/>
                <w:color w:val="0000EE"/>
              </w:rPr>
            </w:pPr>
            <w:hyperlink r:id="rId70">
              <w:r>
                <w:rPr>
                  <w:rFonts w:ascii="Arial" w:cs="Arial" w:eastAsia="Arial" w:hAnsi="Arial"/>
                  <w:sz w:val="18"/>
                  <w:szCs w:val="18"/>
                  <w:color w:val="0000EE"/>
                </w:rPr>
                <w:t>8-K dated August 16, 2022 filed on August 19, 2022).</w:t>
              </w:r>
            </w:hyperlink>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tcBorders>
              <w:right w:val="single" w:sz="8" w:color="0000EE"/>
            </w:tcBorders>
            <w:shd w:val="clear" w:color="auto" w:fill="CCEEFF"/>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6"/>
                <w:szCs w:val="16"/>
                <w:color w:val="auto"/>
              </w:rPr>
              <w:t>†</w:t>
            </w:r>
          </w:p>
        </w:tc>
        <w:tc>
          <w:tcPr>
            <w:tcW w:w="5120" w:type="dxa"/>
            <w:vAlign w:val="bottom"/>
            <w:gridSpan w:val="6"/>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Employment  Agreement,  by  and  between  the  Company</w:t>
              </w:r>
            </w:hyperlink>
          </w:p>
        </w:tc>
        <w:tc>
          <w:tcPr>
            <w:tcW w:w="460" w:type="dxa"/>
            <w:vAlign w:val="bottom"/>
            <w:gridSpan w:val="2"/>
          </w:tcPr>
          <w:p>
            <w:pPr>
              <w:ind w:left="120"/>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and</w:t>
              </w:r>
            </w:hyperlink>
          </w:p>
        </w:tc>
        <w:tc>
          <w:tcPr>
            <w:tcW w:w="660" w:type="dxa"/>
            <w:vAlign w:val="bottom"/>
            <w:gridSpan w:val="2"/>
          </w:tcPr>
          <w:p>
            <w:pPr>
              <w:ind w:left="120"/>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Mary</w:t>
              </w:r>
            </w:hyperlink>
          </w:p>
        </w:tc>
        <w:tc>
          <w:tcPr>
            <w:tcW w:w="320" w:type="dxa"/>
            <w:vAlign w:val="bottom"/>
          </w:tcPr>
          <w:p>
            <w:pPr>
              <w:ind w:left="40"/>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N.</w:t>
              </w:r>
            </w:hyperlink>
          </w:p>
        </w:tc>
        <w:tc>
          <w:tcPr>
            <w:tcW w:w="600" w:type="dxa"/>
            <w:vAlign w:val="bottom"/>
            <w:gridSpan w:val="3"/>
          </w:tcPr>
          <w:p>
            <w:pPr>
              <w:ind w:left="60"/>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Dillon,</w:t>
              </w:r>
            </w:hyperlink>
          </w:p>
        </w:tc>
        <w:tc>
          <w:tcPr>
            <w:tcW w:w="720" w:type="dxa"/>
            <w:vAlign w:val="bottom"/>
            <w:gridSpan w:val="10"/>
          </w:tcPr>
          <w:p>
            <w:pPr>
              <w:jc w:val="right"/>
              <w:ind w:right="160"/>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dated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8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71">
              <w:r>
                <w:rPr>
                  <w:rFonts w:ascii="Arial" w:cs="Arial" w:eastAsia="Arial" w:hAnsi="Arial"/>
                  <w:sz w:val="18"/>
                  <w:szCs w:val="18"/>
                  <w:color w:val="0000EE"/>
                </w:rPr>
                <w:t>August 16, 2022 (incorporated herein by reference to Exhibit 10.2 to the Current Report on Form</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71">
              <w:r>
                <w:rPr>
                  <w:rFonts w:ascii="Arial" w:cs="Arial" w:eastAsia="Arial" w:hAnsi="Arial"/>
                  <w:sz w:val="18"/>
                  <w:szCs w:val="18"/>
                  <w:color w:val="0000EE"/>
                </w:rPr>
                <w:t>8-K dated August 16, 2022 filed on August 19, 2022).</w:t>
              </w:r>
            </w:hyperlink>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Borders>
              <w:right w:val="single" w:sz="8" w:color="0000EE"/>
            </w:tcBorders>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right w:val="single" w:sz="8" w:color="CCEEFF"/>
            </w:tcBorders>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6"/>
                <w:szCs w:val="16"/>
                <w:color w:val="auto"/>
              </w:rPr>
              <w:t>†</w:t>
            </w:r>
          </w:p>
        </w:tc>
        <w:tc>
          <w:tcPr>
            <w:tcW w:w="7880" w:type="dxa"/>
            <w:vAlign w:val="bottom"/>
            <w:gridSpan w:val="24"/>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Form of Restricted Stock Unit Inducement Award Agreement, by and between the Company and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Borders>
              <w:top w:val="single" w:sz="8" w:color="CCEEFF"/>
              <w:right w:val="single" w:sz="8" w:color="CCEEFF"/>
            </w:tcBorders>
            <w:gridSpan w:val="2"/>
            <w:vMerge w:val="continue"/>
            <w:shd w:val="clear" w:color="auto" w:fill="CCEEFF"/>
          </w:tcPr>
          <w:p>
            <w:pPr>
              <w:spacing w:after="0"/>
              <w:rPr>
                <w:sz w:val="15"/>
                <w:szCs w:val="15"/>
                <w:color w:val="auto"/>
              </w:rPr>
            </w:pPr>
          </w:p>
        </w:tc>
        <w:tc>
          <w:tcPr>
            <w:tcW w:w="7860" w:type="dxa"/>
            <w:vAlign w:val="bottom"/>
            <w:tcBorders>
              <w:top w:val="single" w:sz="8" w:color="0000EE"/>
            </w:tcBorders>
            <w:gridSpan w:val="23"/>
            <w:shd w:val="clear" w:color="auto" w:fill="CCEEFF"/>
          </w:tcPr>
          <w:p>
            <w:pPr>
              <w:spacing w:after="0" w:line="182" w:lineRule="exact"/>
              <w:rPr>
                <w:rFonts w:ascii="Arial" w:cs="Arial" w:eastAsia="Arial" w:hAnsi="Arial"/>
                <w:sz w:val="18"/>
                <w:szCs w:val="18"/>
                <w:color w:val="0000EE"/>
              </w:rPr>
            </w:pPr>
            <w:hyperlink r:id="rId72">
              <w:r>
                <w:rPr>
                  <w:rFonts w:ascii="Arial" w:cs="Arial" w:eastAsia="Arial" w:hAnsi="Arial"/>
                  <w:sz w:val="18"/>
                  <w:szCs w:val="18"/>
                  <w:color w:val="0000EE"/>
                </w:rPr>
                <w:t>Mary N. Dillon (incorporated herein by reference to Exhibit 99.1 to the Registration Statement on</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5580" w:type="dxa"/>
            <w:vAlign w:val="bottom"/>
            <w:tcBorders>
              <w:top w:val="single" w:sz="8" w:color="0000EE"/>
            </w:tcBorders>
            <w:gridSpan w:val="8"/>
            <w:shd w:val="clear" w:color="auto" w:fill="CCEEFF"/>
          </w:tcPr>
          <w:p>
            <w:pPr>
              <w:spacing w:after="0" w:line="182" w:lineRule="exact"/>
              <w:rPr>
                <w:rFonts w:ascii="Arial" w:cs="Arial" w:eastAsia="Arial" w:hAnsi="Arial"/>
                <w:sz w:val="18"/>
                <w:szCs w:val="18"/>
                <w:color w:val="0000EE"/>
              </w:rPr>
            </w:pPr>
            <w:hyperlink r:id="rId72">
              <w:r>
                <w:rPr>
                  <w:rFonts w:ascii="Arial" w:cs="Arial" w:eastAsia="Arial" w:hAnsi="Arial"/>
                  <w:sz w:val="18"/>
                  <w:szCs w:val="18"/>
                  <w:color w:val="0000EE"/>
                </w:rPr>
                <w:t>Form S-8 (Registration No. 333-267044) filed on August 24, 2022).</w:t>
              </w:r>
            </w:hyperlink>
          </w:p>
        </w:tc>
        <w:tc>
          <w:tcPr>
            <w:tcW w:w="280" w:type="dxa"/>
            <w:vAlign w:val="bottom"/>
            <w:tcBorders>
              <w:top w:val="single" w:sz="8" w:color="0000EE"/>
            </w:tcBorders>
            <w:shd w:val="clear" w:color="auto" w:fill="CCEEFF"/>
          </w:tcPr>
          <w:p>
            <w:pPr>
              <w:spacing w:after="0"/>
              <w:rPr>
                <w:sz w:val="15"/>
                <w:szCs w:val="15"/>
                <w:color w:val="auto"/>
              </w:rPr>
            </w:pPr>
          </w:p>
        </w:tc>
        <w:tc>
          <w:tcPr>
            <w:tcW w:w="380" w:type="dxa"/>
            <w:vAlign w:val="bottom"/>
            <w:tcBorders>
              <w:top w:val="single" w:sz="8" w:color="0000EE"/>
            </w:tcBorders>
            <w:shd w:val="clear" w:color="auto" w:fill="CCEEFF"/>
          </w:tcPr>
          <w:p>
            <w:pPr>
              <w:spacing w:after="0"/>
              <w:rPr>
                <w:sz w:val="15"/>
                <w:szCs w:val="15"/>
                <w:color w:val="auto"/>
              </w:rPr>
            </w:pPr>
          </w:p>
        </w:tc>
        <w:tc>
          <w:tcPr>
            <w:tcW w:w="320" w:type="dxa"/>
            <w:vAlign w:val="bottom"/>
            <w:tcBorders>
              <w:top w:val="single" w:sz="8" w:color="0000EE"/>
            </w:tcBorders>
            <w:shd w:val="clear" w:color="auto" w:fill="CCEEFF"/>
          </w:tcPr>
          <w:p>
            <w:pPr>
              <w:spacing w:after="0"/>
              <w:rPr>
                <w:sz w:val="15"/>
                <w:szCs w:val="15"/>
                <w:color w:val="auto"/>
              </w:rPr>
            </w:pPr>
          </w:p>
        </w:tc>
        <w:tc>
          <w:tcPr>
            <w:tcW w:w="22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34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tcBorders>
              <w:right w:val="single" w:sz="8" w:color="0000EE"/>
            </w:tcBorders>
            <w:shd w:val="clear" w:color="auto" w:fill="CCEEFF"/>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6"/>
                <w:szCs w:val="16"/>
                <w:color w:val="auto"/>
              </w:rPr>
              <w:t>†</w:t>
            </w:r>
          </w:p>
        </w:tc>
        <w:tc>
          <w:tcPr>
            <w:tcW w:w="7880" w:type="dxa"/>
            <w:vAlign w:val="bottom"/>
            <w:gridSpan w:val="24"/>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Form of Performance Stock Unit Inducement Award Agreement (Transformation Award), by and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74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r:id="rId73">
              <w:r>
                <w:rPr>
                  <w:rFonts w:ascii="Arial" w:cs="Arial" w:eastAsia="Arial" w:hAnsi="Arial"/>
                  <w:sz w:val="18"/>
                  <w:szCs w:val="18"/>
                  <w:color w:val="0000EE"/>
                  <w:w w:val="99"/>
                </w:rPr>
                <w:t>between the Company and Mary N. Dillon (incorporated herein by reference to Exhibit 99.2 to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73">
              <w:r>
                <w:rPr>
                  <w:rFonts w:ascii="Arial" w:cs="Arial" w:eastAsia="Arial" w:hAnsi="Arial"/>
                  <w:sz w:val="18"/>
                  <w:szCs w:val="18"/>
                  <w:color w:val="0000EE"/>
                  <w:w w:val="99"/>
                </w:rPr>
                <w:t>Registration Statement on Form S-8 (Registration No. 333-267044) filed on August 24, 2022).</w:t>
              </w:r>
            </w:hyperlink>
          </w:p>
        </w:tc>
        <w:tc>
          <w:tcPr>
            <w:tcW w:w="400" w:type="dxa"/>
            <w:vAlign w:val="bottom"/>
            <w:gridSpan w:val="7"/>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right w:val="single" w:sz="8" w:color="CCEEFF"/>
            </w:tcBorders>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6"/>
                <w:szCs w:val="16"/>
                <w:color w:val="auto"/>
              </w:rPr>
              <w:t>†</w:t>
            </w:r>
          </w:p>
        </w:tc>
        <w:tc>
          <w:tcPr>
            <w:tcW w:w="7880" w:type="dxa"/>
            <w:vAlign w:val="bottom"/>
            <w:gridSpan w:val="24"/>
            <w:shd w:val="clear" w:color="auto" w:fill="CCEEFF"/>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Form of Nonstatutory Stock Option Inducement Award Agreement (Annual Award), by and</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tcBorders>
              <w:top w:val="single" w:sz="8" w:color="CCEEFF"/>
              <w:bottom w:val="single" w:sz="8" w:color="CCEEFF"/>
              <w:right w:val="single" w:sz="8" w:color="CCEEFF"/>
            </w:tcBorders>
            <w:gridSpan w:val="2"/>
            <w:vMerge w:val="continue"/>
            <w:shd w:val="clear" w:color="auto" w:fill="CCEEFF"/>
          </w:tcPr>
          <w:p>
            <w:pPr>
              <w:spacing w:after="0"/>
              <w:rPr>
                <w:sz w:val="15"/>
                <w:szCs w:val="15"/>
                <w:color w:val="auto"/>
              </w:rPr>
            </w:pPr>
          </w:p>
        </w:tc>
        <w:tc>
          <w:tcPr>
            <w:tcW w:w="7780" w:type="dxa"/>
            <w:vAlign w:val="bottom"/>
            <w:tcBorders>
              <w:top w:val="single" w:sz="8" w:color="0000EE"/>
              <w:bottom w:val="single" w:sz="8" w:color="0000EE"/>
            </w:tcBorders>
            <w:gridSpan w:val="19"/>
            <w:shd w:val="clear" w:color="auto" w:fill="CCEEFF"/>
          </w:tcPr>
          <w:p>
            <w:pPr>
              <w:spacing w:after="0" w:line="182" w:lineRule="exact"/>
              <w:rPr>
                <w:rFonts w:ascii="Arial" w:cs="Arial" w:eastAsia="Arial" w:hAnsi="Arial"/>
                <w:sz w:val="18"/>
                <w:szCs w:val="18"/>
                <w:color w:val="0000EE"/>
              </w:rPr>
            </w:pPr>
            <w:hyperlink r:id="rId74">
              <w:r>
                <w:rPr>
                  <w:rFonts w:ascii="Arial" w:cs="Arial" w:eastAsia="Arial" w:hAnsi="Arial"/>
                  <w:sz w:val="18"/>
                  <w:szCs w:val="18"/>
                  <w:color w:val="0000EE"/>
                </w:rPr>
                <w:t>between the Company and Mary N. Dillon (incorporated herein by reference to Exhibit 99.3 to the</w:t>
              </w:r>
            </w:hyperlink>
          </w:p>
        </w:tc>
        <w:tc>
          <w:tcPr>
            <w:tcW w:w="40" w:type="dxa"/>
            <w:vAlign w:val="bottom"/>
            <w:tcBorders>
              <w:top w:val="single" w:sz="8" w:color="CCEEFF"/>
              <w:bottom w:val="single" w:sz="8" w:color="0000EE"/>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7440" w:type="dxa"/>
            <w:vAlign w:val="bottom"/>
            <w:tcBorders>
              <w:bottom w:val="single" w:sz="8" w:color="0000EE"/>
            </w:tcBorders>
            <w:gridSpan w:val="15"/>
            <w:shd w:val="clear" w:color="auto" w:fill="CCEEFF"/>
          </w:tcPr>
          <w:p>
            <w:pPr>
              <w:spacing w:after="0" w:line="182" w:lineRule="exact"/>
              <w:rPr>
                <w:rFonts w:ascii="Arial" w:cs="Arial" w:eastAsia="Arial" w:hAnsi="Arial"/>
                <w:sz w:val="18"/>
                <w:szCs w:val="18"/>
                <w:color w:val="0000EE"/>
                <w:w w:val="99"/>
              </w:rPr>
            </w:pPr>
            <w:hyperlink r:id="rId74">
              <w:r>
                <w:rPr>
                  <w:rFonts w:ascii="Arial" w:cs="Arial" w:eastAsia="Arial" w:hAnsi="Arial"/>
                  <w:sz w:val="18"/>
                  <w:szCs w:val="18"/>
                  <w:color w:val="0000EE"/>
                  <w:w w:val="99"/>
                </w:rPr>
                <w:t>Registration Statement on Form S-8 (Registration No. 333-267044) filed on August 24, 2022).</w:t>
              </w:r>
            </w:hyperlink>
          </w:p>
        </w:tc>
        <w:tc>
          <w:tcPr>
            <w:tcW w:w="400" w:type="dxa"/>
            <w:vAlign w:val="bottom"/>
            <w:tcBorders>
              <w:bottom w:val="single" w:sz="8" w:color="CCEEFF"/>
            </w:tcBorders>
            <w:gridSpan w:val="7"/>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6"/>
                <w:szCs w:val="16"/>
                <w:color w:val="auto"/>
              </w:rPr>
              <w:t>†</w:t>
            </w:r>
          </w:p>
        </w:tc>
        <w:tc>
          <w:tcPr>
            <w:tcW w:w="7880" w:type="dxa"/>
            <w:vAlign w:val="bottom"/>
            <w:gridSpan w:val="24"/>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Form of Restricted Stock Unit Inducement Award Agreement (Annual Award), by and between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7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the Company and Mary N. Dillon (incorporated herein by reference to Exhibit 99.4 to the</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75">
              <w:r>
                <w:rPr>
                  <w:rFonts w:ascii="Arial" w:cs="Arial" w:eastAsia="Arial" w:hAnsi="Arial"/>
                  <w:sz w:val="18"/>
                  <w:szCs w:val="18"/>
                  <w:color w:val="0000EE"/>
                  <w:w w:val="99"/>
                </w:rPr>
                <w:t>Registration Statement on Form S-8 (Registration No. 333-267044) filed on August 24, 2022).</w:t>
              </w:r>
            </w:hyperlink>
          </w:p>
        </w:tc>
        <w:tc>
          <w:tcPr>
            <w:tcW w:w="38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Borders>
              <w:right w:val="single" w:sz="8" w:color="CCEEFF"/>
            </w:tcBorders>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6"/>
                <w:szCs w:val="16"/>
                <w:color w:val="auto"/>
              </w:rPr>
              <w:t>†</w:t>
            </w:r>
          </w:p>
        </w:tc>
        <w:tc>
          <w:tcPr>
            <w:tcW w:w="7880" w:type="dxa"/>
            <w:vAlign w:val="bottom"/>
            <w:gridSpan w:val="24"/>
            <w:shd w:val="clear" w:color="auto" w:fill="CCEEFF"/>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Form of Performance Stock Unit Inducement Award Agreement (Annual Award), by and between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Borders>
              <w:top w:val="single" w:sz="8" w:color="CCEEFF"/>
              <w:right w:val="single" w:sz="8" w:color="CCEEFF"/>
            </w:tcBorders>
            <w:gridSpan w:val="2"/>
            <w:vMerge w:val="continue"/>
            <w:shd w:val="clear" w:color="auto" w:fill="CCEEFF"/>
          </w:tcPr>
          <w:p>
            <w:pPr>
              <w:spacing w:after="0"/>
              <w:rPr>
                <w:sz w:val="15"/>
                <w:szCs w:val="15"/>
                <w:color w:val="auto"/>
              </w:rPr>
            </w:pPr>
          </w:p>
        </w:tc>
        <w:tc>
          <w:tcPr>
            <w:tcW w:w="7840" w:type="dxa"/>
            <w:vAlign w:val="bottom"/>
            <w:tcBorders>
              <w:top w:val="single" w:sz="8" w:color="0000EE"/>
            </w:tcBorders>
            <w:gridSpan w:val="22"/>
            <w:shd w:val="clear" w:color="auto" w:fill="CCEEFF"/>
          </w:tcPr>
          <w:p>
            <w:pPr>
              <w:spacing w:after="0" w:line="182" w:lineRule="exact"/>
              <w:rPr>
                <w:rFonts w:ascii="Arial" w:cs="Arial" w:eastAsia="Arial" w:hAnsi="Arial"/>
                <w:sz w:val="18"/>
                <w:szCs w:val="18"/>
                <w:color w:val="0000EE"/>
              </w:rPr>
            </w:pPr>
            <w:hyperlink r:id="rId76">
              <w:r>
                <w:rPr>
                  <w:rFonts w:ascii="Arial" w:cs="Arial" w:eastAsia="Arial" w:hAnsi="Arial"/>
                  <w:sz w:val="18"/>
                  <w:szCs w:val="18"/>
                  <w:color w:val="0000EE"/>
                </w:rPr>
                <w:t>the Company and Mary N. Dillon (incorporated herein by reference to Exhibit 99.5 to the</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7440" w:type="dxa"/>
            <w:vAlign w:val="bottom"/>
            <w:tcBorders>
              <w:top w:val="single" w:sz="8" w:color="0000EE"/>
              <w:bottom w:val="single" w:sz="8" w:color="0000EE"/>
            </w:tcBorders>
            <w:gridSpan w:val="15"/>
            <w:shd w:val="clear" w:color="auto" w:fill="CCEEFF"/>
          </w:tcPr>
          <w:p>
            <w:pPr>
              <w:spacing w:after="0" w:line="182" w:lineRule="exact"/>
              <w:rPr>
                <w:rFonts w:ascii="Arial" w:cs="Arial" w:eastAsia="Arial" w:hAnsi="Arial"/>
                <w:sz w:val="18"/>
                <w:szCs w:val="18"/>
                <w:color w:val="0000EE"/>
                <w:w w:val="99"/>
              </w:rPr>
            </w:pPr>
            <w:hyperlink r:id="rId76">
              <w:r>
                <w:rPr>
                  <w:rFonts w:ascii="Arial" w:cs="Arial" w:eastAsia="Arial" w:hAnsi="Arial"/>
                  <w:sz w:val="18"/>
                  <w:szCs w:val="18"/>
                  <w:color w:val="0000EE"/>
                  <w:w w:val="99"/>
                </w:rPr>
                <w:t>Registration Statement on Form S-8 (Registration No. 333-267044) filed on August 24, 2022).</w:t>
              </w:r>
            </w:hyperlink>
          </w:p>
        </w:tc>
        <w:tc>
          <w:tcPr>
            <w:tcW w:w="380" w:type="dxa"/>
            <w:vAlign w:val="bottom"/>
            <w:tcBorders>
              <w:top w:val="single" w:sz="8" w:color="0000EE"/>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6"/>
                <w:szCs w:val="16"/>
                <w:color w:val="auto"/>
              </w:rPr>
              <w:t>†</w:t>
            </w:r>
          </w:p>
        </w:tc>
        <w:tc>
          <w:tcPr>
            <w:tcW w:w="7880" w:type="dxa"/>
            <w:vAlign w:val="bottom"/>
            <w:gridSpan w:val="24"/>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Letter Agreement, by and between the Company and W. Scott Martin, dated July 11, 2022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7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77">
              <w:r>
                <w:rPr>
                  <w:rFonts w:ascii="Arial" w:cs="Arial" w:eastAsia="Arial" w:hAnsi="Arial"/>
                  <w:sz w:val="18"/>
                  <w:szCs w:val="18"/>
                  <w:color w:val="0000EE"/>
                </w:rPr>
                <w:t>(incorporated herein by reference to Exhibit 99.1 to the Current Report on Form 8-K dated</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77">
              <w:r>
                <w:rPr>
                  <w:rFonts w:ascii="Arial" w:cs="Arial" w:eastAsia="Arial" w:hAnsi="Arial"/>
                  <w:sz w:val="18"/>
                  <w:szCs w:val="18"/>
                  <w:color w:val="0000EE"/>
                </w:rPr>
                <w:t>July 11, 2022 filed on July 15, 2022).</w:t>
              </w:r>
            </w:hyperlink>
          </w:p>
        </w:tc>
        <w:tc>
          <w:tcPr>
            <w:tcW w:w="1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15*</w:t>
            </w:r>
          </w:p>
        </w:tc>
        <w:tc>
          <w:tcPr>
            <w:tcW w:w="220" w:type="dxa"/>
            <w:vAlign w:val="bottom"/>
            <w:tcBorders>
              <w:right w:val="single" w:sz="8" w:color="CCEEFF"/>
            </w:tcBorders>
            <w:shd w:val="clear" w:color="auto" w:fill="CCEEFF"/>
          </w:tcPr>
          <w:p>
            <w:pPr>
              <w:spacing w:after="0"/>
              <w:rPr>
                <w:sz w:val="15"/>
                <w:szCs w:val="15"/>
                <w:color w:val="auto"/>
              </w:rPr>
            </w:pPr>
          </w:p>
        </w:tc>
        <w:tc>
          <w:tcPr>
            <w:tcW w:w="2900" w:type="dxa"/>
            <w:vAlign w:val="bottom"/>
            <w:tcBorders>
              <w:top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Accountants’ Acknowledgement.</w:t>
            </w:r>
          </w:p>
        </w:tc>
        <w:tc>
          <w:tcPr>
            <w:tcW w:w="2220" w:type="dxa"/>
            <w:vAlign w:val="bottom"/>
            <w:gridSpan w:val="4"/>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tcBorders>
              <w:right w:val="single" w:sz="8" w:color="0000EE"/>
            </w:tcBorders>
            <w:shd w:val="clear" w:color="auto" w:fill="CCEEFF"/>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31.1*</w:t>
            </w:r>
          </w:p>
        </w:tc>
        <w:tc>
          <w:tcPr>
            <w:tcW w:w="220" w:type="dxa"/>
            <w:vAlign w:val="bottom"/>
          </w:tcPr>
          <w:p>
            <w:pPr>
              <w:spacing w:after="0"/>
              <w:rPr>
                <w:sz w:val="15"/>
                <w:szCs w:val="15"/>
                <w:color w:val="auto"/>
              </w:rPr>
            </w:pPr>
          </w:p>
        </w:tc>
        <w:tc>
          <w:tcPr>
            <w:tcW w:w="7880" w:type="dxa"/>
            <w:vAlign w:val="bottom"/>
            <w:gridSpan w:val="24"/>
          </w:tcPr>
          <w:p>
            <w:pPr>
              <w:spacing w:after="0" w:line="176" w:lineRule="exact"/>
              <w:rPr>
                <w:sz w:val="20"/>
                <w:szCs w:val="20"/>
                <w:color w:val="auto"/>
              </w:rPr>
            </w:pPr>
            <w:r>
              <w:rPr>
                <w:rFonts w:ascii="Arial" w:cs="Arial" w:eastAsia="Arial" w:hAnsi="Arial"/>
                <w:sz w:val="18"/>
                <w:szCs w:val="18"/>
                <w:color w:val="0000EE"/>
              </w:rPr>
              <w:t>Certification of Chief Executive Officer Pursuant to Rule 13a-14(a) or 15d-14(a), as adopted</w:t>
            </w: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740" w:type="dxa"/>
            <w:vAlign w:val="bottom"/>
            <w:tcBorders>
              <w:top w:val="single" w:sz="8" w:color="0000EE"/>
            </w:tcBorders>
            <w:gridSpan w:val="5"/>
            <w:vMerge w:val="restart"/>
          </w:tcPr>
          <w:p>
            <w:pPr>
              <w:spacing w:after="0" w:line="182" w:lineRule="exact"/>
              <w:rPr>
                <w:sz w:val="20"/>
                <w:szCs w:val="20"/>
                <w:color w:val="auto"/>
              </w:rPr>
            </w:pPr>
            <w:r>
              <w:rPr>
                <w:rFonts w:ascii="Arial" w:cs="Arial" w:eastAsia="Arial" w:hAnsi="Arial"/>
                <w:sz w:val="18"/>
                <w:szCs w:val="18"/>
                <w:color w:val="0000EE"/>
                <w:w w:val="99"/>
              </w:rPr>
              <w:t>pursuant to Section 302 of the Sarbanes-Oxley Act of 2002.</w:t>
            </w:r>
          </w:p>
        </w:tc>
        <w:tc>
          <w:tcPr>
            <w:tcW w:w="380" w:type="dxa"/>
            <w:vAlign w:val="bottom"/>
            <w:tcBorders>
              <w:top w:val="single" w:sz="8" w:color="0000EE"/>
            </w:tcBorders>
            <w:vMerge w:val="restart"/>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740" w:type="dxa"/>
            <w:vAlign w:val="bottom"/>
            <w:tcBorders>
              <w:bottom w:val="single" w:sz="8" w:color="0000EE"/>
            </w:tcBorders>
            <w:gridSpan w:val="5"/>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31.2*</w:t>
            </w:r>
          </w:p>
        </w:tc>
        <w:tc>
          <w:tcPr>
            <w:tcW w:w="220" w:type="dxa"/>
            <w:vAlign w:val="bottom"/>
            <w:tcBorders>
              <w:right w:val="single" w:sz="8" w:color="CCEEFF"/>
            </w:tcBorders>
            <w:shd w:val="clear" w:color="auto" w:fill="CCEEFF"/>
          </w:tcPr>
          <w:p>
            <w:pPr>
              <w:spacing w:after="0"/>
              <w:rPr>
                <w:sz w:val="15"/>
                <w:szCs w:val="15"/>
                <w:color w:val="auto"/>
              </w:rPr>
            </w:pPr>
          </w:p>
        </w:tc>
        <w:tc>
          <w:tcPr>
            <w:tcW w:w="55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Financial Officer Pursuant to Rule 13a-14(a)</w:t>
            </w:r>
          </w:p>
        </w:tc>
        <w:tc>
          <w:tcPr>
            <w:tcW w:w="2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0000EE"/>
              </w:rPr>
              <w:t>or</w:t>
            </w:r>
          </w:p>
        </w:tc>
        <w:tc>
          <w:tcPr>
            <w:tcW w:w="9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15d-14(a),</w:t>
            </w:r>
          </w:p>
        </w:tc>
        <w:tc>
          <w:tcPr>
            <w:tcW w:w="1100" w:type="dxa"/>
            <w:vAlign w:val="bottom"/>
            <w:gridSpan w:val="12"/>
            <w:shd w:val="clear" w:color="auto" w:fill="CCEEFF"/>
          </w:tcPr>
          <w:p>
            <w:pPr>
              <w:jc w:val="right"/>
              <w:ind w:right="160"/>
              <w:spacing w:after="0" w:line="176" w:lineRule="exact"/>
              <w:rPr>
                <w:sz w:val="20"/>
                <w:szCs w:val="20"/>
                <w:color w:val="auto"/>
              </w:rPr>
            </w:pPr>
            <w:r>
              <w:rPr>
                <w:rFonts w:ascii="Arial" w:cs="Arial" w:eastAsia="Arial" w:hAnsi="Arial"/>
                <w:sz w:val="18"/>
                <w:szCs w:val="18"/>
                <w:color w:val="0000EE"/>
              </w:rPr>
              <w:t>as adopted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Borders>
              <w:top w:val="single" w:sz="8" w:color="CCEEFF"/>
            </w:tcBorders>
            <w:vMerge w:val="continue"/>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4740" w:type="dxa"/>
            <w:vAlign w:val="bottom"/>
            <w:tcBorders>
              <w:top w:val="single" w:sz="8" w:color="0000EE"/>
            </w:tcBorders>
            <w:gridSpan w:val="5"/>
            <w:vMerge w:val="restart"/>
            <w:shd w:val="clear" w:color="auto" w:fill="CCEEFF"/>
          </w:tcPr>
          <w:p>
            <w:pPr>
              <w:spacing w:after="0" w:line="182" w:lineRule="exact"/>
              <w:rPr>
                <w:sz w:val="20"/>
                <w:szCs w:val="20"/>
                <w:color w:val="auto"/>
              </w:rPr>
            </w:pPr>
            <w:r>
              <w:rPr>
                <w:rFonts w:ascii="Arial" w:cs="Arial" w:eastAsia="Arial" w:hAnsi="Arial"/>
                <w:sz w:val="18"/>
                <w:szCs w:val="18"/>
                <w:color w:val="0000EE"/>
                <w:w w:val="99"/>
              </w:rPr>
              <w:t>pursuant to Section 302 of the Sarbanes-Oxley Act of 2002.</w:t>
            </w:r>
          </w:p>
        </w:tc>
        <w:tc>
          <w:tcPr>
            <w:tcW w:w="380" w:type="dxa"/>
            <w:vAlign w:val="bottom"/>
            <w:tcBorders>
              <w:top w:val="single" w:sz="8" w:color="0000EE"/>
            </w:tcBorders>
            <w:vMerge w:val="restart"/>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32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340" w:type="dxa"/>
            <w:vAlign w:val="bottom"/>
            <w:tcBorders>
              <w:top w:val="single" w:sz="8" w:color="0000EE"/>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2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right w:val="single" w:sz="8" w:color="CCEEFF"/>
            </w:tcBorders>
            <w:shd w:val="clear" w:color="auto" w:fill="CCEEFF"/>
          </w:tcPr>
          <w:p>
            <w:pPr>
              <w:spacing w:after="0"/>
              <w:rPr>
                <w:sz w:val="6"/>
                <w:szCs w:val="6"/>
                <w:color w:val="auto"/>
              </w:rPr>
            </w:pPr>
          </w:p>
        </w:tc>
        <w:tc>
          <w:tcPr>
            <w:tcW w:w="4740" w:type="dxa"/>
            <w:vAlign w:val="bottom"/>
            <w:tcBorders>
              <w:bottom w:val="single" w:sz="8" w:color="0000EE"/>
            </w:tcBorders>
            <w:gridSpan w:val="5"/>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9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32**</w:t>
            </w:r>
          </w:p>
        </w:tc>
        <w:tc>
          <w:tcPr>
            <w:tcW w:w="220" w:type="dxa"/>
            <w:vAlign w:val="bottom"/>
          </w:tcPr>
          <w:p>
            <w:pPr>
              <w:spacing w:after="0"/>
              <w:rPr>
                <w:sz w:val="15"/>
                <w:szCs w:val="15"/>
                <w:color w:val="auto"/>
              </w:rPr>
            </w:pPr>
          </w:p>
        </w:tc>
        <w:tc>
          <w:tcPr>
            <w:tcW w:w="5120" w:type="dxa"/>
            <w:vAlign w:val="bottom"/>
            <w:gridSpan w:val="6"/>
          </w:tcPr>
          <w:p>
            <w:pPr>
              <w:spacing w:after="0" w:line="176" w:lineRule="exact"/>
              <w:rPr>
                <w:sz w:val="20"/>
                <w:szCs w:val="20"/>
                <w:color w:val="auto"/>
              </w:rPr>
            </w:pPr>
            <w:r>
              <w:rPr>
                <w:rFonts w:ascii="Arial" w:cs="Arial" w:eastAsia="Arial" w:hAnsi="Arial"/>
                <w:sz w:val="18"/>
                <w:szCs w:val="18"/>
                <w:color w:val="0000EE"/>
              </w:rPr>
              <w:t>Certification of Chief Executive Officer and Chief Financial</w:t>
            </w:r>
          </w:p>
        </w:tc>
        <w:tc>
          <w:tcPr>
            <w:tcW w:w="1440" w:type="dxa"/>
            <w:vAlign w:val="bottom"/>
            <w:gridSpan w:val="5"/>
          </w:tcPr>
          <w:p>
            <w:pPr>
              <w:ind w:left="20"/>
              <w:spacing w:after="0" w:line="176" w:lineRule="exact"/>
              <w:rPr>
                <w:sz w:val="20"/>
                <w:szCs w:val="20"/>
                <w:color w:val="auto"/>
              </w:rPr>
            </w:pPr>
            <w:r>
              <w:rPr>
                <w:rFonts w:ascii="Arial" w:cs="Arial" w:eastAsia="Arial" w:hAnsi="Arial"/>
                <w:sz w:val="18"/>
                <w:szCs w:val="18"/>
                <w:color w:val="0000EE"/>
              </w:rPr>
              <w:t>Officer Pursuant</w:t>
            </w:r>
          </w:p>
        </w:tc>
        <w:tc>
          <w:tcPr>
            <w:tcW w:w="220" w:type="dxa"/>
            <w:vAlign w:val="bottom"/>
          </w:tcPr>
          <w:p>
            <w:pPr>
              <w:ind w:left="60"/>
              <w:spacing w:after="0" w:line="176" w:lineRule="exact"/>
              <w:rPr>
                <w:sz w:val="20"/>
                <w:szCs w:val="20"/>
                <w:color w:val="auto"/>
              </w:rPr>
            </w:pPr>
            <w:r>
              <w:rPr>
                <w:rFonts w:ascii="Arial" w:cs="Arial" w:eastAsia="Arial" w:hAnsi="Arial"/>
                <w:sz w:val="18"/>
                <w:szCs w:val="18"/>
                <w:color w:val="0000EE"/>
                <w:w w:val="92"/>
              </w:rPr>
              <w:t>to</w:t>
            </w:r>
          </w:p>
        </w:tc>
        <w:tc>
          <w:tcPr>
            <w:tcW w:w="3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rPr>
              <w:t>18</w:t>
            </w:r>
          </w:p>
        </w:tc>
        <w:tc>
          <w:tcPr>
            <w:tcW w:w="720" w:type="dxa"/>
            <w:vAlign w:val="bottom"/>
            <w:gridSpan w:val="10"/>
          </w:tcPr>
          <w:p>
            <w:pPr>
              <w:jc w:val="right"/>
              <w:ind w:right="160"/>
              <w:spacing w:after="0" w:line="176" w:lineRule="exact"/>
              <w:rPr>
                <w:sz w:val="20"/>
                <w:szCs w:val="20"/>
                <w:color w:val="auto"/>
              </w:rPr>
            </w:pPr>
            <w:r>
              <w:rPr>
                <w:rFonts w:ascii="Arial" w:cs="Arial" w:eastAsia="Arial" w:hAnsi="Arial"/>
                <w:sz w:val="18"/>
                <w:szCs w:val="18"/>
                <w:color w:val="0000EE"/>
              </w:rPr>
              <w:t>U.S.C.</w:t>
            </w:r>
          </w:p>
        </w:tc>
        <w:tc>
          <w:tcPr>
            <w:tcW w:w="0" w:type="dxa"/>
            <w:vAlign w:val="bottom"/>
          </w:tcPr>
          <w:p>
            <w:pPr>
              <w:spacing w:after="0"/>
              <w:rPr>
                <w:sz w:val="1"/>
                <w:szCs w:val="1"/>
                <w:color w:val="auto"/>
              </w:rPr>
            </w:pPr>
          </w:p>
        </w:tc>
      </w:tr>
      <w:tr>
        <w:trPr>
          <w:trHeight w:val="119"/>
        </w:trPr>
        <w:tc>
          <w:tcPr>
            <w:tcW w:w="9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160" w:type="dxa"/>
            <w:vAlign w:val="bottom"/>
            <w:tcBorders>
              <w:top w:val="single" w:sz="8" w:color="0000EE"/>
            </w:tcBorders>
            <w:gridSpan w:val="14"/>
            <w:vMerge w:val="restart"/>
          </w:tcPr>
          <w:p>
            <w:pPr>
              <w:spacing w:after="0" w:line="182" w:lineRule="exact"/>
              <w:rPr>
                <w:sz w:val="20"/>
                <w:szCs w:val="20"/>
                <w:color w:val="auto"/>
              </w:rPr>
            </w:pPr>
            <w:r>
              <w:rPr>
                <w:rFonts w:ascii="Arial" w:cs="Arial" w:eastAsia="Arial" w:hAnsi="Arial"/>
                <w:sz w:val="18"/>
                <w:szCs w:val="18"/>
                <w:color w:val="0000EE"/>
              </w:rPr>
              <w:t>Section 1350, as adopted pursuant to Section 906 of the Sarbanes-Oxley Act of 2002.</w:t>
            </w:r>
          </w:p>
        </w:tc>
        <w:tc>
          <w:tcPr>
            <w:tcW w:w="28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60" w:type="dxa"/>
            <w:vAlign w:val="bottom"/>
            <w:gridSpan w:val="14"/>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99*</w:t>
            </w: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4640" w:type="dxa"/>
            <w:vAlign w:val="bottom"/>
            <w:tcBorders>
              <w:top w:val="single" w:sz="8" w:color="0000EE"/>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9"/>
              </w:rPr>
              <w:t>Report of Independent Registered Public Accounting Firm.</w:t>
            </w:r>
          </w:p>
        </w:tc>
        <w:tc>
          <w:tcPr>
            <w:tcW w:w="480" w:type="dxa"/>
            <w:vAlign w:val="bottom"/>
            <w:tcBorders>
              <w:top w:val="single" w:sz="8" w:color="0000EE"/>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0000EE"/>
              <w:bottom w:val="single" w:sz="8" w:color="CCEEFF"/>
            </w:tcBorders>
            <w:shd w:val="clear" w:color="auto" w:fill="CCEEFF"/>
          </w:tcPr>
          <w:p>
            <w:pPr>
              <w:spacing w:after="0"/>
              <w:rPr>
                <w:sz w:val="15"/>
                <w:szCs w:val="15"/>
                <w:color w:val="auto"/>
              </w:rPr>
            </w:pPr>
          </w:p>
        </w:tc>
        <w:tc>
          <w:tcPr>
            <w:tcW w:w="280" w:type="dxa"/>
            <w:vAlign w:val="bottom"/>
            <w:tcBorders>
              <w:top w:val="single" w:sz="8" w:color="0000EE"/>
              <w:bottom w:val="single" w:sz="8" w:color="CCEEFF"/>
            </w:tcBorders>
            <w:shd w:val="clear" w:color="auto" w:fill="CCEEFF"/>
          </w:tcPr>
          <w:p>
            <w:pPr>
              <w:spacing w:after="0"/>
              <w:rPr>
                <w:sz w:val="15"/>
                <w:szCs w:val="15"/>
                <w:color w:val="auto"/>
              </w:rPr>
            </w:pPr>
          </w:p>
        </w:tc>
        <w:tc>
          <w:tcPr>
            <w:tcW w:w="280" w:type="dxa"/>
            <w:vAlign w:val="bottom"/>
            <w:tcBorders>
              <w:top w:val="single" w:sz="8" w:color="0000EE"/>
              <w:bottom w:val="single" w:sz="8" w:color="CCEEFF"/>
            </w:tcBorders>
            <w:shd w:val="clear" w:color="auto" w:fill="CCEEFF"/>
          </w:tcPr>
          <w:p>
            <w:pPr>
              <w:spacing w:after="0"/>
              <w:rPr>
                <w:sz w:val="15"/>
                <w:szCs w:val="15"/>
                <w:color w:val="auto"/>
              </w:rPr>
            </w:pPr>
          </w:p>
        </w:tc>
        <w:tc>
          <w:tcPr>
            <w:tcW w:w="380" w:type="dxa"/>
            <w:vAlign w:val="bottom"/>
            <w:tcBorders>
              <w:top w:val="single" w:sz="8" w:color="0000EE"/>
              <w:bottom w:val="single" w:sz="8" w:color="CCEEFF"/>
            </w:tcBorders>
            <w:shd w:val="clear" w:color="auto" w:fill="CCEEFF"/>
          </w:tcPr>
          <w:p>
            <w:pPr>
              <w:spacing w:after="0"/>
              <w:rPr>
                <w:sz w:val="15"/>
                <w:szCs w:val="15"/>
                <w:color w:val="auto"/>
              </w:rPr>
            </w:pPr>
          </w:p>
        </w:tc>
        <w:tc>
          <w:tcPr>
            <w:tcW w:w="32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40" w:type="dxa"/>
            <w:vAlign w:val="bottom"/>
            <w:tcBorders>
              <w:top w:val="single" w:sz="8" w:color="0000EE"/>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101.INS*</w:t>
            </w:r>
          </w:p>
        </w:tc>
        <w:tc>
          <w:tcPr>
            <w:tcW w:w="5120" w:type="dxa"/>
            <w:vAlign w:val="bottom"/>
            <w:gridSpan w:val="6"/>
          </w:tcPr>
          <w:p>
            <w:pPr>
              <w:spacing w:after="0" w:line="202" w:lineRule="exact"/>
              <w:rPr>
                <w:sz w:val="20"/>
                <w:szCs w:val="20"/>
                <w:color w:val="auto"/>
              </w:rPr>
            </w:pPr>
            <w:r>
              <w:rPr>
                <w:rFonts w:ascii="Arial" w:cs="Arial" w:eastAsia="Arial" w:hAnsi="Arial"/>
                <w:sz w:val="18"/>
                <w:szCs w:val="18"/>
                <w:color w:val="auto"/>
              </w:rPr>
              <w:t>Inline XBRL Instance Document.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right w:val="single" w:sz="8" w:color="CCEEFF"/>
            </w:tcBorders>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101.SCH*</w:t>
            </w:r>
          </w:p>
        </w:tc>
        <w:tc>
          <w:tcPr>
            <w:tcW w:w="512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Inline XBRL Taxonomy Extension Schema.</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101.CAL*</w:t>
            </w:r>
          </w:p>
        </w:tc>
        <w:tc>
          <w:tcPr>
            <w:tcW w:w="5120" w:type="dxa"/>
            <w:vAlign w:val="bottom"/>
            <w:gridSpan w:val="6"/>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right w:val="single" w:sz="8" w:color="CCEEFF"/>
            </w:tcBorders>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9"/>
              </w:rPr>
              <w:t>101.DEF*</w:t>
            </w:r>
          </w:p>
        </w:tc>
        <w:tc>
          <w:tcPr>
            <w:tcW w:w="512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101.LAB*</w:t>
            </w:r>
          </w:p>
        </w:tc>
        <w:tc>
          <w:tcPr>
            <w:tcW w:w="5120" w:type="dxa"/>
            <w:vAlign w:val="bottom"/>
            <w:gridSpan w:val="6"/>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right w:val="single" w:sz="8" w:color="CCEEFF"/>
            </w:tcBorders>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8"/>
              </w:rPr>
              <w:t>101.PRE*</w:t>
            </w:r>
          </w:p>
        </w:tc>
        <w:tc>
          <w:tcPr>
            <w:tcW w:w="512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Inline XBRL Taxonomy Extension Presentation Linkbase.</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6240" w:type="dxa"/>
            <w:vAlign w:val="bottom"/>
            <w:tcBorders>
              <w:bottom w:val="single" w:sz="8" w:color="auto"/>
            </w:tcBorders>
            <w:gridSpan w:val="10"/>
          </w:tcPr>
          <w:p>
            <w:pPr>
              <w:spacing w:after="0" w:line="202" w:lineRule="exact"/>
              <w:rPr>
                <w:sz w:val="20"/>
                <w:szCs w:val="20"/>
                <w:color w:val="auto"/>
              </w:rPr>
            </w:pPr>
            <w:r>
              <w:rPr>
                <w:rFonts w:ascii="Arial" w:cs="Arial" w:eastAsia="Arial" w:hAnsi="Arial"/>
                <w:sz w:val="18"/>
                <w:szCs w:val="18"/>
                <w:color w:val="auto"/>
              </w:rPr>
              <w:t>Cover Page Interactive Data File (embedded within the Inline XBRL datafile).</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right="4919" w:hanging="10"/>
        <w:spacing w:after="0" w:line="244" w:lineRule="auto"/>
        <w:tabs>
          <w:tab w:leader="none" w:pos="270" w:val="left"/>
        </w:tabs>
        <w:numPr>
          <w:ilvl w:val="0"/>
          <w:numId w:val="11"/>
        </w:numPr>
        <w:rPr>
          <w:rFonts w:ascii="Arial" w:cs="Arial" w:eastAsia="Arial" w:hAnsi="Arial"/>
          <w:sz w:val="16"/>
          <w:szCs w:val="16"/>
          <w:color w:val="auto"/>
        </w:rPr>
      </w:pPr>
      <w:r>
        <w:rPr>
          <w:rFonts w:ascii="Arial" w:cs="Arial" w:eastAsia="Arial" w:hAnsi="Arial"/>
          <w:sz w:val="14"/>
          <w:szCs w:val="14"/>
          <w:color w:val="auto"/>
        </w:rPr>
        <w:t>Management contract or compensatory plan or arrangement * Filed herewith</w:t>
      </w:r>
    </w:p>
    <w:p>
      <w:pPr>
        <w:ind w:left="60"/>
        <w:spacing w:after="0"/>
        <w:rPr>
          <w:rFonts w:ascii="Arial" w:cs="Arial" w:eastAsia="Arial" w:hAnsi="Arial"/>
          <w:sz w:val="16"/>
          <w:szCs w:val="16"/>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Second Quarter 2022 Form 10-Q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1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64"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September 7, 2022</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2820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ANDREW E. PAGE</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Second Quarter 2022 Form 10-Q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3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acknowledge our awareness of the use therein of our report dated September 7, 2022 related to our review of interim financial information in the following Registration Statements:</w:t>
      </w:r>
    </w:p>
    <w:p>
      <w:pPr>
        <w:spacing w:after="0" w:line="113" w:lineRule="exact"/>
        <w:rPr>
          <w:sz w:val="20"/>
          <w:szCs w:val="20"/>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33-10783</w:t>
      </w:r>
    </w:p>
    <w:p>
      <w:pPr>
        <w:spacing w:after="0" w:line="26"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33-91888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33-91886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33-97832</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333-07215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333-21131</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333-62425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333-33120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333-41056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333-41058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333-74688</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333-99829</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333-111222</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333-121515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333-144044</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333-149803</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33-43334</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33-86300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333-64930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333-167066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333-171523</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333-190680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333-196899</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333-267044</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Mary N. Dillon, certify that:</w:t>
      </w:r>
    </w:p>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300" w:hanging="644"/>
        <w:spacing w:after="0" w:line="27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Mary 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Andrew E. Page, certify that:</w:t>
      </w:r>
    </w:p>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300" w:hanging="644"/>
        <w:spacing w:after="0" w:line="27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July 30, 2022, as filed with the Securities and Exchange Commission on the date hereof (the “Report”), Mary N. Dillon, as Chief Executive Officer of the Registrant and Andrew E. Page, as Chief Financial Officer of the Registrant, each hereby certifies, pursuant to 18 U.S.C. Section 1350, as adopted pursuant to Section 906 of the Sarbanes-Oxley Act of 2002, that:</w:t>
      </w:r>
    </w:p>
    <w:p>
      <w:pPr>
        <w:spacing w:after="0" w:line="160" w:lineRule="exact"/>
        <w:rPr>
          <w:sz w:val="20"/>
          <w:szCs w:val="20"/>
          <w:color w:val="auto"/>
        </w:rPr>
      </w:pPr>
    </w:p>
    <w:p>
      <w:pPr>
        <w:ind w:left="520" w:hanging="318"/>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18"/>
        <w:spacing w:after="0" w:line="271" w:lineRule="auto"/>
        <w:tabs>
          <w:tab w:leader="none" w:pos="5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7,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Mary 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Mary N. Dillon</w:t>
      </w:r>
    </w:p>
    <w:p>
      <w:pPr>
        <w:ind w:left="4960"/>
        <w:spacing w:after="0"/>
        <w:rPr>
          <w:sz w:val="20"/>
          <w:szCs w:val="20"/>
          <w:color w:val="auto"/>
        </w:rPr>
      </w:pPr>
      <w:r>
        <w:rPr>
          <w:rFonts w:ascii="Arial" w:cs="Arial" w:eastAsia="Arial" w:hAnsi="Arial"/>
          <w:sz w:val="18"/>
          <w:szCs w:val="18"/>
          <w:color w:val="auto"/>
        </w:rPr>
        <w:t>Chief Executive Officer</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8890</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Andrew E. Page</w:t>
      </w:r>
    </w:p>
    <w:p>
      <w:pPr>
        <w:ind w:left="496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July 30, 2022 and July 31, 2021, the related condensed consolidated statements of operations, comprehensive income, and changes in shareholders’ equity for the thirteen and twenty-six week periods ended July 30, 2022 and July 31, 2021, the related condensed consolidated statements of cash flows for the twenty-six week periods ended July 30, 2022 and July 31, 2021,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January 29, 2022, and the related consolidated statements of operations, comprehensive income, changes in shareholders’ equity, and cash flows for the year then ended (not presented herein); and in our report dated March 24, 2022, we expressed an unqualified opinion on those consolidated financial statements. In our opinion, the information set forth in the accompanying condensed consolidated balance sheet as of January 29, 2022, is fairly stated, in all material respects, in relation to the consolidated balance sheet from which it has been derived.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70" Type="http://schemas.openxmlformats.org/officeDocument/2006/relationships/hyperlink" Target="https://www.sec.gov/Archives/edgar/data/850209/000153949722001461/exh10-1.htm" TargetMode="External"/><Relationship Id="rId71" Type="http://schemas.openxmlformats.org/officeDocument/2006/relationships/hyperlink" Target="https://www.sec.gov/Archives/edgar/data/850209/000153949722001461/exh10-2.htm" TargetMode="External"/><Relationship Id="rId72" Type="http://schemas.openxmlformats.org/officeDocument/2006/relationships/hyperlink" Target="https://www.sec.gov/Archives/edgar/data/0000850209/000153949722001478/n2655_x14exh99-1.htm" TargetMode="External"/><Relationship Id="rId73" Type="http://schemas.openxmlformats.org/officeDocument/2006/relationships/hyperlink" Target="https://www.sec.gov/Archives/edgar/data/0000850209/000153949722001478/n2655_x14exh99-2.htm" TargetMode="External"/><Relationship Id="rId74" Type="http://schemas.openxmlformats.org/officeDocument/2006/relationships/hyperlink" Target="https://www.sec.gov/Archives/edgar/data/0000850209/000153949722001478/n2655_x14exh99-3.htm" TargetMode="External"/><Relationship Id="rId75" Type="http://schemas.openxmlformats.org/officeDocument/2006/relationships/hyperlink" Target="https://www.sec.gov/Archives/edgar/data/0000850209/000153949722001478/n2655_x14exh99-4.htm" TargetMode="External"/><Relationship Id="rId76" Type="http://schemas.openxmlformats.org/officeDocument/2006/relationships/hyperlink" Target="https://www.sec.gov/Archives/edgar/data/0000850209/000153949722001478/n2655_x14exh99-5.htm" TargetMode="External"/><Relationship Id="rId77" Type="http://schemas.openxmlformats.org/officeDocument/2006/relationships/hyperlink" Target="https://www.sec.gov/Archives/edgar/data/0000850209/000153949722001276/exhibit_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2022-09-07T15:17:36Z</dcterms:created>
  <dcterms:modified xsi:type="dcterms:W3CDTF">2022-09-07T15:17:36Z</dcterms:modified>
</cp:coreProperties>
</file>