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869315</wp:posOffset>
            </wp:positionH>
            <wp:positionV relativeFrom="page">
              <wp:posOffset>349250</wp:posOffset>
            </wp:positionV>
            <wp:extent cx="58166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6600" cy="26035"/>
                    </a:xfrm>
                    <a:prstGeom prst="rect">
                      <a:avLst/>
                    </a:prstGeom>
                    <a:noFill/>
                  </pic:spPr>
                </pic:pic>
              </a:graphicData>
            </a:graphic>
          </wp:anchor>
        </w:drawing>
        <w:drawing>
          <wp:anchor simplePos="0" relativeHeight="251657728" behindDoc="1" locked="0" layoutInCell="0" allowOverlap="1">
            <wp:simplePos x="0" y="0"/>
            <wp:positionH relativeFrom="page">
              <wp:posOffset>869315</wp:posOffset>
            </wp:positionH>
            <wp:positionV relativeFrom="page">
              <wp:posOffset>401320</wp:posOffset>
            </wp:positionV>
            <wp:extent cx="581660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6600" cy="6350"/>
                    </a:xfrm>
                    <a:prstGeom prst="rect">
                      <a:avLst/>
                    </a:prstGeom>
                    <a:noFill/>
                  </pic:spPr>
                </pic:pic>
              </a:graphicData>
            </a:graphic>
          </wp:anchor>
        </w:drawing>
        <w:t>UNITED STATES</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51"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FORM 10-K</w:t>
      </w:r>
    </w:p>
    <w:p>
      <w:pPr>
        <w:spacing w:after="0" w:line="37" w:lineRule="exact"/>
        <w:rPr>
          <w:sz w:val="24"/>
          <w:szCs w:val="24"/>
          <w:color w:val="auto"/>
        </w:rPr>
      </w:pPr>
    </w:p>
    <w:p>
      <w:pPr>
        <w:spacing w:after="0"/>
        <w:rPr>
          <w:sz w:val="20"/>
          <w:szCs w:val="20"/>
          <w:color w:val="auto"/>
        </w:rPr>
      </w:pPr>
      <w:r>
        <w:rPr>
          <w:rFonts w:ascii="Arial" w:cs="Arial" w:eastAsia="Arial" w:hAnsi="Arial"/>
          <w:sz w:val="12"/>
          <w:szCs w:val="12"/>
          <w:color w:val="auto"/>
        </w:rPr>
        <w:t>(Mark One)</w:t>
      </w:r>
    </w:p>
    <w:p>
      <w:pPr>
        <w:spacing w:after="0" w:line="3" w:lineRule="exact"/>
        <w:rPr>
          <w:sz w:val="24"/>
          <w:szCs w:val="24"/>
          <w:color w:val="auto"/>
        </w:rPr>
      </w:pPr>
    </w:p>
    <w:p>
      <w:pPr>
        <w:ind w:left="3420" w:right="2480" w:hanging="3175"/>
        <w:spacing w:after="0" w:line="261" w:lineRule="auto"/>
        <w:tabs>
          <w:tab w:leader="none" w:pos="605" w:val="left"/>
        </w:tabs>
        <w:numPr>
          <w:ilvl w:val="0"/>
          <w:numId w:val="1"/>
        </w:numPr>
        <w:rPr>
          <w:rFonts w:ascii="MS PGothic" w:cs="MS PGothic" w:eastAsia="MS PGothic" w:hAnsi="MS PGothic"/>
          <w:sz w:val="12"/>
          <w:szCs w:val="12"/>
          <w:color w:val="auto"/>
          <w:highlight w:val="black"/>
        </w:rPr>
      </w:pPr>
      <w:r>
        <w:rPr>
          <w:rFonts w:ascii="Arial" w:cs="Arial" w:eastAsia="Arial" w:hAnsi="Arial"/>
          <w:sz w:val="12"/>
          <w:szCs w:val="12"/>
          <w:b w:val="1"/>
          <w:bCs w:val="1"/>
          <w:color w:val="auto"/>
        </w:rPr>
        <w:t xml:space="preserve">ANNUAL REPORT PURSUANT TO SECTION 13 OR 15(d) OF THE SECURITIES EXCHANGE ACT OF 1934 </w:t>
      </w:r>
      <w:r>
        <w:rPr>
          <w:rFonts w:ascii="Arial" w:cs="Arial" w:eastAsia="Arial" w:hAnsi="Arial"/>
          <w:sz w:val="12"/>
          <w:szCs w:val="12"/>
          <w:color w:val="auto"/>
        </w:rPr>
        <w:t>For the fiscal year ended January 30, 2021</w:t>
      </w:r>
    </w:p>
    <w:p>
      <w:pPr>
        <w:ind w:left="4500"/>
        <w:spacing w:after="0"/>
        <w:rPr>
          <w:rFonts w:ascii="MS PGothic" w:cs="MS PGothic" w:eastAsia="MS PGothic" w:hAnsi="MS PGothic"/>
          <w:sz w:val="12"/>
          <w:szCs w:val="12"/>
          <w:color w:val="auto"/>
          <w:highlight w:val="black"/>
        </w:rPr>
      </w:pPr>
      <w:r>
        <w:rPr>
          <w:rFonts w:ascii="Arial" w:cs="Arial" w:eastAsia="Arial" w:hAnsi="Arial"/>
          <w:sz w:val="12"/>
          <w:szCs w:val="12"/>
          <w:color w:val="auto"/>
        </w:rPr>
        <w:t>OR</w:t>
      </w:r>
    </w:p>
    <w:p>
      <w:pPr>
        <w:spacing w:after="0" w:line="3" w:lineRule="exact"/>
        <w:rPr>
          <w:sz w:val="24"/>
          <w:szCs w:val="24"/>
          <w:color w:val="auto"/>
        </w:rPr>
      </w:pPr>
    </w:p>
    <w:p>
      <w:pPr>
        <w:ind w:left="600" w:hanging="355"/>
        <w:spacing w:after="0"/>
        <w:tabs>
          <w:tab w:leader="none" w:pos="600" w:val="left"/>
        </w:tabs>
        <w:numPr>
          <w:ilvl w:val="0"/>
          <w:numId w:val="2"/>
        </w:numPr>
        <w:rPr>
          <w:rFonts w:ascii="MS PGothic" w:cs="MS PGothic" w:eastAsia="MS PGothic" w:hAnsi="MS PGothic"/>
          <w:sz w:val="12"/>
          <w:szCs w:val="12"/>
          <w:color w:val="auto"/>
          <w:highlight w:val="black"/>
        </w:rPr>
      </w:pPr>
      <w:r>
        <w:rPr>
          <w:rFonts w:ascii="Arial" w:cs="Arial" w:eastAsia="Arial" w:hAnsi="Arial"/>
          <w:sz w:val="12"/>
          <w:szCs w:val="12"/>
          <w:b w:val="1"/>
          <w:bCs w:val="1"/>
          <w:color w:val="auto"/>
        </w:rPr>
        <w:t>TRANSITION REPORT PURSUANT TO SECTION 13 OR 15(d) OF THE SECURITIES EXCHANGE ACT OF 1934</w:t>
      </w:r>
    </w:p>
    <w:p>
      <w:pPr>
        <w:spacing w:after="0" w:line="249" w:lineRule="exact"/>
        <w:rPr>
          <w:sz w:val="24"/>
          <w:szCs w:val="24"/>
          <w:color w:val="auto"/>
        </w:rPr>
      </w:pPr>
    </w:p>
    <w:tbl>
      <w:tblPr>
        <w:tblLayout w:type="fixed"/>
        <w:tblInd w:w="1120" w:type="dxa"/>
        <w:tblCellMar>
          <w:top w:w="0" w:type="dxa"/>
          <w:left w:w="0" w:type="dxa"/>
          <w:bottom w:w="0" w:type="dxa"/>
          <w:right w:w="0" w:type="dxa"/>
        </w:tblCellMar>
      </w:tblPr>
      <w:tr>
        <w:trPr>
          <w:trHeight w:val="138"/>
        </w:trPr>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80" w:type="dxa"/>
            <w:vAlign w:val="bottom"/>
            <w:gridSpan w:val="2"/>
          </w:tcPr>
          <w:p>
            <w:pPr>
              <w:ind w:left="60"/>
              <w:spacing w:after="0"/>
              <w:rPr>
                <w:sz w:val="20"/>
                <w:szCs w:val="20"/>
                <w:color w:val="auto"/>
              </w:rPr>
            </w:pPr>
            <w:r>
              <w:rPr>
                <w:rFonts w:ascii="Arial" w:cs="Arial" w:eastAsia="Arial" w:hAnsi="Arial"/>
                <w:sz w:val="12"/>
                <w:szCs w:val="12"/>
                <w:color w:val="auto"/>
              </w:rPr>
              <w:t>For the transition period from</w:t>
            </w:r>
          </w:p>
        </w:tc>
        <w:tc>
          <w:tcPr>
            <w:tcW w:w="580" w:type="dxa"/>
            <w:vAlign w:val="bottom"/>
            <w:tcBorders>
              <w:bottom w:val="single" w:sz="8" w:color="auto"/>
            </w:tcBorders>
            <w:gridSpan w:val="2"/>
          </w:tcPr>
          <w:p>
            <w:pPr>
              <w:spacing w:after="0"/>
              <w:rPr>
                <w:sz w:val="12"/>
                <w:szCs w:val="12"/>
                <w:color w:val="auto"/>
              </w:rPr>
            </w:pPr>
          </w:p>
        </w:tc>
        <w:tc>
          <w:tcPr>
            <w:tcW w:w="180" w:type="dxa"/>
            <w:vAlign w:val="bottom"/>
          </w:tcPr>
          <w:p>
            <w:pPr>
              <w:ind w:left="40"/>
              <w:spacing w:after="0"/>
              <w:rPr>
                <w:sz w:val="20"/>
                <w:szCs w:val="20"/>
                <w:color w:val="auto"/>
              </w:rPr>
            </w:pPr>
            <w:r>
              <w:rPr>
                <w:rFonts w:ascii="Arial" w:cs="Arial" w:eastAsia="Arial" w:hAnsi="Arial"/>
                <w:sz w:val="12"/>
                <w:szCs w:val="12"/>
                <w:color w:val="auto"/>
              </w:rPr>
              <w:t>to</w:t>
            </w:r>
          </w:p>
        </w:tc>
        <w:tc>
          <w:tcPr>
            <w:tcW w:w="580" w:type="dxa"/>
            <w:vAlign w:val="bottom"/>
            <w:tcBorders>
              <w:bottom w:val="single" w:sz="8" w:color="auto"/>
            </w:tcBorders>
            <w:gridSpan w:val="2"/>
          </w:tcPr>
          <w:p>
            <w:pPr>
              <w:spacing w:after="0"/>
              <w:rPr>
                <w:sz w:val="12"/>
                <w:szCs w:val="12"/>
                <w:color w:val="auto"/>
              </w:rPr>
            </w:pPr>
          </w:p>
        </w:tc>
        <w:tc>
          <w:tcPr>
            <w:tcW w:w="2160" w:type="dxa"/>
            <w:vAlign w:val="bottom"/>
          </w:tcPr>
          <w:p>
            <w:pPr>
              <w:spacing w:after="0"/>
              <w:rPr>
                <w:sz w:val="12"/>
                <w:szCs w:val="12"/>
                <w:color w:val="auto"/>
              </w:rPr>
            </w:pPr>
          </w:p>
        </w:tc>
      </w:tr>
      <w:tr>
        <w:trPr>
          <w:trHeight w:val="149"/>
        </w:trPr>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180" w:type="dxa"/>
            <w:vAlign w:val="bottom"/>
            <w:gridSpan w:val="8"/>
          </w:tcPr>
          <w:p>
            <w:pPr>
              <w:jc w:val="center"/>
              <w:ind w:right="2025"/>
              <w:spacing w:after="0"/>
              <w:rPr>
                <w:sz w:val="20"/>
                <w:szCs w:val="20"/>
                <w:color w:val="auto"/>
              </w:rPr>
            </w:pPr>
            <w:r>
              <w:rPr>
                <w:rFonts w:ascii="Arial" w:cs="Arial" w:eastAsia="Arial" w:hAnsi="Arial"/>
                <w:sz w:val="12"/>
                <w:szCs w:val="12"/>
                <w:color w:val="auto"/>
              </w:rPr>
              <w:t>Commission File No. 1-10299</w:t>
            </w:r>
          </w:p>
        </w:tc>
      </w:tr>
      <w:tr>
        <w:trPr>
          <w:trHeight w:val="540"/>
        </w:trPr>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180" w:type="dxa"/>
            <w:vAlign w:val="bottom"/>
            <w:gridSpan w:val="8"/>
          </w:tcPr>
          <w:p>
            <w:pPr>
              <w:jc w:val="center"/>
              <w:ind w:right="2045"/>
              <w:spacing w:after="0"/>
              <w:rPr>
                <w:sz w:val="20"/>
                <w:szCs w:val="20"/>
                <w:color w:val="auto"/>
              </w:rPr>
            </w:pPr>
            <w:r>
              <w:rPr>
                <w:rFonts w:ascii="Arial" w:cs="Arial" w:eastAsia="Arial" w:hAnsi="Arial"/>
                <w:sz w:val="11"/>
                <w:szCs w:val="11"/>
                <w:color w:val="auto"/>
                <w:w w:val="98"/>
              </w:rPr>
              <w:t>(Exact name of registrant as specified in its charter)</w:t>
            </w:r>
          </w:p>
        </w:tc>
      </w:tr>
      <w:tr>
        <w:trPr>
          <w:trHeight w:val="228"/>
        </w:trPr>
        <w:tc>
          <w:tcPr>
            <w:tcW w:w="320" w:type="dxa"/>
            <w:vAlign w:val="bottom"/>
          </w:tcPr>
          <w:p>
            <w:pPr>
              <w:spacing w:after="0"/>
              <w:rPr>
                <w:sz w:val="19"/>
                <w:szCs w:val="19"/>
                <w:color w:val="auto"/>
              </w:rPr>
            </w:pPr>
          </w:p>
        </w:tc>
        <w:tc>
          <w:tcPr>
            <w:tcW w:w="1600" w:type="dxa"/>
            <w:vAlign w:val="bottom"/>
            <w:gridSpan w:val="2"/>
          </w:tcPr>
          <w:p>
            <w:pPr>
              <w:jc w:val="center"/>
              <w:ind w:left="65"/>
              <w:spacing w:after="0"/>
              <w:rPr>
                <w:sz w:val="20"/>
                <w:szCs w:val="20"/>
                <w:color w:val="auto"/>
              </w:rPr>
            </w:pPr>
            <w:r>
              <w:rPr>
                <w:rFonts w:ascii="Arial" w:cs="Arial" w:eastAsia="Arial" w:hAnsi="Arial"/>
                <w:sz w:val="11"/>
                <w:szCs w:val="11"/>
                <w:b w:val="1"/>
                <w:bCs w:val="1"/>
                <w:color w:val="auto"/>
                <w:w w:val="95"/>
              </w:rPr>
              <w:t>New York</w:t>
            </w:r>
          </w:p>
        </w:tc>
        <w:tc>
          <w:tcPr>
            <w:tcW w:w="1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920" w:type="dxa"/>
            <w:vAlign w:val="bottom"/>
            <w:gridSpan w:val="4"/>
          </w:tcPr>
          <w:p>
            <w:pPr>
              <w:jc w:val="right"/>
              <w:ind w:right="985"/>
              <w:spacing w:after="0"/>
              <w:rPr>
                <w:sz w:val="20"/>
                <w:szCs w:val="20"/>
                <w:color w:val="auto"/>
              </w:rPr>
            </w:pPr>
            <w:r>
              <w:rPr>
                <w:rFonts w:ascii="Arial" w:cs="Arial" w:eastAsia="Arial" w:hAnsi="Arial"/>
                <w:sz w:val="11"/>
                <w:szCs w:val="11"/>
                <w:b w:val="1"/>
                <w:bCs w:val="1"/>
                <w:color w:val="auto"/>
              </w:rPr>
              <w:t>13-3513936</w:t>
            </w:r>
          </w:p>
        </w:tc>
      </w:tr>
      <w:tr>
        <w:trPr>
          <w:trHeight w:val="123"/>
        </w:trPr>
        <w:tc>
          <w:tcPr>
            <w:tcW w:w="320" w:type="dxa"/>
            <w:vAlign w:val="bottom"/>
          </w:tcPr>
          <w:p>
            <w:pPr>
              <w:spacing w:after="0"/>
              <w:rPr>
                <w:sz w:val="10"/>
                <w:szCs w:val="10"/>
                <w:color w:val="auto"/>
              </w:rPr>
            </w:pPr>
          </w:p>
        </w:tc>
        <w:tc>
          <w:tcPr>
            <w:tcW w:w="1600" w:type="dxa"/>
            <w:vAlign w:val="bottom"/>
            <w:gridSpan w:val="2"/>
          </w:tcPr>
          <w:p>
            <w:pPr>
              <w:jc w:val="center"/>
              <w:ind w:left="65"/>
              <w:spacing w:after="0" w:line="123" w:lineRule="exact"/>
              <w:rPr>
                <w:sz w:val="20"/>
                <w:szCs w:val="20"/>
                <w:color w:val="auto"/>
              </w:rPr>
            </w:pPr>
            <w:r>
              <w:rPr>
                <w:rFonts w:ascii="Arial" w:cs="Arial" w:eastAsia="Arial" w:hAnsi="Arial"/>
                <w:sz w:val="11"/>
                <w:szCs w:val="11"/>
                <w:i w:val="1"/>
                <w:iCs w:val="1"/>
                <w:color w:val="auto"/>
                <w:w w:val="98"/>
              </w:rPr>
              <w:t>(State or other jurisdiction of</w:t>
            </w:r>
          </w:p>
        </w:tc>
        <w:tc>
          <w:tcPr>
            <w:tcW w:w="1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300" w:type="dxa"/>
            <w:vAlign w:val="bottom"/>
            <w:gridSpan w:val="2"/>
          </w:tcPr>
          <w:p>
            <w:pPr>
              <w:jc w:val="center"/>
              <w:ind w:right="325"/>
              <w:spacing w:after="0" w:line="123" w:lineRule="exact"/>
              <w:rPr>
                <w:sz w:val="20"/>
                <w:szCs w:val="20"/>
                <w:color w:val="auto"/>
              </w:rPr>
            </w:pPr>
            <w:r>
              <w:rPr>
                <w:rFonts w:ascii="Arial" w:cs="Arial" w:eastAsia="Arial" w:hAnsi="Arial"/>
                <w:sz w:val="11"/>
                <w:szCs w:val="11"/>
                <w:i w:val="1"/>
                <w:iCs w:val="1"/>
                <w:color w:val="auto"/>
                <w:w w:val="99"/>
              </w:rPr>
              <w:t>(I.R.S. Employer Identification No.)</w:t>
            </w:r>
          </w:p>
        </w:tc>
      </w:tr>
      <w:tr>
        <w:trPr>
          <w:trHeight w:val="109"/>
        </w:trPr>
        <w:tc>
          <w:tcPr>
            <w:tcW w:w="320" w:type="dxa"/>
            <w:vAlign w:val="bottom"/>
          </w:tcPr>
          <w:p>
            <w:pPr>
              <w:spacing w:after="0"/>
              <w:rPr>
                <w:sz w:val="9"/>
                <w:szCs w:val="9"/>
                <w:color w:val="auto"/>
              </w:rPr>
            </w:pPr>
          </w:p>
        </w:tc>
        <w:tc>
          <w:tcPr>
            <w:tcW w:w="1600" w:type="dxa"/>
            <w:vAlign w:val="bottom"/>
            <w:gridSpan w:val="2"/>
          </w:tcPr>
          <w:p>
            <w:pPr>
              <w:jc w:val="center"/>
              <w:ind w:left="85"/>
              <w:spacing w:after="0" w:line="109" w:lineRule="exact"/>
              <w:rPr>
                <w:sz w:val="20"/>
                <w:szCs w:val="20"/>
                <w:color w:val="auto"/>
              </w:rPr>
            </w:pPr>
            <w:r>
              <w:rPr>
                <w:rFonts w:ascii="Arial" w:cs="Arial" w:eastAsia="Arial" w:hAnsi="Arial"/>
                <w:sz w:val="11"/>
                <w:szCs w:val="11"/>
                <w:i w:val="1"/>
                <w:iCs w:val="1"/>
                <w:color w:val="auto"/>
                <w:w w:val="99"/>
              </w:rPr>
              <w:t>incorporation or organization)</w:t>
            </w:r>
          </w:p>
        </w:tc>
        <w:tc>
          <w:tcPr>
            <w:tcW w:w="1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160" w:type="dxa"/>
            <w:vAlign w:val="bottom"/>
          </w:tcPr>
          <w:p>
            <w:pPr>
              <w:spacing w:after="0"/>
              <w:rPr>
                <w:sz w:val="9"/>
                <w:szCs w:val="9"/>
                <w:color w:val="auto"/>
              </w:rPr>
            </w:pPr>
          </w:p>
        </w:tc>
      </w:tr>
      <w:tr>
        <w:trPr>
          <w:trHeight w:val="137"/>
        </w:trPr>
        <w:tc>
          <w:tcPr>
            <w:tcW w:w="4180" w:type="dxa"/>
            <w:vAlign w:val="bottom"/>
            <w:gridSpan w:val="7"/>
          </w:tcPr>
          <w:p>
            <w:pPr>
              <w:jc w:val="center"/>
              <w:ind w:right="1800"/>
              <w:spacing w:after="0" w:line="137" w:lineRule="exact"/>
              <w:rPr>
                <w:sz w:val="20"/>
                <w:szCs w:val="20"/>
                <w:color w:val="auto"/>
              </w:rPr>
            </w:pPr>
            <w:r>
              <w:rPr>
                <w:rFonts w:ascii="Arial" w:cs="Arial" w:eastAsia="Arial" w:hAnsi="Arial"/>
                <w:sz w:val="10"/>
                <w:szCs w:val="10"/>
                <w:b w:val="1"/>
                <w:bCs w:val="1"/>
                <w:color w:val="auto"/>
              </w:rPr>
              <w:t>330 West 34</w:t>
            </w:r>
            <w:r>
              <w:rPr>
                <w:rFonts w:ascii="Arial" w:cs="Arial" w:eastAsia="Arial" w:hAnsi="Arial"/>
                <w:sz w:val="15"/>
                <w:szCs w:val="15"/>
                <w:b w:val="1"/>
                <w:bCs w:val="1"/>
                <w:color w:val="auto"/>
                <w:vertAlign w:val="superscript"/>
              </w:rPr>
              <w:t>th</w:t>
            </w:r>
            <w:r>
              <w:rPr>
                <w:rFonts w:ascii="Arial" w:cs="Arial" w:eastAsia="Arial" w:hAnsi="Arial"/>
                <w:sz w:val="10"/>
                <w:szCs w:val="10"/>
                <w:b w:val="1"/>
                <w:bCs w:val="1"/>
                <w:color w:val="auto"/>
              </w:rPr>
              <w:t xml:space="preserve"> Street, New York, New York</w:t>
            </w:r>
          </w:p>
        </w:tc>
        <w:tc>
          <w:tcPr>
            <w:tcW w:w="2920" w:type="dxa"/>
            <w:vAlign w:val="bottom"/>
            <w:gridSpan w:val="4"/>
          </w:tcPr>
          <w:p>
            <w:pPr>
              <w:jc w:val="right"/>
              <w:ind w:right="1125"/>
              <w:spacing w:after="0"/>
              <w:rPr>
                <w:sz w:val="20"/>
                <w:szCs w:val="20"/>
                <w:color w:val="auto"/>
              </w:rPr>
            </w:pPr>
            <w:r>
              <w:rPr>
                <w:rFonts w:ascii="Arial" w:cs="Arial" w:eastAsia="Arial" w:hAnsi="Arial"/>
                <w:sz w:val="11"/>
                <w:szCs w:val="11"/>
                <w:b w:val="1"/>
                <w:bCs w:val="1"/>
                <w:color w:val="auto"/>
              </w:rPr>
              <w:t>10001</w:t>
            </w:r>
          </w:p>
        </w:tc>
      </w:tr>
      <w:tr>
        <w:trPr>
          <w:trHeight w:val="141"/>
        </w:trPr>
        <w:tc>
          <w:tcPr>
            <w:tcW w:w="4180" w:type="dxa"/>
            <w:vAlign w:val="bottom"/>
            <w:gridSpan w:val="7"/>
          </w:tcPr>
          <w:p>
            <w:pPr>
              <w:jc w:val="center"/>
              <w:ind w:right="1820"/>
              <w:spacing w:after="0"/>
              <w:rPr>
                <w:sz w:val="20"/>
                <w:szCs w:val="20"/>
                <w:color w:val="auto"/>
              </w:rPr>
            </w:pPr>
            <w:r>
              <w:rPr>
                <w:rFonts w:ascii="Arial" w:cs="Arial" w:eastAsia="Arial" w:hAnsi="Arial"/>
                <w:sz w:val="11"/>
                <w:szCs w:val="11"/>
                <w:i w:val="1"/>
                <w:iCs w:val="1"/>
                <w:color w:val="auto"/>
                <w:w w:val="99"/>
              </w:rPr>
              <w:t>(Address of principal executive offices)</w:t>
            </w: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60" w:type="dxa"/>
            <w:vAlign w:val="bottom"/>
          </w:tcPr>
          <w:p>
            <w:pPr>
              <w:jc w:val="center"/>
              <w:ind w:right="465"/>
              <w:spacing w:after="0"/>
              <w:rPr>
                <w:sz w:val="20"/>
                <w:szCs w:val="20"/>
                <w:color w:val="auto"/>
              </w:rPr>
            </w:pPr>
            <w:r>
              <w:rPr>
                <w:rFonts w:ascii="Arial" w:cs="Arial" w:eastAsia="Arial" w:hAnsi="Arial"/>
                <w:sz w:val="11"/>
                <w:szCs w:val="11"/>
                <w:i w:val="1"/>
                <w:iCs w:val="1"/>
                <w:color w:val="auto"/>
                <w:w w:val="99"/>
              </w:rPr>
              <w:t>(Zip Code)</w:t>
            </w:r>
          </w:p>
        </w:tc>
      </w:tr>
      <w:tr>
        <w:trPr>
          <w:trHeight w:val="226"/>
        </w:trPr>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40" w:type="dxa"/>
            <w:vAlign w:val="bottom"/>
            <w:gridSpan w:val="9"/>
          </w:tcPr>
          <w:p>
            <w:pPr>
              <w:jc w:val="center"/>
              <w:ind w:right="1365"/>
              <w:spacing w:after="0"/>
              <w:rPr>
                <w:sz w:val="20"/>
                <w:szCs w:val="20"/>
                <w:color w:val="auto"/>
              </w:rPr>
            </w:pPr>
            <w:r>
              <w:rPr>
                <w:rFonts w:ascii="Arial" w:cs="Arial" w:eastAsia="Arial" w:hAnsi="Arial"/>
                <w:sz w:val="11"/>
                <w:szCs w:val="11"/>
                <w:b w:val="1"/>
                <w:bCs w:val="1"/>
                <w:color w:val="auto"/>
                <w:w w:val="99"/>
              </w:rPr>
              <w:t>Registrant’s telephone number, including area code: (212) 720-3700</w:t>
            </w:r>
          </w:p>
        </w:tc>
      </w:tr>
      <w:tr>
        <w:trPr>
          <w:trHeight w:val="143"/>
        </w:trPr>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180" w:type="dxa"/>
            <w:vAlign w:val="bottom"/>
            <w:gridSpan w:val="8"/>
          </w:tcPr>
          <w:p>
            <w:pPr>
              <w:jc w:val="center"/>
              <w:ind w:right="2045"/>
              <w:spacing w:after="0"/>
              <w:rPr>
                <w:sz w:val="20"/>
                <w:szCs w:val="20"/>
                <w:color w:val="auto"/>
              </w:rPr>
            </w:pPr>
            <w:r>
              <w:rPr>
                <w:rFonts w:ascii="Arial" w:cs="Arial" w:eastAsia="Arial" w:hAnsi="Arial"/>
                <w:sz w:val="11"/>
                <w:szCs w:val="11"/>
                <w:b w:val="1"/>
                <w:bCs w:val="1"/>
                <w:color w:val="auto"/>
                <w:w w:val="99"/>
              </w:rPr>
              <w:t>Securities registered pursuant to Section 12(b) of the Act:</w:t>
            </w:r>
          </w:p>
        </w:tc>
      </w:tr>
      <w:tr>
        <w:trPr>
          <w:trHeight w:val="286"/>
        </w:trPr>
        <w:tc>
          <w:tcPr>
            <w:tcW w:w="320" w:type="dxa"/>
            <w:vAlign w:val="bottom"/>
          </w:tcPr>
          <w:p>
            <w:pPr>
              <w:spacing w:after="0"/>
              <w:rPr>
                <w:sz w:val="24"/>
                <w:szCs w:val="24"/>
                <w:color w:val="auto"/>
              </w:rPr>
            </w:pPr>
          </w:p>
        </w:tc>
        <w:tc>
          <w:tcPr>
            <w:tcW w:w="1600" w:type="dxa"/>
            <w:vAlign w:val="bottom"/>
            <w:gridSpan w:val="2"/>
          </w:tcPr>
          <w:p>
            <w:pPr>
              <w:jc w:val="center"/>
              <w:ind w:right="605"/>
              <w:spacing w:after="0"/>
              <w:rPr>
                <w:sz w:val="20"/>
                <w:szCs w:val="20"/>
                <w:color w:val="auto"/>
              </w:rPr>
            </w:pPr>
            <w:r>
              <w:rPr>
                <w:rFonts w:ascii="Arial" w:cs="Arial" w:eastAsia="Arial" w:hAnsi="Arial"/>
                <w:sz w:val="11"/>
                <w:szCs w:val="11"/>
                <w:b w:val="1"/>
                <w:bCs w:val="1"/>
                <w:color w:val="auto"/>
                <w:w w:val="99"/>
              </w:rPr>
              <w:t>Title of each class</w:t>
            </w:r>
          </w:p>
        </w:tc>
        <w:tc>
          <w:tcPr>
            <w:tcW w:w="2260" w:type="dxa"/>
            <w:vAlign w:val="bottom"/>
            <w:gridSpan w:val="4"/>
          </w:tcPr>
          <w:p>
            <w:pPr>
              <w:jc w:val="center"/>
              <w:ind w:left="403"/>
              <w:spacing w:after="0"/>
              <w:rPr>
                <w:sz w:val="20"/>
                <w:szCs w:val="20"/>
                <w:color w:val="auto"/>
              </w:rPr>
            </w:pPr>
            <w:r>
              <w:rPr>
                <w:rFonts w:ascii="Arial" w:cs="Arial" w:eastAsia="Arial" w:hAnsi="Arial"/>
                <w:sz w:val="11"/>
                <w:szCs w:val="11"/>
                <w:b w:val="1"/>
                <w:bCs w:val="1"/>
                <w:color w:val="auto"/>
                <w:w w:val="99"/>
              </w:rPr>
              <w:t>Trading Symbol(s)</w:t>
            </w: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00" w:type="dxa"/>
            <w:vAlign w:val="bottom"/>
            <w:gridSpan w:val="2"/>
          </w:tcPr>
          <w:p>
            <w:pPr>
              <w:jc w:val="center"/>
              <w:spacing w:after="0"/>
              <w:rPr>
                <w:sz w:val="20"/>
                <w:szCs w:val="20"/>
                <w:color w:val="auto"/>
              </w:rPr>
            </w:pPr>
            <w:r>
              <w:rPr>
                <w:rFonts w:ascii="Arial" w:cs="Arial" w:eastAsia="Arial" w:hAnsi="Arial"/>
                <w:sz w:val="11"/>
                <w:szCs w:val="11"/>
                <w:b w:val="1"/>
                <w:bCs w:val="1"/>
                <w:color w:val="auto"/>
                <w:w w:val="98"/>
              </w:rPr>
              <w:t>Name of each exchange on which registered</w:t>
            </w:r>
          </w:p>
        </w:tc>
      </w:tr>
      <w:tr>
        <w:trPr>
          <w:trHeight w:val="20"/>
        </w:trPr>
        <w:tc>
          <w:tcPr>
            <w:tcW w:w="3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r>
      <w:tr>
        <w:trPr>
          <w:trHeight w:val="117"/>
        </w:trPr>
        <w:tc>
          <w:tcPr>
            <w:tcW w:w="1920" w:type="dxa"/>
            <w:vAlign w:val="bottom"/>
            <w:gridSpan w:val="3"/>
          </w:tcPr>
          <w:p>
            <w:pPr>
              <w:jc w:val="center"/>
              <w:ind w:right="265"/>
              <w:spacing w:after="0" w:line="117" w:lineRule="exact"/>
              <w:rPr>
                <w:sz w:val="20"/>
                <w:szCs w:val="20"/>
                <w:color w:val="auto"/>
              </w:rPr>
            </w:pPr>
            <w:r>
              <w:rPr>
                <w:rFonts w:ascii="Arial" w:cs="Arial" w:eastAsia="Arial" w:hAnsi="Arial"/>
                <w:sz w:val="11"/>
                <w:szCs w:val="11"/>
                <w:color w:val="auto"/>
                <w:w w:val="99"/>
              </w:rPr>
              <w:t>Common Stock, par value $0.01</w:t>
            </w:r>
          </w:p>
        </w:tc>
        <w:tc>
          <w:tcPr>
            <w:tcW w:w="2260" w:type="dxa"/>
            <w:vAlign w:val="bottom"/>
            <w:gridSpan w:val="4"/>
          </w:tcPr>
          <w:p>
            <w:pPr>
              <w:jc w:val="center"/>
              <w:ind w:left="403"/>
              <w:spacing w:after="0" w:line="117" w:lineRule="exact"/>
              <w:rPr>
                <w:sz w:val="20"/>
                <w:szCs w:val="20"/>
                <w:color w:val="auto"/>
              </w:rPr>
            </w:pPr>
            <w:r>
              <w:rPr>
                <w:rFonts w:ascii="Arial" w:cs="Arial" w:eastAsia="Arial" w:hAnsi="Arial"/>
                <w:sz w:val="11"/>
                <w:szCs w:val="11"/>
                <w:color w:val="auto"/>
                <w:w w:val="93"/>
              </w:rPr>
              <w:t>FL</w:t>
            </w: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160" w:type="dxa"/>
            <w:vAlign w:val="bottom"/>
          </w:tcPr>
          <w:p>
            <w:pPr>
              <w:jc w:val="center"/>
              <w:ind w:right="85"/>
              <w:spacing w:after="0" w:line="117" w:lineRule="exact"/>
              <w:rPr>
                <w:sz w:val="20"/>
                <w:szCs w:val="20"/>
                <w:color w:val="auto"/>
              </w:rPr>
            </w:pPr>
            <w:r>
              <w:rPr>
                <w:rFonts w:ascii="Arial" w:cs="Arial" w:eastAsia="Arial" w:hAnsi="Arial"/>
                <w:sz w:val="11"/>
                <w:szCs w:val="11"/>
                <w:color w:val="auto"/>
                <w:w w:val="99"/>
              </w:rPr>
              <w:t>New York Stock Exchange</w:t>
            </w:r>
          </w:p>
        </w:tc>
      </w:tr>
      <w:tr>
        <w:trPr>
          <w:trHeight w:val="131"/>
        </w:trPr>
        <w:tc>
          <w:tcPr>
            <w:tcW w:w="1920" w:type="dxa"/>
            <w:vAlign w:val="bottom"/>
            <w:gridSpan w:val="3"/>
          </w:tcPr>
          <w:p>
            <w:pPr>
              <w:jc w:val="center"/>
              <w:ind w:right="285"/>
              <w:spacing w:after="0"/>
              <w:rPr>
                <w:sz w:val="20"/>
                <w:szCs w:val="20"/>
                <w:color w:val="auto"/>
              </w:rPr>
            </w:pPr>
            <w:r>
              <w:rPr>
                <w:rFonts w:ascii="Arial" w:cs="Arial" w:eastAsia="Arial" w:hAnsi="Arial"/>
                <w:sz w:val="11"/>
                <w:szCs w:val="11"/>
                <w:color w:val="auto"/>
                <w:w w:val="98"/>
              </w:rPr>
              <w:t>Preferred Stock Purchase Rights</w:t>
            </w:r>
          </w:p>
        </w:tc>
        <w:tc>
          <w:tcPr>
            <w:tcW w:w="1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60" w:type="dxa"/>
            <w:vAlign w:val="bottom"/>
          </w:tcPr>
          <w:p>
            <w:pPr>
              <w:jc w:val="center"/>
              <w:ind w:right="85"/>
              <w:spacing w:after="0"/>
              <w:rPr>
                <w:sz w:val="20"/>
                <w:szCs w:val="20"/>
                <w:color w:val="auto"/>
              </w:rPr>
            </w:pPr>
            <w:r>
              <w:rPr>
                <w:rFonts w:ascii="Arial" w:cs="Arial" w:eastAsia="Arial" w:hAnsi="Arial"/>
                <w:sz w:val="11"/>
                <w:szCs w:val="11"/>
                <w:color w:val="auto"/>
                <w:w w:val="99"/>
              </w:rPr>
              <w:t>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2129155</wp:posOffset>
            </wp:positionH>
            <wp:positionV relativeFrom="paragraph">
              <wp:posOffset>-1374775</wp:posOffset>
            </wp:positionV>
            <wp:extent cx="1563370" cy="169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63370" cy="169545"/>
                    </a:xfrm>
                    <a:prstGeom prst="rect">
                      <a:avLst/>
                    </a:prstGeom>
                    <a:noFill/>
                  </pic:spPr>
                </pic:pic>
              </a:graphicData>
            </a:graphic>
          </wp:anchor>
        </w:drawing>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Securities registered pursuant to Section 12(g) of the Act: None</w:t>
      </w:r>
    </w:p>
    <w:p>
      <w:pPr>
        <w:sectPr>
          <w:pgSz w:w="11900" w:h="16838" w:orient="portrait"/>
          <w:cols w:equalWidth="0" w:num="1">
            <w:col w:w="9160"/>
          </w:cols>
          <w:pgMar w:left="1360" w:top="697" w:right="1379" w:bottom="1440" w:gutter="0" w:footer="0" w:header="0"/>
        </w:sectPr>
      </w:pPr>
    </w:p>
    <w:p>
      <w:pPr>
        <w:spacing w:after="0" w:line="92" w:lineRule="exact"/>
        <w:rPr>
          <w:sz w:val="24"/>
          <w:szCs w:val="24"/>
          <w:color w:val="auto"/>
        </w:rPr>
      </w:pPr>
    </w:p>
    <w:p>
      <w:pPr>
        <w:spacing w:after="0"/>
        <w:rPr>
          <w:sz w:val="20"/>
          <w:szCs w:val="20"/>
          <w:color w:val="auto"/>
        </w:rPr>
      </w:pPr>
      <w:r>
        <w:rPr>
          <w:rFonts w:ascii="Arial" w:cs="Arial" w:eastAsia="Arial" w:hAnsi="Arial"/>
          <w:sz w:val="8"/>
          <w:szCs w:val="8"/>
          <w:color w:val="auto"/>
        </w:rPr>
        <w:t>Indicate by check mark if the registrant is a well-known seasoned issuer, as defined in Rule 405 of the Securities Act. Yes</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jc w:val="center"/>
        <w:spacing w:after="0" w:line="134" w:lineRule="exact"/>
        <w:rPr>
          <w:sz w:val="20"/>
          <w:szCs w:val="20"/>
          <w:color w:val="auto"/>
        </w:rPr>
      </w:pPr>
      <w:r>
        <w:rPr>
          <w:rFonts w:ascii="Arial Unicode MS" w:cs="Arial Unicode MS" w:eastAsia="Arial Unicode MS" w:hAnsi="Arial Unicode MS"/>
          <w:sz w:val="10"/>
          <w:szCs w:val="10"/>
          <w:color w:val="auto"/>
        </w:rPr>
        <w:t>⌧</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jc w:val="center"/>
        <w:spacing w:after="0"/>
        <w:rPr>
          <w:sz w:val="20"/>
          <w:szCs w:val="20"/>
          <w:color w:val="auto"/>
        </w:rPr>
      </w:pPr>
      <w:r>
        <w:rPr>
          <w:rFonts w:ascii="Arial" w:cs="Arial" w:eastAsia="Arial" w:hAnsi="Arial"/>
          <w:sz w:val="10"/>
          <w:szCs w:val="10"/>
          <w:color w:val="auto"/>
        </w:rPr>
        <w:t>No</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34" w:lineRule="exact"/>
        <w:rPr>
          <w:sz w:val="20"/>
          <w:szCs w:val="20"/>
          <w:color w:val="auto"/>
        </w:rPr>
      </w:pPr>
      <w:r>
        <w:rPr>
          <w:rFonts w:ascii="Arial Unicode MS" w:cs="Arial Unicode MS" w:eastAsia="Arial Unicode MS" w:hAnsi="Arial Unicode MS"/>
          <w:sz w:val="10"/>
          <w:szCs w:val="10"/>
          <w:color w:val="auto"/>
        </w:rPr>
        <w:t>☐</w:t>
      </w:r>
    </w:p>
    <w:p>
      <w:pPr>
        <w:spacing w:after="0" w:line="60" w:lineRule="exact"/>
        <w:rPr>
          <w:sz w:val="24"/>
          <w:szCs w:val="24"/>
          <w:color w:val="auto"/>
        </w:rPr>
      </w:pPr>
    </w:p>
    <w:p>
      <w:pPr>
        <w:sectPr>
          <w:pgSz w:w="11900" w:h="16838" w:orient="portrait"/>
          <w:cols w:equalWidth="0" w:num="4">
            <w:col w:w="5120" w:space="80"/>
            <w:col w:w="120" w:space="60"/>
            <w:col w:w="140" w:space="80"/>
            <w:col w:w="3560"/>
          </w:cols>
          <w:pgMar w:left="1360" w:top="697" w:right="1379"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Arial" w:cs="Arial" w:eastAsia="Arial" w:hAnsi="Arial"/>
          <w:sz w:val="8"/>
          <w:szCs w:val="8"/>
          <w:color w:val="auto"/>
        </w:rPr>
        <w:t>Indicate by check mark if the registrant is not required to file reports pursuant to Section 13 or Section 15(d) of the Act. Yes</w:t>
      </w:r>
    </w:p>
    <w:p>
      <w:pPr>
        <w:spacing w:after="0" w:line="20" w:lineRule="exact"/>
        <w:rPr>
          <w:sz w:val="24"/>
          <w:szCs w:val="24"/>
          <w:color w:val="auto"/>
        </w:rPr>
      </w:pPr>
      <w:r>
        <w:rPr>
          <w:sz w:val="24"/>
          <w:szCs w:val="24"/>
          <w:color w:val="auto"/>
        </w:rPr>
        <w:br w:type="column"/>
      </w:r>
    </w:p>
    <w:p>
      <w:pPr>
        <w:jc w:val="center"/>
        <w:spacing w:after="0" w:line="114" w:lineRule="exact"/>
        <w:rPr>
          <w:sz w:val="20"/>
          <w:szCs w:val="20"/>
          <w:color w:val="auto"/>
        </w:rPr>
      </w:pPr>
      <w:r>
        <w:rPr>
          <w:rFonts w:ascii="Arial Unicode MS" w:cs="Arial Unicode MS" w:eastAsia="Arial Unicode MS" w:hAnsi="Arial Unicode MS"/>
          <w:sz w:val="10"/>
          <w:szCs w:val="10"/>
          <w:color w:val="auto"/>
        </w:rPr>
        <w:t>☐</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center"/>
        <w:spacing w:after="0"/>
        <w:rPr>
          <w:sz w:val="20"/>
          <w:szCs w:val="20"/>
          <w:color w:val="auto"/>
        </w:rPr>
      </w:pPr>
      <w:r>
        <w:rPr>
          <w:rFonts w:ascii="Arial" w:cs="Arial" w:eastAsia="Arial" w:hAnsi="Arial"/>
          <w:sz w:val="8"/>
          <w:szCs w:val="8"/>
          <w:color w:val="auto"/>
        </w:rPr>
        <w:t>No</w:t>
      </w:r>
    </w:p>
    <w:p>
      <w:pPr>
        <w:spacing w:after="0" w:line="20" w:lineRule="exact"/>
        <w:rPr>
          <w:sz w:val="24"/>
          <w:szCs w:val="24"/>
          <w:color w:val="auto"/>
        </w:rPr>
      </w:pPr>
      <w:r>
        <w:rPr>
          <w:sz w:val="24"/>
          <w:szCs w:val="24"/>
          <w:color w:val="auto"/>
        </w:rPr>
        <w:br w:type="column"/>
      </w:r>
    </w:p>
    <w:p>
      <w:pPr>
        <w:spacing w:after="0" w:line="114" w:lineRule="exact"/>
        <w:rPr>
          <w:sz w:val="20"/>
          <w:szCs w:val="20"/>
          <w:color w:val="auto"/>
        </w:rPr>
      </w:pPr>
      <w:r>
        <w:rPr>
          <w:rFonts w:ascii="Arial Unicode MS" w:cs="Arial Unicode MS" w:eastAsia="Arial Unicode MS" w:hAnsi="Arial Unicode MS"/>
          <w:sz w:val="10"/>
          <w:szCs w:val="10"/>
          <w:color w:val="auto"/>
        </w:rPr>
        <w:t>⌧</w:t>
      </w:r>
    </w:p>
    <w:p>
      <w:pPr>
        <w:spacing w:after="0" w:line="75" w:lineRule="exact"/>
        <w:rPr>
          <w:sz w:val="24"/>
          <w:szCs w:val="24"/>
          <w:color w:val="auto"/>
        </w:rPr>
      </w:pPr>
    </w:p>
    <w:p>
      <w:pPr>
        <w:sectPr>
          <w:pgSz w:w="11900" w:h="16838" w:orient="portrait"/>
          <w:cols w:equalWidth="0" w:num="4">
            <w:col w:w="5180" w:space="80"/>
            <w:col w:w="100" w:space="60"/>
            <w:col w:w="120" w:space="80"/>
            <w:col w:w="3540"/>
          </w:cols>
          <w:pgMar w:left="1360" w:top="697" w:right="1379" w:bottom="1440" w:gutter="0" w:footer="0" w:header="0"/>
          <w:type w:val="continuous"/>
        </w:sectPr>
      </w:pPr>
    </w:p>
    <w:p>
      <w:pPr>
        <w:spacing w:after="0" w:line="119" w:lineRule="exact"/>
        <w:rPr>
          <w:sz w:val="20"/>
          <w:szCs w:val="20"/>
          <w:color w:val="auto"/>
        </w:rPr>
      </w:pPr>
      <w:r>
        <w:rPr>
          <w:rFonts w:ascii="Arial" w:cs="Arial" w:eastAsia="Arial" w:hAnsi="Arial"/>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0"/>
          <w:szCs w:val="10"/>
          <w:color w:val="auto"/>
        </w:rPr>
        <w:t>⌧</w:t>
      </w:r>
      <w:r>
        <w:rPr>
          <w:rFonts w:ascii="Arial" w:cs="Arial" w:eastAsia="Arial" w:hAnsi="Arial"/>
          <w:sz w:val="10"/>
          <w:szCs w:val="10"/>
          <w:color w:val="auto"/>
        </w:rPr>
        <w:t xml:space="preserve"> No </w:t>
      </w:r>
      <w:r>
        <w:rPr>
          <w:rFonts w:ascii="Arial Unicode MS" w:cs="Arial Unicode MS" w:eastAsia="Arial Unicode MS" w:hAnsi="Arial Unicode MS"/>
          <w:sz w:val="10"/>
          <w:szCs w:val="10"/>
          <w:color w:val="auto"/>
        </w:rPr>
        <w:t>☐</w:t>
      </w:r>
    </w:p>
    <w:p>
      <w:pPr>
        <w:spacing w:after="0" w:line="61" w:lineRule="exact"/>
        <w:rPr>
          <w:sz w:val="24"/>
          <w:szCs w:val="24"/>
          <w:color w:val="auto"/>
        </w:rPr>
      </w:pPr>
    </w:p>
    <w:p>
      <w:pPr>
        <w:spacing w:after="0" w:line="119" w:lineRule="exact"/>
        <w:rPr>
          <w:sz w:val="20"/>
          <w:szCs w:val="20"/>
          <w:color w:val="auto"/>
        </w:rPr>
      </w:pPr>
      <w:r>
        <w:rPr>
          <w:rFonts w:ascii="Arial" w:cs="Arial" w:eastAsia="Arial" w:hAnsi="Arial"/>
          <w:sz w:val="10"/>
          <w:szCs w:val="10"/>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Arial Unicode MS" w:cs="Arial Unicode MS" w:eastAsia="Arial Unicode MS" w:hAnsi="Arial Unicode MS"/>
          <w:sz w:val="10"/>
          <w:szCs w:val="10"/>
          <w:color w:val="auto"/>
        </w:rPr>
        <w:t>⌧</w:t>
      </w:r>
      <w:r>
        <w:rPr>
          <w:rFonts w:ascii="Arial" w:cs="Arial" w:eastAsia="Arial" w:hAnsi="Arial"/>
          <w:sz w:val="10"/>
          <w:szCs w:val="10"/>
          <w:color w:val="auto"/>
        </w:rPr>
        <w:t xml:space="preserve"> No </w:t>
      </w:r>
      <w:r>
        <w:rPr>
          <w:rFonts w:ascii="Arial Unicode MS" w:cs="Arial Unicode MS" w:eastAsia="Arial Unicode MS" w:hAnsi="Arial Unicode MS"/>
          <w:sz w:val="10"/>
          <w:szCs w:val="10"/>
          <w:color w:val="auto"/>
        </w:rPr>
        <w:t>☐</w:t>
      </w:r>
    </w:p>
    <w:p>
      <w:pPr>
        <w:spacing w:after="0" w:line="61" w:lineRule="exact"/>
        <w:rPr>
          <w:sz w:val="24"/>
          <w:szCs w:val="24"/>
          <w:color w:val="auto"/>
        </w:rPr>
      </w:pPr>
    </w:p>
    <w:p>
      <w:pPr>
        <w:spacing w:after="0" w:line="226" w:lineRule="auto"/>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160"/>
          </w:cols>
          <w:pgMar w:left="1360" w:top="697" w:right="1379" w:bottom="1440" w:gutter="0" w:footer="0" w:header="0"/>
          <w:type w:val="continuous"/>
        </w:sectPr>
      </w:pPr>
    </w:p>
    <w:p>
      <w:pPr>
        <w:spacing w:after="0" w:line="81" w:lineRule="exact"/>
        <w:rPr>
          <w:sz w:val="24"/>
          <w:szCs w:val="24"/>
          <w:color w:val="auto"/>
        </w:rPr>
      </w:pPr>
    </w:p>
    <w:p>
      <w:pPr>
        <w:spacing w:after="0"/>
        <w:rPr>
          <w:sz w:val="20"/>
          <w:szCs w:val="20"/>
          <w:color w:val="auto"/>
        </w:rPr>
      </w:pPr>
      <w:r>
        <w:rPr>
          <w:rFonts w:ascii="Arial" w:cs="Arial" w:eastAsia="Arial" w:hAnsi="Arial"/>
          <w:sz w:val="8"/>
          <w:szCs w:val="8"/>
          <w:color w:val="auto"/>
        </w:rPr>
        <w:t>Large accelerated filer</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jc w:val="center"/>
        <w:ind w:right="820"/>
        <w:spacing w:after="0" w:line="108" w:lineRule="exact"/>
        <w:rPr>
          <w:sz w:val="20"/>
          <w:szCs w:val="20"/>
          <w:color w:val="auto"/>
        </w:rPr>
      </w:pPr>
      <w:r>
        <w:rPr>
          <w:rFonts w:ascii="Arial" w:cs="Arial" w:eastAsia="Arial" w:hAnsi="Arial"/>
          <w:sz w:val="8"/>
          <w:szCs w:val="8"/>
          <w:color w:val="auto"/>
        </w:rPr>
        <w:t xml:space="preserve">Accelerated filer </w:t>
      </w:r>
      <w:r>
        <w:rPr>
          <w:rFonts w:ascii="Arial Unicode MS" w:cs="Arial Unicode MS" w:eastAsia="Arial Unicode MS" w:hAnsi="Arial Unicode MS"/>
          <w:sz w:val="8"/>
          <w:szCs w:val="8"/>
          <w:color w:val="auto"/>
        </w:rPr>
        <w:t>☐</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line="108" w:lineRule="exact"/>
        <w:rPr>
          <w:sz w:val="20"/>
          <w:szCs w:val="20"/>
          <w:color w:val="auto"/>
        </w:rPr>
      </w:pPr>
      <w:r>
        <w:rPr>
          <w:rFonts w:ascii="Arial" w:cs="Arial" w:eastAsia="Arial" w:hAnsi="Arial"/>
          <w:sz w:val="8"/>
          <w:szCs w:val="8"/>
          <w:color w:val="auto"/>
        </w:rPr>
        <w:t xml:space="preserve">Non-accelerated filer </w:t>
      </w:r>
      <w:r>
        <w:rPr>
          <w:rFonts w:ascii="Arial Unicode MS" w:cs="Arial Unicode MS" w:eastAsia="Arial Unicode MS" w:hAnsi="Arial Unicode MS"/>
          <w:sz w:val="8"/>
          <w:szCs w:val="8"/>
          <w:color w:val="auto"/>
        </w:rPr>
        <w:t>☐</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line="108" w:lineRule="exact"/>
        <w:rPr>
          <w:sz w:val="20"/>
          <w:szCs w:val="20"/>
          <w:color w:val="auto"/>
        </w:rPr>
      </w:pPr>
      <w:r>
        <w:rPr>
          <w:rFonts w:ascii="Arial" w:cs="Arial" w:eastAsia="Arial" w:hAnsi="Arial"/>
          <w:sz w:val="8"/>
          <w:szCs w:val="8"/>
          <w:color w:val="auto"/>
        </w:rPr>
        <w:t xml:space="preserve">Smaller reporting company </w:t>
      </w:r>
      <w:r>
        <w:rPr>
          <w:rFonts w:ascii="Arial Unicode MS" w:cs="Arial Unicode MS" w:eastAsia="Arial Unicode MS" w:hAnsi="Arial Unicode MS"/>
          <w:sz w:val="8"/>
          <w:szCs w:val="8"/>
          <w:color w:val="auto"/>
        </w:rPr>
        <w:t>☐</w:t>
      </w:r>
    </w:p>
    <w:p>
      <w:pPr>
        <w:spacing w:after="0" w:line="42" w:lineRule="exact"/>
        <w:rPr>
          <w:sz w:val="24"/>
          <w:szCs w:val="24"/>
          <w:color w:val="auto"/>
        </w:rPr>
      </w:pPr>
    </w:p>
    <w:p>
      <w:pPr>
        <w:sectPr>
          <w:pgSz w:w="11900" w:h="16838" w:orient="portrait"/>
          <w:cols w:equalWidth="0" w:num="4">
            <w:col w:w="1620" w:space="720"/>
            <w:col w:w="1620" w:space="720"/>
            <w:col w:w="1620" w:space="720"/>
            <w:col w:w="2140"/>
          </w:cols>
          <w:pgMar w:left="1360" w:top="697" w:right="1379" w:bottom="1440" w:gutter="0" w:footer="0" w:header="0"/>
          <w:type w:val="continuous"/>
        </w:sectPr>
      </w:pPr>
    </w:p>
    <w:p>
      <w:pPr>
        <w:spacing w:after="0" w:line="108" w:lineRule="exact"/>
        <w:rPr>
          <w:sz w:val="20"/>
          <w:szCs w:val="20"/>
          <w:color w:val="auto"/>
        </w:rPr>
      </w:pPr>
      <w:r>
        <w:rPr>
          <w:rFonts w:ascii="Arial" w:cs="Arial" w:eastAsia="Arial" w:hAnsi="Arial"/>
          <w:sz w:val="8"/>
          <w:szCs w:val="8"/>
          <w:color w:val="auto"/>
        </w:rPr>
        <w:t xml:space="preserve">Emerging growth company </w:t>
      </w:r>
      <w:r>
        <w:rPr>
          <w:rFonts w:ascii="Arial Unicode MS" w:cs="Arial Unicode MS" w:eastAsia="Arial Unicode MS" w:hAnsi="Arial Unicode MS"/>
          <w:sz w:val="8"/>
          <w:szCs w:val="8"/>
          <w:color w:val="auto"/>
        </w:rPr>
        <w:t>☐</w:t>
      </w:r>
    </w:p>
    <w:p>
      <w:pPr>
        <w:sectPr>
          <w:pgSz w:w="11900" w:h="16838" w:orient="portrait"/>
          <w:cols w:equalWidth="0" w:num="1">
            <w:col w:w="9160"/>
          </w:cols>
          <w:pgMar w:left="1360" w:top="697" w:right="1379" w:bottom="1440" w:gutter="0" w:footer="0" w:header="0"/>
          <w:type w:val="continuous"/>
        </w:sectPr>
      </w:pPr>
    </w:p>
    <w:p>
      <w:pPr>
        <w:spacing w:after="0" w:line="45" w:lineRule="exact"/>
        <w:rPr>
          <w:sz w:val="24"/>
          <w:szCs w:val="24"/>
          <w:color w:val="auto"/>
        </w:rPr>
      </w:pPr>
    </w:p>
    <w:p>
      <w:pPr>
        <w:spacing w:after="0" w:line="119" w:lineRule="exact"/>
        <w:rPr>
          <w:sz w:val="20"/>
          <w:szCs w:val="20"/>
          <w:color w:val="auto"/>
        </w:rPr>
      </w:pPr>
      <w:r>
        <w:rPr>
          <w:rFonts w:ascii="Arial" w:cs="Arial" w:eastAsia="Arial" w:hAnsi="Arial"/>
          <w:sz w:val="10"/>
          <w:szCs w:val="10"/>
          <w:color w:val="auto"/>
        </w:rPr>
        <w:t xml:space="preserve">If an emerging growth company, indicate by check mark if the registrant has elected not to use the extended transition period for complying with any new or revised financial accounting standards pursuant to Section 13(a) of the Exchange Act. </w:t>
      </w:r>
      <w:r>
        <w:rPr>
          <w:rFonts w:ascii="Arial Unicode MS" w:cs="Arial Unicode MS" w:eastAsia="Arial Unicode MS" w:hAnsi="Arial Unicode MS"/>
          <w:sz w:val="10"/>
          <w:szCs w:val="10"/>
          <w:color w:val="auto"/>
        </w:rPr>
        <w:t>☐</w:t>
      </w:r>
    </w:p>
    <w:p>
      <w:pPr>
        <w:spacing w:after="0" w:line="61" w:lineRule="exact"/>
        <w:rPr>
          <w:sz w:val="24"/>
          <w:szCs w:val="24"/>
          <w:color w:val="auto"/>
        </w:rPr>
      </w:pPr>
    </w:p>
    <w:p>
      <w:pPr>
        <w:spacing w:after="0" w:line="119" w:lineRule="exact"/>
        <w:rPr>
          <w:sz w:val="20"/>
          <w:szCs w:val="20"/>
          <w:color w:val="auto"/>
        </w:rPr>
      </w:pPr>
      <w:r>
        <w:rPr>
          <w:rFonts w:ascii="Arial" w:cs="Arial" w:eastAsia="Arial" w:hAnsi="Arial"/>
          <w:sz w:val="10"/>
          <w:szCs w:val="1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0"/>
          <w:szCs w:val="10"/>
          <w:color w:val="auto"/>
        </w:rPr>
        <w:t>☒</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7960" w:type="dxa"/>
            <w:vAlign w:val="bottom"/>
          </w:tcPr>
          <w:p>
            <w:pPr>
              <w:spacing w:after="0" w:line="134" w:lineRule="exact"/>
              <w:rPr>
                <w:sz w:val="20"/>
                <w:szCs w:val="20"/>
                <w:color w:val="auto"/>
              </w:rPr>
            </w:pPr>
            <w:r>
              <w:rPr>
                <w:rFonts w:ascii="Arial" w:cs="Arial" w:eastAsia="Arial" w:hAnsi="Arial"/>
                <w:sz w:val="10"/>
                <w:szCs w:val="10"/>
                <w:color w:val="auto"/>
              </w:rPr>
              <w:t xml:space="preserve">Indicate by check mark whether the registrant is a shell company (as defined in Rule 12b-2 of the Act). Yes </w:t>
            </w:r>
            <w:r>
              <w:rPr>
                <w:rFonts w:ascii="Arial Unicode MS" w:cs="Arial Unicode MS" w:eastAsia="Arial Unicode MS" w:hAnsi="Arial Unicode MS"/>
                <w:sz w:val="10"/>
                <w:szCs w:val="10"/>
                <w:color w:val="auto"/>
              </w:rPr>
              <w:t>☐</w:t>
            </w:r>
            <w:r>
              <w:rPr>
                <w:rFonts w:ascii="Arial" w:cs="Arial" w:eastAsia="Arial" w:hAnsi="Arial"/>
                <w:sz w:val="10"/>
                <w:szCs w:val="10"/>
                <w:color w:val="auto"/>
              </w:rPr>
              <w:t xml:space="preserve"> No </w:t>
            </w:r>
            <w:r>
              <w:rPr>
                <w:rFonts w:ascii="Arial Unicode MS" w:cs="Arial Unicode MS" w:eastAsia="Arial Unicode MS" w:hAnsi="Arial Unicode MS"/>
                <w:sz w:val="10"/>
                <w:szCs w:val="10"/>
                <w:color w:val="auto"/>
              </w:rPr>
              <w:t>☒</w:t>
            </w:r>
          </w:p>
        </w:tc>
        <w:tc>
          <w:tcPr>
            <w:tcW w:w="1200" w:type="dxa"/>
            <w:vAlign w:val="bottom"/>
          </w:tcPr>
          <w:p>
            <w:pPr>
              <w:spacing w:after="0"/>
              <w:rPr>
                <w:sz w:val="12"/>
                <w:szCs w:val="12"/>
                <w:color w:val="auto"/>
              </w:rPr>
            </w:pPr>
          </w:p>
        </w:tc>
      </w:tr>
      <w:tr>
        <w:trPr>
          <w:trHeight w:val="173"/>
        </w:trPr>
        <w:tc>
          <w:tcPr>
            <w:tcW w:w="7960" w:type="dxa"/>
            <w:vAlign w:val="bottom"/>
          </w:tcPr>
          <w:p>
            <w:pPr>
              <w:spacing w:after="0"/>
              <w:rPr>
                <w:sz w:val="20"/>
                <w:szCs w:val="20"/>
                <w:color w:val="auto"/>
              </w:rPr>
            </w:pPr>
            <w:r>
              <w:rPr>
                <w:rFonts w:ascii="Arial" w:cs="Arial" w:eastAsia="Arial" w:hAnsi="Arial"/>
                <w:sz w:val="10"/>
                <w:szCs w:val="10"/>
                <w:color w:val="auto"/>
              </w:rPr>
              <w:t>The number of shares of the registrant’s Common Stock, par value $0.01 per share, outstanding as of March 22, 2021:</w:t>
            </w:r>
          </w:p>
        </w:tc>
        <w:tc>
          <w:tcPr>
            <w:tcW w:w="1200" w:type="dxa"/>
            <w:vAlign w:val="bottom"/>
          </w:tcPr>
          <w:p>
            <w:pPr>
              <w:jc w:val="right"/>
              <w:spacing w:after="0"/>
              <w:rPr>
                <w:sz w:val="20"/>
                <w:szCs w:val="20"/>
                <w:color w:val="auto"/>
              </w:rPr>
            </w:pPr>
            <w:r>
              <w:rPr>
                <w:rFonts w:ascii="Arial" w:cs="Arial" w:eastAsia="Arial" w:hAnsi="Arial"/>
                <w:sz w:val="10"/>
                <w:szCs w:val="10"/>
                <w:color w:val="auto"/>
              </w:rPr>
              <w:t>103,278,201</w:t>
            </w:r>
          </w:p>
        </w:tc>
      </w:tr>
      <w:tr>
        <w:trPr>
          <w:trHeight w:val="103"/>
        </w:trPr>
        <w:tc>
          <w:tcPr>
            <w:tcW w:w="7960" w:type="dxa"/>
            <w:vAlign w:val="bottom"/>
          </w:tcPr>
          <w:p>
            <w:pPr>
              <w:spacing w:after="0" w:line="103" w:lineRule="exact"/>
              <w:rPr>
                <w:sz w:val="20"/>
                <w:szCs w:val="20"/>
                <w:color w:val="auto"/>
              </w:rPr>
            </w:pPr>
            <w:r>
              <w:rPr>
                <w:rFonts w:ascii="Arial" w:cs="Arial" w:eastAsia="Arial" w:hAnsi="Arial"/>
                <w:sz w:val="10"/>
                <w:szCs w:val="10"/>
                <w:color w:val="auto"/>
              </w:rPr>
              <w:t>The aggregate market value of voting stock held by non-affiliates of the registrant computed by reference to the closing price as of the last business day of the Registrant’s most</w:t>
            </w:r>
          </w:p>
        </w:tc>
        <w:tc>
          <w:tcPr>
            <w:tcW w:w="1200" w:type="dxa"/>
            <w:vAlign w:val="bottom"/>
          </w:tcPr>
          <w:p>
            <w:pPr>
              <w:spacing w:after="0"/>
              <w:rPr>
                <w:sz w:val="8"/>
                <w:szCs w:val="8"/>
                <w:color w:val="auto"/>
              </w:rPr>
            </w:pPr>
          </w:p>
        </w:tc>
      </w:tr>
      <w:tr>
        <w:trPr>
          <w:trHeight w:val="115"/>
        </w:trPr>
        <w:tc>
          <w:tcPr>
            <w:tcW w:w="7960" w:type="dxa"/>
            <w:vAlign w:val="bottom"/>
          </w:tcPr>
          <w:p>
            <w:pPr>
              <w:spacing w:after="0"/>
              <w:rPr>
                <w:sz w:val="20"/>
                <w:szCs w:val="20"/>
                <w:color w:val="auto"/>
              </w:rPr>
            </w:pPr>
            <w:r>
              <w:rPr>
                <w:rFonts w:ascii="Arial" w:cs="Arial" w:eastAsia="Arial" w:hAnsi="Arial"/>
                <w:sz w:val="10"/>
                <w:szCs w:val="10"/>
                <w:color w:val="auto"/>
              </w:rPr>
              <w:t>recently completed second fiscal quarter, July 31, 2020 was approximately:</w:t>
            </w:r>
          </w:p>
        </w:tc>
        <w:tc>
          <w:tcPr>
            <w:tcW w:w="1200" w:type="dxa"/>
            <w:vAlign w:val="bottom"/>
          </w:tcPr>
          <w:p>
            <w:pPr>
              <w:jc w:val="right"/>
              <w:spacing w:after="0"/>
              <w:rPr>
                <w:sz w:val="20"/>
                <w:szCs w:val="20"/>
                <w:color w:val="auto"/>
              </w:rPr>
            </w:pPr>
            <w:r>
              <w:rPr>
                <w:rFonts w:ascii="Arial" w:cs="Arial" w:eastAsia="Arial" w:hAnsi="Arial"/>
                <w:sz w:val="10"/>
                <w:szCs w:val="10"/>
                <w:color w:val="auto"/>
              </w:rPr>
              <w:t>$1,727,775,209*</w:t>
            </w:r>
          </w:p>
        </w:tc>
      </w:tr>
    </w:tbl>
    <w:p>
      <w:pPr>
        <w:spacing w:after="0" w:line="91" w:lineRule="exact"/>
        <w:rPr>
          <w:sz w:val="24"/>
          <w:szCs w:val="24"/>
          <w:color w:val="auto"/>
        </w:rPr>
      </w:pPr>
    </w:p>
    <w:p>
      <w:pPr>
        <w:ind w:left="160" w:hanging="156"/>
        <w:spacing w:after="0" w:line="226" w:lineRule="auto"/>
        <w:tabs>
          <w:tab w:leader="none" w:pos="159" w:val="left"/>
        </w:tabs>
        <w:numPr>
          <w:ilvl w:val="0"/>
          <w:numId w:val="3"/>
        </w:numPr>
        <w:rPr>
          <w:rFonts w:ascii="Arial" w:cs="Arial" w:eastAsia="Arial" w:hAnsi="Arial"/>
          <w:sz w:val="10"/>
          <w:szCs w:val="10"/>
          <w:color w:val="auto"/>
        </w:rPr>
      </w:pPr>
      <w:r>
        <w:rPr>
          <w:rFonts w:ascii="Arial" w:cs="Arial" w:eastAsia="Arial" w:hAnsi="Arial"/>
          <w:sz w:val="10"/>
          <w:szCs w:val="10"/>
          <w:color w:val="auto"/>
        </w:rPr>
        <w:t>For purposes of this calculation only (a) all non-employee directors plus six executive officers and owners of five percent or more of the registrant are deemed to be affiliates of the registrant and (b) shares deemed to be “held” by such persons include only outstanding shares of the registrant’s voting stock with respect to which such persons had, on such date, voting or investment power.</w:t>
      </w:r>
    </w:p>
    <w:p>
      <w:pPr>
        <w:spacing w:after="0" w:line="59" w:lineRule="exact"/>
        <w:rPr>
          <w:sz w:val="24"/>
          <w:szCs w:val="24"/>
          <w:color w:val="auto"/>
        </w:rPr>
      </w:pPr>
    </w:p>
    <w:p>
      <w:pPr>
        <w:ind w:left="3480"/>
        <w:spacing w:after="0"/>
        <w:rPr>
          <w:sz w:val="20"/>
          <w:szCs w:val="20"/>
          <w:color w:val="auto"/>
        </w:rPr>
      </w:pPr>
      <w:r>
        <w:rPr>
          <w:rFonts w:ascii="Arial" w:cs="Arial" w:eastAsia="Arial" w:hAnsi="Arial"/>
          <w:sz w:val="10"/>
          <w:szCs w:val="10"/>
          <w:b w:val="1"/>
          <w:bCs w:val="1"/>
          <w:color w:val="auto"/>
        </w:rPr>
        <w:t>DOCUMENTS INCORPORATED BY REFERENCE</w:t>
      </w:r>
    </w:p>
    <w:p>
      <w:pPr>
        <w:spacing w:after="0" w:line="81" w:lineRule="exact"/>
        <w:rPr>
          <w:sz w:val="24"/>
          <w:szCs w:val="24"/>
          <w:color w:val="auto"/>
        </w:rPr>
      </w:pPr>
    </w:p>
    <w:p>
      <w:pPr>
        <w:spacing w:after="0"/>
        <w:rPr>
          <w:sz w:val="20"/>
          <w:szCs w:val="20"/>
          <w:color w:val="auto"/>
        </w:rPr>
      </w:pPr>
      <w:r>
        <w:rPr>
          <w:rFonts w:ascii="Arial" w:cs="Arial" w:eastAsia="Arial" w:hAnsi="Arial"/>
          <w:sz w:val="10"/>
          <w:szCs w:val="10"/>
          <w:color w:val="auto"/>
        </w:rPr>
        <w:t>Portions of the registrant’s definitive Proxy Statement (the “Proxy Statement”) to be filed in connection with the Annual Meeting of Shareholders to be held on May 19, 2021: Parts III and IV.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-3810</wp:posOffset>
            </wp:positionV>
            <wp:extent cx="581660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6600" cy="635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21590</wp:posOffset>
            </wp:positionV>
            <wp:extent cx="581660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16600" cy="26035"/>
                    </a:xfrm>
                    <a:prstGeom prst="rect">
                      <a:avLst/>
                    </a:prstGeom>
                    <a:noFill/>
                  </pic:spPr>
                </pic:pic>
              </a:graphicData>
            </a:graphic>
          </wp:anchor>
        </w:drawing>
        <w:drawing>
          <wp:anchor simplePos="0" relativeHeight="251657728" behindDoc="1" locked="0" layoutInCell="0" allowOverlap="1">
            <wp:simplePos x="0" y="0"/>
            <wp:positionH relativeFrom="column">
              <wp:posOffset>2246630</wp:posOffset>
            </wp:positionH>
            <wp:positionV relativeFrom="paragraph">
              <wp:posOffset>418465</wp:posOffset>
            </wp:positionV>
            <wp:extent cx="1329055" cy="143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9055" cy="143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TABLE OF CONTENTS</w:t>
      </w:r>
    </w:p>
    <w:p>
      <w:pPr>
        <w:spacing w:after="0" w:line="138" w:lineRule="exact"/>
        <w:rPr>
          <w:sz w:val="24"/>
          <w:szCs w:val="24"/>
          <w:color w:val="auto"/>
        </w:rPr>
      </w:pPr>
    </w:p>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PART I</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289560</wp:posOffset>
            </wp:positionV>
            <wp:extent cx="5810250" cy="19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10250" cy="196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-87630</wp:posOffset>
            </wp:positionV>
            <wp:extent cx="5816600" cy="1174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16600" cy="117475"/>
                    </a:xfrm>
                    <a:prstGeom prst="rect">
                      <a:avLst/>
                    </a:prstGeom>
                    <a:noFill/>
                  </pic:spPr>
                </pic:pic>
              </a:graphicData>
            </a:graphic>
          </wp:anchor>
        </w:drawing>
      </w:r>
    </w:p>
    <w:p>
      <w:pPr>
        <w:sectPr>
          <w:pgSz w:w="11900" w:h="16838" w:orient="portrait"/>
          <w:cols w:equalWidth="0" w:num="1">
            <w:col w:w="9160"/>
          </w:cols>
          <w:pgMar w:left="1360" w:top="697" w:right="137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149"/>
        </w:trPr>
        <w:tc>
          <w:tcPr>
            <w:tcW w:w="840" w:type="dxa"/>
            <w:vAlign w:val="bottom"/>
            <w:gridSpan w:val="7"/>
          </w:tcPr>
          <w:p>
            <w:pPr>
              <w:spacing w:after="0"/>
              <w:rPr>
                <w:rFonts w:ascii="Arial" w:cs="Arial" w:eastAsia="Arial" w:hAnsi="Arial"/>
                <w:sz w:val="13"/>
                <w:szCs w:val="13"/>
                <w:color w:val="0000EE"/>
              </w:rPr>
            </w:pPr>
            <w:hyperlink w:anchor="page4">
              <w:r>
                <w:rPr>
                  <w:rFonts w:ascii="Arial" w:cs="Arial" w:eastAsia="Arial" w:hAnsi="Arial"/>
                  <w:sz w:val="13"/>
                  <w:szCs w:val="13"/>
                  <w:color w:val="0000EE"/>
                </w:rPr>
                <w:t>Item 1.</w:t>
              </w:r>
            </w:hyperlink>
          </w:p>
        </w:tc>
        <w:tc>
          <w:tcPr>
            <w:tcW w:w="7300" w:type="dxa"/>
            <w:vAlign w:val="bottom"/>
            <w:gridSpan w:val="24"/>
          </w:tcPr>
          <w:p>
            <w:pPr>
              <w:ind w:left="60"/>
              <w:spacing w:after="0"/>
              <w:rPr>
                <w:rFonts w:ascii="Arial" w:cs="Arial" w:eastAsia="Arial" w:hAnsi="Arial"/>
                <w:sz w:val="13"/>
                <w:szCs w:val="13"/>
                <w:color w:val="0000EE"/>
              </w:rPr>
            </w:pPr>
            <w:hyperlink w:anchor="page4">
              <w:r>
                <w:rPr>
                  <w:rFonts w:ascii="Arial" w:cs="Arial" w:eastAsia="Arial" w:hAnsi="Arial"/>
                  <w:sz w:val="13"/>
                  <w:szCs w:val="13"/>
                  <w:color w:val="0000EE"/>
                </w:rPr>
                <w:t>Business</w:t>
              </w:r>
            </w:hyperlink>
          </w:p>
        </w:tc>
        <w:tc>
          <w:tcPr>
            <w:tcW w:w="820" w:type="dxa"/>
            <w:vAlign w:val="bottom"/>
          </w:tcPr>
          <w:p>
            <w:pPr>
              <w:jc w:val="right"/>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480" w:type="dxa"/>
            <w:vAlign w:val="bottom"/>
            <w:gridSpan w:val="4"/>
            <w:shd w:val="clear" w:color="auto" w:fill="CCEEFF"/>
          </w:tcPr>
          <w:p>
            <w:pPr>
              <w:spacing w:after="0" w:line="134" w:lineRule="exact"/>
              <w:rPr>
                <w:rFonts w:ascii="Arial" w:cs="Arial" w:eastAsia="Arial" w:hAnsi="Arial"/>
                <w:sz w:val="13"/>
                <w:szCs w:val="13"/>
                <w:color w:val="0000EE"/>
                <w:w w:val="94"/>
              </w:rPr>
            </w:pPr>
            <w:hyperlink w:anchor="page6">
              <w:r>
                <w:rPr>
                  <w:rFonts w:ascii="Arial" w:cs="Arial" w:eastAsia="Arial" w:hAnsi="Arial"/>
                  <w:sz w:val="13"/>
                  <w:szCs w:val="13"/>
                  <w:color w:val="0000EE"/>
                  <w:w w:val="94"/>
                </w:rPr>
                <w:t>Item 1A.</w:t>
              </w:r>
            </w:hyperlink>
          </w:p>
        </w:tc>
        <w:tc>
          <w:tcPr>
            <w:tcW w:w="340" w:type="dxa"/>
            <w:vAlign w:val="bottom"/>
            <w:gridSpan w:val="2"/>
            <w:shd w:val="clear" w:color="auto" w:fill="CCEEFF"/>
          </w:tcPr>
          <w:p>
            <w:pPr>
              <w:spacing w:after="0"/>
              <w:rPr>
                <w:sz w:val="11"/>
                <w:szCs w:val="11"/>
                <w:color w:val="auto"/>
              </w:rPr>
            </w:pPr>
          </w:p>
        </w:tc>
        <w:tc>
          <w:tcPr>
            <w:tcW w:w="7300" w:type="dxa"/>
            <w:vAlign w:val="bottom"/>
            <w:gridSpan w:val="24"/>
            <w:shd w:val="clear" w:color="auto" w:fill="CCEEFF"/>
          </w:tcPr>
          <w:p>
            <w:pPr>
              <w:ind w:left="60"/>
              <w:spacing w:after="0" w:line="134" w:lineRule="exact"/>
              <w:rPr>
                <w:rFonts w:ascii="Arial" w:cs="Arial" w:eastAsia="Arial" w:hAnsi="Arial"/>
                <w:sz w:val="13"/>
                <w:szCs w:val="13"/>
                <w:color w:val="0000EE"/>
              </w:rPr>
            </w:pPr>
            <w:hyperlink w:anchor="page6">
              <w:r>
                <w:rPr>
                  <w:rFonts w:ascii="Arial" w:cs="Arial" w:eastAsia="Arial" w:hAnsi="Arial"/>
                  <w:sz w:val="13"/>
                  <w:szCs w:val="13"/>
                  <w:color w:val="0000EE"/>
                </w:rPr>
                <w:t>Risk Factors</w:t>
              </w:r>
            </w:hyperlink>
          </w:p>
        </w:tc>
        <w:tc>
          <w:tcPr>
            <w:tcW w:w="82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00" w:type="dxa"/>
            <w:vAlign w:val="bottom"/>
            <w:gridSpan w:val="5"/>
          </w:tcPr>
          <w:p>
            <w:pPr>
              <w:spacing w:after="0" w:line="134" w:lineRule="exact"/>
              <w:rPr>
                <w:rFonts w:ascii="Arial" w:cs="Arial" w:eastAsia="Arial" w:hAnsi="Arial"/>
                <w:sz w:val="13"/>
                <w:szCs w:val="13"/>
                <w:color w:val="0000EE"/>
                <w:w w:val="99"/>
              </w:rPr>
            </w:pPr>
            <w:hyperlink w:anchor="page16">
              <w:r>
                <w:rPr>
                  <w:rFonts w:ascii="Arial" w:cs="Arial" w:eastAsia="Arial" w:hAnsi="Arial"/>
                  <w:sz w:val="13"/>
                  <w:szCs w:val="13"/>
                  <w:color w:val="0000EE"/>
                  <w:w w:val="99"/>
                </w:rPr>
                <w:t>Item 1B.</w:t>
              </w:r>
            </w:hyperlink>
          </w:p>
        </w:tc>
        <w:tc>
          <w:tcPr>
            <w:tcW w:w="340" w:type="dxa"/>
            <w:vAlign w:val="bottom"/>
            <w:gridSpan w:val="2"/>
          </w:tcPr>
          <w:p>
            <w:pPr>
              <w:spacing w:after="0"/>
              <w:rPr>
                <w:sz w:val="11"/>
                <w:szCs w:val="11"/>
                <w:color w:val="auto"/>
              </w:rPr>
            </w:pPr>
          </w:p>
        </w:tc>
        <w:tc>
          <w:tcPr>
            <w:tcW w:w="7300" w:type="dxa"/>
            <w:vAlign w:val="bottom"/>
            <w:gridSpan w:val="24"/>
          </w:tcPr>
          <w:p>
            <w:pPr>
              <w:ind w:left="60"/>
              <w:spacing w:after="0" w:line="134" w:lineRule="exact"/>
              <w:rPr>
                <w:rFonts w:ascii="Arial" w:cs="Arial" w:eastAsia="Arial" w:hAnsi="Arial"/>
                <w:sz w:val="13"/>
                <w:szCs w:val="13"/>
                <w:color w:val="0000EE"/>
              </w:rPr>
            </w:pPr>
            <w:hyperlink w:anchor="page16">
              <w:r>
                <w:rPr>
                  <w:rFonts w:ascii="Arial" w:cs="Arial" w:eastAsia="Arial" w:hAnsi="Arial"/>
                  <w:sz w:val="13"/>
                  <w:szCs w:val="13"/>
                  <w:color w:val="0000EE"/>
                </w:rPr>
                <w:t>Unresolved Staff Comments</w:t>
              </w:r>
            </w:hyperlink>
          </w:p>
        </w:tc>
        <w:tc>
          <w:tcPr>
            <w:tcW w:w="820" w:type="dxa"/>
            <w:vAlign w:val="bottom"/>
          </w:tcPr>
          <w:p>
            <w:pPr>
              <w:jc w:val="right"/>
              <w:spacing w:after="0" w:line="134" w:lineRule="exact"/>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gridSpan w:val="6"/>
            <w:shd w:val="clear" w:color="auto" w:fill="CCEEFF"/>
          </w:tcPr>
          <w:p>
            <w:pPr>
              <w:spacing w:after="0" w:line="134" w:lineRule="exact"/>
              <w:rPr>
                <w:rFonts w:ascii="Arial" w:cs="Arial" w:eastAsia="Arial" w:hAnsi="Arial"/>
                <w:sz w:val="13"/>
                <w:szCs w:val="13"/>
                <w:color w:val="0000EE"/>
              </w:rPr>
            </w:pPr>
            <w:hyperlink w:anchor="page16">
              <w:r>
                <w:rPr>
                  <w:rFonts w:ascii="Arial" w:cs="Arial" w:eastAsia="Arial" w:hAnsi="Arial"/>
                  <w:sz w:val="13"/>
                  <w:szCs w:val="13"/>
                  <w:color w:val="0000EE"/>
                </w:rPr>
                <w:t>Item 2.</w:t>
              </w:r>
            </w:hyperlink>
          </w:p>
        </w:tc>
        <w:tc>
          <w:tcPr>
            <w:tcW w:w="7300" w:type="dxa"/>
            <w:vAlign w:val="bottom"/>
            <w:gridSpan w:val="24"/>
            <w:shd w:val="clear" w:color="auto" w:fill="CCEEFF"/>
          </w:tcPr>
          <w:p>
            <w:pPr>
              <w:ind w:left="60"/>
              <w:spacing w:after="0" w:line="134" w:lineRule="exact"/>
              <w:rPr>
                <w:rFonts w:ascii="Arial" w:cs="Arial" w:eastAsia="Arial" w:hAnsi="Arial"/>
                <w:sz w:val="13"/>
                <w:szCs w:val="13"/>
                <w:color w:val="0000EE"/>
              </w:rPr>
            </w:pPr>
            <w:hyperlink w:anchor="page16">
              <w:r>
                <w:rPr>
                  <w:rFonts w:ascii="Arial" w:cs="Arial" w:eastAsia="Arial" w:hAnsi="Arial"/>
                  <w:sz w:val="13"/>
                  <w:szCs w:val="13"/>
                  <w:color w:val="0000EE"/>
                </w:rPr>
                <w:t>Properties</w:t>
              </w:r>
            </w:hyperlink>
          </w:p>
        </w:tc>
        <w:tc>
          <w:tcPr>
            <w:tcW w:w="82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40" w:type="dxa"/>
            <w:vAlign w:val="bottom"/>
            <w:gridSpan w:val="7"/>
          </w:tcPr>
          <w:p>
            <w:pPr>
              <w:spacing w:after="0" w:line="134" w:lineRule="exact"/>
              <w:rPr>
                <w:rFonts w:ascii="Arial" w:cs="Arial" w:eastAsia="Arial" w:hAnsi="Arial"/>
                <w:sz w:val="13"/>
                <w:szCs w:val="13"/>
                <w:color w:val="0000EE"/>
              </w:rPr>
            </w:pPr>
            <w:hyperlink w:anchor="page16">
              <w:r>
                <w:rPr>
                  <w:rFonts w:ascii="Arial" w:cs="Arial" w:eastAsia="Arial" w:hAnsi="Arial"/>
                  <w:sz w:val="13"/>
                  <w:szCs w:val="13"/>
                  <w:color w:val="0000EE"/>
                </w:rPr>
                <w:t>Item 3.</w:t>
              </w:r>
            </w:hyperlink>
          </w:p>
        </w:tc>
        <w:tc>
          <w:tcPr>
            <w:tcW w:w="7300" w:type="dxa"/>
            <w:vAlign w:val="bottom"/>
            <w:gridSpan w:val="24"/>
          </w:tcPr>
          <w:p>
            <w:pPr>
              <w:ind w:left="60"/>
              <w:spacing w:after="0" w:line="134" w:lineRule="exact"/>
              <w:rPr>
                <w:rFonts w:ascii="Arial" w:cs="Arial" w:eastAsia="Arial" w:hAnsi="Arial"/>
                <w:sz w:val="13"/>
                <w:szCs w:val="13"/>
                <w:color w:val="0000EE"/>
              </w:rPr>
            </w:pPr>
            <w:hyperlink w:anchor="page16">
              <w:r>
                <w:rPr>
                  <w:rFonts w:ascii="Arial" w:cs="Arial" w:eastAsia="Arial" w:hAnsi="Arial"/>
                  <w:sz w:val="13"/>
                  <w:szCs w:val="13"/>
                  <w:color w:val="0000EE"/>
                </w:rPr>
                <w:t>Legal Proceedings</w:t>
              </w:r>
            </w:hyperlink>
          </w:p>
        </w:tc>
        <w:tc>
          <w:tcPr>
            <w:tcW w:w="820" w:type="dxa"/>
            <w:vAlign w:val="bottom"/>
          </w:tcPr>
          <w:p>
            <w:pPr>
              <w:jc w:val="right"/>
              <w:spacing w:after="0" w:line="134" w:lineRule="exact"/>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gridSpan w:val="6"/>
            <w:shd w:val="clear" w:color="auto" w:fill="CCEEFF"/>
          </w:tcPr>
          <w:p>
            <w:pPr>
              <w:spacing w:after="0" w:line="134" w:lineRule="exact"/>
              <w:rPr>
                <w:rFonts w:ascii="Arial" w:cs="Arial" w:eastAsia="Arial" w:hAnsi="Arial"/>
                <w:sz w:val="13"/>
                <w:szCs w:val="13"/>
                <w:color w:val="0000EE"/>
              </w:rPr>
            </w:pPr>
            <w:hyperlink w:anchor="page17">
              <w:r>
                <w:rPr>
                  <w:rFonts w:ascii="Arial" w:cs="Arial" w:eastAsia="Arial" w:hAnsi="Arial"/>
                  <w:sz w:val="13"/>
                  <w:szCs w:val="13"/>
                  <w:color w:val="0000EE"/>
                </w:rPr>
                <w:t>Item 4.</w:t>
              </w:r>
            </w:hyperlink>
          </w:p>
        </w:tc>
        <w:tc>
          <w:tcPr>
            <w:tcW w:w="7300" w:type="dxa"/>
            <w:vAlign w:val="bottom"/>
            <w:gridSpan w:val="24"/>
            <w:shd w:val="clear" w:color="auto" w:fill="CCEEFF"/>
          </w:tcPr>
          <w:p>
            <w:pPr>
              <w:ind w:left="60"/>
              <w:spacing w:after="0" w:line="134" w:lineRule="exact"/>
              <w:rPr>
                <w:rFonts w:ascii="Arial" w:cs="Arial" w:eastAsia="Arial" w:hAnsi="Arial"/>
                <w:sz w:val="13"/>
                <w:szCs w:val="13"/>
                <w:color w:val="0000EE"/>
              </w:rPr>
            </w:pPr>
            <w:hyperlink w:anchor="page17">
              <w:r>
                <w:rPr>
                  <w:rFonts w:ascii="Arial" w:cs="Arial" w:eastAsia="Arial" w:hAnsi="Arial"/>
                  <w:sz w:val="13"/>
                  <w:szCs w:val="13"/>
                  <w:color w:val="0000EE"/>
                </w:rPr>
                <w:t>Mine Safety Disclosures</w:t>
              </w:r>
            </w:hyperlink>
          </w:p>
        </w:tc>
        <w:tc>
          <w:tcPr>
            <w:tcW w:w="82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40" w:type="dxa"/>
            <w:vAlign w:val="bottom"/>
            <w:gridSpan w:val="7"/>
          </w:tcPr>
          <w:p>
            <w:pPr>
              <w:spacing w:after="0" w:line="134" w:lineRule="exact"/>
              <w:rPr>
                <w:rFonts w:ascii="Arial" w:cs="Arial" w:eastAsia="Arial" w:hAnsi="Arial"/>
                <w:sz w:val="13"/>
                <w:szCs w:val="13"/>
                <w:color w:val="0000EE"/>
              </w:rPr>
            </w:pPr>
            <w:hyperlink w:anchor="page17">
              <w:r>
                <w:rPr>
                  <w:rFonts w:ascii="Arial" w:cs="Arial" w:eastAsia="Arial" w:hAnsi="Arial"/>
                  <w:sz w:val="13"/>
                  <w:szCs w:val="13"/>
                  <w:color w:val="0000EE"/>
                </w:rPr>
                <w:t>Item 4A.</w:t>
              </w:r>
            </w:hyperlink>
          </w:p>
        </w:tc>
        <w:tc>
          <w:tcPr>
            <w:tcW w:w="7300" w:type="dxa"/>
            <w:vAlign w:val="bottom"/>
            <w:gridSpan w:val="24"/>
          </w:tcPr>
          <w:p>
            <w:pPr>
              <w:ind w:left="60"/>
              <w:spacing w:after="0" w:line="134" w:lineRule="exact"/>
              <w:rPr>
                <w:rFonts w:ascii="Arial" w:cs="Arial" w:eastAsia="Arial" w:hAnsi="Arial"/>
                <w:sz w:val="13"/>
                <w:szCs w:val="13"/>
                <w:color w:val="0000EE"/>
              </w:rPr>
            </w:pPr>
            <w:hyperlink w:anchor="page17">
              <w:r>
                <w:rPr>
                  <w:rFonts w:ascii="Arial" w:cs="Arial" w:eastAsia="Arial" w:hAnsi="Arial"/>
                  <w:sz w:val="13"/>
                  <w:szCs w:val="13"/>
                  <w:color w:val="0000EE"/>
                </w:rPr>
                <w:t>Information about our Executive Officers</w:t>
              </w:r>
            </w:hyperlink>
          </w:p>
        </w:tc>
        <w:tc>
          <w:tcPr>
            <w:tcW w:w="820" w:type="dxa"/>
            <w:vAlign w:val="bottom"/>
          </w:tcPr>
          <w:p>
            <w:pPr>
              <w:jc w:val="right"/>
              <w:spacing w:after="0" w:line="134" w:lineRule="exact"/>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vMerge w:val="restart"/>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vMerge w:val="continue"/>
          </w:tcPr>
          <w:p>
            <w:pPr>
              <w:spacing w:after="0"/>
              <w:rPr>
                <w:sz w:val="11"/>
                <w:szCs w:val="11"/>
                <w:color w:val="auto"/>
              </w:rPr>
            </w:pPr>
          </w:p>
        </w:tc>
        <w:tc>
          <w:tcPr>
            <w:tcW w:w="820" w:type="dxa"/>
            <w:vAlign w:val="bottom"/>
            <w:gridSpan w:val="6"/>
          </w:tcPr>
          <w:p>
            <w:pPr>
              <w:spacing w:after="0" w:line="134" w:lineRule="exact"/>
              <w:rPr>
                <w:rFonts w:ascii="Arial" w:cs="Arial" w:eastAsia="Arial" w:hAnsi="Arial"/>
                <w:sz w:val="13"/>
                <w:szCs w:val="13"/>
                <w:b w:val="1"/>
                <w:bCs w:val="1"/>
                <w:color w:val="0000EE"/>
              </w:rPr>
            </w:pPr>
            <w:hyperlink w:anchor="page18">
              <w:r>
                <w:rPr>
                  <w:rFonts w:ascii="Arial" w:cs="Arial" w:eastAsia="Arial" w:hAnsi="Arial"/>
                  <w:sz w:val="13"/>
                  <w:szCs w:val="13"/>
                  <w:b w:val="1"/>
                  <w:bCs w:val="1"/>
                  <w:color w:val="0000EE"/>
                </w:rPr>
                <w:t>PART II</w:t>
              </w:r>
            </w:hyperlink>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bottom w:val="single" w:sz="8" w:color="auto"/>
            </w:tcBorders>
          </w:tcPr>
          <w:p>
            <w:pPr>
              <w:spacing w:after="0" w:line="20" w:lineRule="exact"/>
              <w:rPr>
                <w:sz w:val="1"/>
                <w:szCs w:val="1"/>
                <w:color w:val="auto"/>
              </w:rPr>
            </w:pPr>
          </w:p>
        </w:tc>
        <w:tc>
          <w:tcPr>
            <w:tcW w:w="60" w:type="dxa"/>
            <w:vAlign w:val="bottom"/>
            <w:tcBorders>
              <w:top w:val="single" w:sz="8" w:color="0000EE"/>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840" w:type="dxa"/>
            <w:vAlign w:val="bottom"/>
            <w:gridSpan w:val="7"/>
          </w:tcPr>
          <w:p>
            <w:pPr>
              <w:spacing w:after="0" w:line="134" w:lineRule="exact"/>
              <w:rPr>
                <w:rFonts w:ascii="Arial" w:cs="Arial" w:eastAsia="Arial" w:hAnsi="Arial"/>
                <w:sz w:val="13"/>
                <w:szCs w:val="13"/>
                <w:color w:val="0000EE"/>
              </w:rPr>
            </w:pPr>
            <w:hyperlink w:anchor="page18">
              <w:r>
                <w:rPr>
                  <w:rFonts w:ascii="Arial" w:cs="Arial" w:eastAsia="Arial" w:hAnsi="Arial"/>
                  <w:sz w:val="13"/>
                  <w:szCs w:val="13"/>
                  <w:color w:val="0000EE"/>
                </w:rPr>
                <w:t>Item 5.</w:t>
              </w:r>
            </w:hyperlink>
          </w:p>
        </w:tc>
        <w:tc>
          <w:tcPr>
            <w:tcW w:w="7300" w:type="dxa"/>
            <w:vAlign w:val="bottom"/>
            <w:gridSpan w:val="24"/>
          </w:tcPr>
          <w:p>
            <w:pPr>
              <w:ind w:left="60"/>
              <w:spacing w:after="0" w:line="134" w:lineRule="exact"/>
              <w:rPr>
                <w:rFonts w:ascii="Arial" w:cs="Arial" w:eastAsia="Arial" w:hAnsi="Arial"/>
                <w:sz w:val="13"/>
                <w:szCs w:val="13"/>
                <w:color w:val="0000EE"/>
              </w:rPr>
            </w:pPr>
            <w:hyperlink w:anchor="page18">
              <w:r>
                <w:rPr>
                  <w:rFonts w:ascii="Arial" w:cs="Arial" w:eastAsia="Arial" w:hAnsi="Arial"/>
                  <w:sz w:val="13"/>
                  <w:szCs w:val="13"/>
                  <w:color w:val="0000EE"/>
                </w:rPr>
                <w:t>Market for the Company’s Common Equity, Related Stockholder Matters and Issuer Purchases of Equity Securities</w:t>
              </w:r>
            </w:hyperlink>
          </w:p>
        </w:tc>
        <w:tc>
          <w:tcPr>
            <w:tcW w:w="820" w:type="dxa"/>
            <w:vAlign w:val="bottom"/>
          </w:tcPr>
          <w:p>
            <w:pPr>
              <w:jc w:val="right"/>
              <w:spacing w:after="0" w:line="134" w:lineRule="exact"/>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gridSpan w:val="6"/>
            <w:shd w:val="clear" w:color="auto" w:fill="CCEEFF"/>
          </w:tcPr>
          <w:p>
            <w:pPr>
              <w:spacing w:after="0" w:line="134" w:lineRule="exact"/>
              <w:rPr>
                <w:rFonts w:ascii="Arial" w:cs="Arial" w:eastAsia="Arial" w:hAnsi="Arial"/>
                <w:sz w:val="13"/>
                <w:szCs w:val="13"/>
                <w:color w:val="0000EE"/>
              </w:rPr>
            </w:pPr>
            <w:hyperlink w:anchor="page20">
              <w:r>
                <w:rPr>
                  <w:rFonts w:ascii="Arial" w:cs="Arial" w:eastAsia="Arial" w:hAnsi="Arial"/>
                  <w:sz w:val="13"/>
                  <w:szCs w:val="13"/>
                  <w:color w:val="0000EE"/>
                </w:rPr>
                <w:t>Item 6.</w:t>
              </w:r>
            </w:hyperlink>
          </w:p>
        </w:tc>
        <w:tc>
          <w:tcPr>
            <w:tcW w:w="7300" w:type="dxa"/>
            <w:vAlign w:val="bottom"/>
            <w:gridSpan w:val="24"/>
            <w:shd w:val="clear" w:color="auto" w:fill="CCEEFF"/>
          </w:tcPr>
          <w:p>
            <w:pPr>
              <w:ind w:left="60"/>
              <w:spacing w:after="0" w:line="134" w:lineRule="exact"/>
              <w:rPr>
                <w:rFonts w:ascii="Arial" w:cs="Arial" w:eastAsia="Arial" w:hAnsi="Arial"/>
                <w:sz w:val="13"/>
                <w:szCs w:val="13"/>
                <w:color w:val="0000EE"/>
              </w:rPr>
            </w:pPr>
            <w:hyperlink w:anchor="page20">
              <w:r>
                <w:rPr>
                  <w:rFonts w:ascii="Arial" w:cs="Arial" w:eastAsia="Arial" w:hAnsi="Arial"/>
                  <w:sz w:val="13"/>
                  <w:szCs w:val="13"/>
                  <w:color w:val="0000EE"/>
                </w:rPr>
                <w:t>Selected Financial Data</w:t>
              </w:r>
            </w:hyperlink>
          </w:p>
        </w:tc>
        <w:tc>
          <w:tcPr>
            <w:tcW w:w="82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40" w:type="dxa"/>
            <w:vAlign w:val="bottom"/>
            <w:gridSpan w:val="7"/>
          </w:tcPr>
          <w:p>
            <w:pPr>
              <w:spacing w:after="0" w:line="134" w:lineRule="exact"/>
              <w:rPr>
                <w:rFonts w:ascii="Arial" w:cs="Arial" w:eastAsia="Arial" w:hAnsi="Arial"/>
                <w:sz w:val="13"/>
                <w:szCs w:val="13"/>
                <w:color w:val="0000EE"/>
              </w:rPr>
            </w:pPr>
            <w:hyperlink w:anchor="page21">
              <w:r>
                <w:rPr>
                  <w:rFonts w:ascii="Arial" w:cs="Arial" w:eastAsia="Arial" w:hAnsi="Arial"/>
                  <w:sz w:val="13"/>
                  <w:szCs w:val="13"/>
                  <w:color w:val="0000EE"/>
                </w:rPr>
                <w:t>Item 7.</w:t>
              </w:r>
            </w:hyperlink>
          </w:p>
        </w:tc>
        <w:tc>
          <w:tcPr>
            <w:tcW w:w="7300" w:type="dxa"/>
            <w:vAlign w:val="bottom"/>
            <w:gridSpan w:val="24"/>
          </w:tcPr>
          <w:p>
            <w:pPr>
              <w:ind w:left="60"/>
              <w:spacing w:after="0" w:line="134" w:lineRule="exact"/>
              <w:rPr>
                <w:rFonts w:ascii="Arial" w:cs="Arial" w:eastAsia="Arial" w:hAnsi="Arial"/>
                <w:sz w:val="13"/>
                <w:szCs w:val="13"/>
                <w:color w:val="0000EE"/>
              </w:rPr>
            </w:pPr>
            <w:hyperlink w:anchor="page21">
              <w:r>
                <w:rPr>
                  <w:rFonts w:ascii="Arial" w:cs="Arial" w:eastAsia="Arial" w:hAnsi="Arial"/>
                  <w:sz w:val="13"/>
                  <w:szCs w:val="13"/>
                  <w:color w:val="0000EE"/>
                </w:rPr>
                <w:t>Management’s Discussion and Analysis of Financial Condition and Results of Operations</w:t>
              </w:r>
            </w:hyperlink>
          </w:p>
        </w:tc>
        <w:tc>
          <w:tcPr>
            <w:tcW w:w="820" w:type="dxa"/>
            <w:vAlign w:val="bottom"/>
          </w:tcPr>
          <w:p>
            <w:pPr>
              <w:jc w:val="right"/>
              <w:spacing w:after="0" w:line="134" w:lineRule="exact"/>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480" w:type="dxa"/>
            <w:vAlign w:val="bottom"/>
            <w:gridSpan w:val="4"/>
            <w:shd w:val="clear" w:color="auto" w:fill="CCEEFF"/>
          </w:tcPr>
          <w:p>
            <w:pPr>
              <w:spacing w:after="0" w:line="134" w:lineRule="exact"/>
              <w:rPr>
                <w:rFonts w:ascii="Arial" w:cs="Arial" w:eastAsia="Arial" w:hAnsi="Arial"/>
                <w:sz w:val="13"/>
                <w:szCs w:val="13"/>
                <w:color w:val="0000EE"/>
                <w:w w:val="94"/>
              </w:rPr>
            </w:pPr>
            <w:hyperlink w:anchor="page36">
              <w:r>
                <w:rPr>
                  <w:rFonts w:ascii="Arial" w:cs="Arial" w:eastAsia="Arial" w:hAnsi="Arial"/>
                  <w:sz w:val="13"/>
                  <w:szCs w:val="13"/>
                  <w:color w:val="0000EE"/>
                  <w:w w:val="94"/>
                </w:rPr>
                <w:t>Item 7A.</w:t>
              </w:r>
            </w:hyperlink>
          </w:p>
        </w:tc>
        <w:tc>
          <w:tcPr>
            <w:tcW w:w="340" w:type="dxa"/>
            <w:vAlign w:val="bottom"/>
            <w:gridSpan w:val="2"/>
            <w:shd w:val="clear" w:color="auto" w:fill="CCEEFF"/>
          </w:tcPr>
          <w:p>
            <w:pPr>
              <w:spacing w:after="0"/>
              <w:rPr>
                <w:sz w:val="11"/>
                <w:szCs w:val="11"/>
                <w:color w:val="auto"/>
              </w:rPr>
            </w:pPr>
          </w:p>
        </w:tc>
        <w:tc>
          <w:tcPr>
            <w:tcW w:w="7300" w:type="dxa"/>
            <w:vAlign w:val="bottom"/>
            <w:gridSpan w:val="24"/>
            <w:shd w:val="clear" w:color="auto" w:fill="CCEEFF"/>
          </w:tcPr>
          <w:p>
            <w:pPr>
              <w:ind w:left="60"/>
              <w:spacing w:after="0" w:line="134" w:lineRule="exact"/>
              <w:rPr>
                <w:rFonts w:ascii="Arial" w:cs="Arial" w:eastAsia="Arial" w:hAnsi="Arial"/>
                <w:sz w:val="13"/>
                <w:szCs w:val="13"/>
                <w:color w:val="0000EE"/>
              </w:rPr>
            </w:pPr>
            <w:hyperlink w:anchor="page36">
              <w:r>
                <w:rPr>
                  <w:rFonts w:ascii="Arial" w:cs="Arial" w:eastAsia="Arial" w:hAnsi="Arial"/>
                  <w:sz w:val="13"/>
                  <w:szCs w:val="13"/>
                  <w:color w:val="0000EE"/>
                </w:rPr>
                <w:t>Quantitative and Qualitative Disclosures About Market Risk</w:t>
              </w:r>
            </w:hyperlink>
          </w:p>
        </w:tc>
        <w:tc>
          <w:tcPr>
            <w:tcW w:w="82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00" w:type="dxa"/>
            <w:vAlign w:val="bottom"/>
            <w:gridSpan w:val="5"/>
          </w:tcPr>
          <w:p>
            <w:pPr>
              <w:spacing w:after="0" w:line="134" w:lineRule="exact"/>
              <w:rPr>
                <w:rFonts w:ascii="Arial" w:cs="Arial" w:eastAsia="Arial" w:hAnsi="Arial"/>
                <w:sz w:val="13"/>
                <w:szCs w:val="13"/>
                <w:color w:val="0000EE"/>
              </w:rPr>
            </w:pPr>
            <w:hyperlink w:anchor="page36">
              <w:r>
                <w:rPr>
                  <w:rFonts w:ascii="Arial" w:cs="Arial" w:eastAsia="Arial" w:hAnsi="Arial"/>
                  <w:sz w:val="13"/>
                  <w:szCs w:val="13"/>
                  <w:color w:val="0000EE"/>
                </w:rPr>
                <w:t>Item 8.</w:t>
              </w:r>
            </w:hyperlink>
          </w:p>
        </w:tc>
        <w:tc>
          <w:tcPr>
            <w:tcW w:w="340" w:type="dxa"/>
            <w:vAlign w:val="bottom"/>
            <w:gridSpan w:val="2"/>
          </w:tcPr>
          <w:p>
            <w:pPr>
              <w:spacing w:after="0"/>
              <w:rPr>
                <w:sz w:val="11"/>
                <w:szCs w:val="11"/>
                <w:color w:val="auto"/>
              </w:rPr>
            </w:pPr>
          </w:p>
        </w:tc>
        <w:tc>
          <w:tcPr>
            <w:tcW w:w="7300" w:type="dxa"/>
            <w:vAlign w:val="bottom"/>
            <w:gridSpan w:val="24"/>
          </w:tcPr>
          <w:p>
            <w:pPr>
              <w:ind w:left="60"/>
              <w:spacing w:after="0" w:line="134" w:lineRule="exact"/>
              <w:rPr>
                <w:rFonts w:ascii="Arial" w:cs="Arial" w:eastAsia="Arial" w:hAnsi="Arial"/>
                <w:sz w:val="13"/>
                <w:szCs w:val="13"/>
                <w:color w:val="0000EE"/>
              </w:rPr>
            </w:pPr>
            <w:hyperlink w:anchor="page36">
              <w:r>
                <w:rPr>
                  <w:rFonts w:ascii="Arial" w:cs="Arial" w:eastAsia="Arial" w:hAnsi="Arial"/>
                  <w:sz w:val="13"/>
                  <w:szCs w:val="13"/>
                  <w:color w:val="0000EE"/>
                </w:rPr>
                <w:t>Consolidated Financial Statements and Supplementary Data</w:t>
              </w:r>
            </w:hyperlink>
          </w:p>
        </w:tc>
        <w:tc>
          <w:tcPr>
            <w:tcW w:w="820" w:type="dxa"/>
            <w:vAlign w:val="bottom"/>
          </w:tcPr>
          <w:p>
            <w:pPr>
              <w:jc w:val="right"/>
              <w:spacing w:after="0" w:line="134" w:lineRule="exact"/>
              <w:rPr>
                <w:sz w:val="20"/>
                <w:szCs w:val="20"/>
                <w:color w:val="auto"/>
              </w:rPr>
            </w:pPr>
            <w:r>
              <w:rPr>
                <w:rFonts w:ascii="Arial" w:cs="Arial" w:eastAsia="Arial" w:hAnsi="Arial"/>
                <w:sz w:val="13"/>
                <w:szCs w:val="13"/>
                <w:color w:val="auto"/>
              </w:rPr>
              <w:t>33</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820" w:type="dxa"/>
            <w:vAlign w:val="bottom"/>
            <w:gridSpan w:val="6"/>
            <w:shd w:val="clear" w:color="auto" w:fill="CCEEFF"/>
          </w:tcPr>
          <w:p>
            <w:pPr>
              <w:spacing w:after="0" w:line="134" w:lineRule="exact"/>
              <w:rPr>
                <w:rFonts w:ascii="Arial" w:cs="Arial" w:eastAsia="Arial" w:hAnsi="Arial"/>
                <w:sz w:val="13"/>
                <w:szCs w:val="13"/>
                <w:color w:val="0000EE"/>
              </w:rPr>
            </w:pPr>
            <w:hyperlink w:anchor="page77">
              <w:r>
                <w:rPr>
                  <w:rFonts w:ascii="Arial" w:cs="Arial" w:eastAsia="Arial" w:hAnsi="Arial"/>
                  <w:sz w:val="13"/>
                  <w:szCs w:val="13"/>
                  <w:color w:val="0000EE"/>
                </w:rPr>
                <w:t>Item 9.</w:t>
              </w:r>
            </w:hyperlink>
          </w:p>
        </w:tc>
        <w:tc>
          <w:tcPr>
            <w:tcW w:w="7300" w:type="dxa"/>
            <w:vAlign w:val="bottom"/>
            <w:gridSpan w:val="24"/>
            <w:shd w:val="clear" w:color="auto" w:fill="CCEEFF"/>
          </w:tcPr>
          <w:p>
            <w:pPr>
              <w:ind w:left="60"/>
              <w:spacing w:after="0" w:line="134" w:lineRule="exact"/>
              <w:rPr>
                <w:rFonts w:ascii="Arial" w:cs="Arial" w:eastAsia="Arial" w:hAnsi="Arial"/>
                <w:sz w:val="13"/>
                <w:szCs w:val="13"/>
                <w:color w:val="0000EE"/>
              </w:rPr>
            </w:pPr>
            <w:hyperlink w:anchor="page77">
              <w:r>
                <w:rPr>
                  <w:rFonts w:ascii="Arial" w:cs="Arial" w:eastAsia="Arial" w:hAnsi="Arial"/>
                  <w:sz w:val="13"/>
                  <w:szCs w:val="13"/>
                  <w:color w:val="0000EE"/>
                </w:rPr>
                <w:t>Changes in and Disagreements with Accountants on Accounting and Financial Disclosure</w:t>
              </w:r>
            </w:hyperlink>
          </w:p>
        </w:tc>
        <w:tc>
          <w:tcPr>
            <w:tcW w:w="82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840" w:type="dxa"/>
            <w:vAlign w:val="bottom"/>
            <w:gridSpan w:val="7"/>
          </w:tcPr>
          <w:p>
            <w:pPr>
              <w:spacing w:after="0" w:line="134" w:lineRule="exact"/>
              <w:rPr>
                <w:rFonts w:ascii="Arial" w:cs="Arial" w:eastAsia="Arial" w:hAnsi="Arial"/>
                <w:sz w:val="13"/>
                <w:szCs w:val="13"/>
                <w:color w:val="0000EE"/>
              </w:rPr>
            </w:pPr>
            <w:hyperlink w:anchor="page77">
              <w:r>
                <w:rPr>
                  <w:rFonts w:ascii="Arial" w:cs="Arial" w:eastAsia="Arial" w:hAnsi="Arial"/>
                  <w:sz w:val="13"/>
                  <w:szCs w:val="13"/>
                  <w:color w:val="0000EE"/>
                </w:rPr>
                <w:t>Item 9A.</w:t>
              </w:r>
            </w:hyperlink>
          </w:p>
        </w:tc>
        <w:tc>
          <w:tcPr>
            <w:tcW w:w="7300" w:type="dxa"/>
            <w:vAlign w:val="bottom"/>
            <w:gridSpan w:val="24"/>
          </w:tcPr>
          <w:p>
            <w:pPr>
              <w:ind w:left="60"/>
              <w:spacing w:after="0" w:line="134" w:lineRule="exact"/>
              <w:rPr>
                <w:rFonts w:ascii="Arial" w:cs="Arial" w:eastAsia="Arial" w:hAnsi="Arial"/>
                <w:sz w:val="13"/>
                <w:szCs w:val="13"/>
                <w:color w:val="0000EE"/>
              </w:rPr>
            </w:pPr>
            <w:hyperlink w:anchor="page77">
              <w:r>
                <w:rPr>
                  <w:rFonts w:ascii="Arial" w:cs="Arial" w:eastAsia="Arial" w:hAnsi="Arial"/>
                  <w:sz w:val="13"/>
                  <w:szCs w:val="13"/>
                  <w:color w:val="0000EE"/>
                </w:rPr>
                <w:t>Controls and Procedures</w:t>
              </w:r>
            </w:hyperlink>
          </w:p>
        </w:tc>
        <w:tc>
          <w:tcPr>
            <w:tcW w:w="820" w:type="dxa"/>
            <w:vAlign w:val="bottom"/>
          </w:tcPr>
          <w:p>
            <w:pPr>
              <w:jc w:val="right"/>
              <w:spacing w:after="0" w:line="134" w:lineRule="exact"/>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820" w:type="dxa"/>
            <w:vAlign w:val="bottom"/>
            <w:gridSpan w:val="6"/>
            <w:shd w:val="clear" w:color="auto" w:fill="CCEEFF"/>
          </w:tcPr>
          <w:p>
            <w:pPr>
              <w:spacing w:after="0" w:line="134" w:lineRule="exact"/>
              <w:rPr>
                <w:rFonts w:ascii="Arial" w:cs="Arial" w:eastAsia="Arial" w:hAnsi="Arial"/>
                <w:sz w:val="13"/>
                <w:szCs w:val="13"/>
                <w:color w:val="0000EE"/>
              </w:rPr>
            </w:pPr>
            <w:hyperlink w:anchor="page79">
              <w:r>
                <w:rPr>
                  <w:rFonts w:ascii="Arial" w:cs="Arial" w:eastAsia="Arial" w:hAnsi="Arial"/>
                  <w:sz w:val="13"/>
                  <w:szCs w:val="13"/>
                  <w:color w:val="0000EE"/>
                </w:rPr>
                <w:t>Item 9B.</w:t>
              </w:r>
            </w:hyperlink>
          </w:p>
        </w:tc>
        <w:tc>
          <w:tcPr>
            <w:tcW w:w="7300" w:type="dxa"/>
            <w:vAlign w:val="bottom"/>
            <w:gridSpan w:val="24"/>
            <w:shd w:val="clear" w:color="auto" w:fill="CCEEFF"/>
          </w:tcPr>
          <w:p>
            <w:pPr>
              <w:ind w:left="60"/>
              <w:spacing w:after="0" w:line="134" w:lineRule="exact"/>
              <w:rPr>
                <w:rFonts w:ascii="Arial" w:cs="Arial" w:eastAsia="Arial" w:hAnsi="Arial"/>
                <w:sz w:val="13"/>
                <w:szCs w:val="13"/>
                <w:color w:val="0000EE"/>
              </w:rPr>
            </w:pPr>
            <w:hyperlink w:anchor="page79">
              <w:r>
                <w:rPr>
                  <w:rFonts w:ascii="Arial" w:cs="Arial" w:eastAsia="Arial" w:hAnsi="Arial"/>
                  <w:sz w:val="13"/>
                  <w:szCs w:val="13"/>
                  <w:color w:val="0000EE"/>
                </w:rPr>
                <w:t>Other Information</w:t>
              </w:r>
            </w:hyperlink>
          </w:p>
        </w:tc>
        <w:tc>
          <w:tcPr>
            <w:tcW w:w="82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174"/>
        </w:trPr>
        <w:tc>
          <w:tcPr>
            <w:tcW w:w="20" w:type="dxa"/>
            <w:vAlign w:val="bottom"/>
            <w:tcBorders>
              <w:top w:val="single" w:sz="8" w:color="0000EE"/>
            </w:tcBorders>
            <w:vMerge w:val="restart"/>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Borders>
              <w:bottom w:val="single" w:sz="8" w:color="0000EE"/>
            </w:tcBorders>
            <w:vMerge w:val="continue"/>
          </w:tcPr>
          <w:p>
            <w:pPr>
              <w:spacing w:after="0"/>
              <w:rPr>
                <w:sz w:val="15"/>
                <w:szCs w:val="15"/>
                <w:color w:val="auto"/>
              </w:rPr>
            </w:pPr>
          </w:p>
        </w:tc>
        <w:tc>
          <w:tcPr>
            <w:tcW w:w="820" w:type="dxa"/>
            <w:vAlign w:val="bottom"/>
            <w:tcBorders>
              <w:bottom w:val="single" w:sz="8" w:color="auto"/>
            </w:tcBorders>
            <w:gridSpan w:val="6"/>
            <w:shd w:val="clear" w:color="auto" w:fill="CCEEFF"/>
          </w:tcPr>
          <w:p>
            <w:pPr>
              <w:spacing w:after="0" w:line="134" w:lineRule="exact"/>
              <w:rPr>
                <w:rFonts w:ascii="Arial" w:cs="Arial" w:eastAsia="Arial" w:hAnsi="Arial"/>
                <w:sz w:val="13"/>
                <w:szCs w:val="13"/>
                <w:b w:val="1"/>
                <w:bCs w:val="1"/>
                <w:color w:val="0000EE"/>
              </w:rPr>
            </w:pPr>
            <w:hyperlink w:anchor="page79">
              <w:r>
                <w:rPr>
                  <w:rFonts w:ascii="Arial" w:cs="Arial" w:eastAsia="Arial" w:hAnsi="Arial"/>
                  <w:sz w:val="13"/>
                  <w:szCs w:val="13"/>
                  <w:b w:val="1"/>
                  <w:bCs w:val="1"/>
                  <w:color w:val="0000EE"/>
                </w:rPr>
                <w:t>PART III</w:t>
              </w:r>
            </w:hyperlink>
          </w:p>
        </w:tc>
        <w:tc>
          <w:tcPr>
            <w:tcW w:w="6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60" w:type="dxa"/>
            <w:vAlign w:val="bottom"/>
            <w:gridSpan w:val="3"/>
            <w:shd w:val="clear" w:color="auto" w:fill="CCEEFF"/>
          </w:tcPr>
          <w:p>
            <w:pPr>
              <w:spacing w:after="0" w:line="134" w:lineRule="exact"/>
              <w:rPr>
                <w:rFonts w:ascii="Arial" w:cs="Arial" w:eastAsia="Arial" w:hAnsi="Arial"/>
                <w:sz w:val="13"/>
                <w:szCs w:val="13"/>
                <w:color w:val="0000EE"/>
                <w:w w:val="93"/>
              </w:rPr>
            </w:pPr>
            <w:hyperlink w:anchor="page79">
              <w:r>
                <w:rPr>
                  <w:rFonts w:ascii="Arial" w:cs="Arial" w:eastAsia="Arial" w:hAnsi="Arial"/>
                  <w:sz w:val="13"/>
                  <w:szCs w:val="13"/>
                  <w:color w:val="0000EE"/>
                  <w:w w:val="93"/>
                </w:rPr>
                <w:t>Item 10.</w:t>
              </w:r>
            </w:hyperlink>
          </w:p>
        </w:tc>
        <w:tc>
          <w:tcPr>
            <w:tcW w:w="360" w:type="dxa"/>
            <w:vAlign w:val="bottom"/>
            <w:gridSpan w:val="3"/>
            <w:shd w:val="clear" w:color="auto" w:fill="CCEEFF"/>
          </w:tcPr>
          <w:p>
            <w:pPr>
              <w:spacing w:after="0"/>
              <w:rPr>
                <w:sz w:val="11"/>
                <w:szCs w:val="11"/>
                <w:color w:val="auto"/>
              </w:rPr>
            </w:pPr>
          </w:p>
        </w:tc>
        <w:tc>
          <w:tcPr>
            <w:tcW w:w="7300" w:type="dxa"/>
            <w:vAlign w:val="bottom"/>
            <w:gridSpan w:val="24"/>
            <w:shd w:val="clear" w:color="auto" w:fill="CCEEFF"/>
          </w:tcPr>
          <w:p>
            <w:pPr>
              <w:ind w:left="60"/>
              <w:spacing w:after="0" w:line="134" w:lineRule="exact"/>
              <w:rPr>
                <w:rFonts w:ascii="Arial" w:cs="Arial" w:eastAsia="Arial" w:hAnsi="Arial"/>
                <w:sz w:val="13"/>
                <w:szCs w:val="13"/>
                <w:color w:val="0000EE"/>
              </w:rPr>
            </w:pPr>
            <w:hyperlink w:anchor="page79">
              <w:r>
                <w:rPr>
                  <w:rFonts w:ascii="Arial" w:cs="Arial" w:eastAsia="Arial" w:hAnsi="Arial"/>
                  <w:sz w:val="13"/>
                  <w:szCs w:val="13"/>
                  <w:color w:val="0000EE"/>
                </w:rPr>
                <w:t>Directors, Executive Officers and Corporate Governance</w:t>
              </w:r>
            </w:hyperlink>
          </w:p>
        </w:tc>
        <w:tc>
          <w:tcPr>
            <w:tcW w:w="82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80" w:type="dxa"/>
            <w:vAlign w:val="bottom"/>
            <w:gridSpan w:val="4"/>
          </w:tcPr>
          <w:p>
            <w:pPr>
              <w:spacing w:after="0" w:line="134" w:lineRule="exact"/>
              <w:rPr>
                <w:rFonts w:ascii="Arial" w:cs="Arial" w:eastAsia="Arial" w:hAnsi="Arial"/>
                <w:sz w:val="13"/>
                <w:szCs w:val="13"/>
                <w:color w:val="0000EE"/>
                <w:w w:val="97"/>
              </w:rPr>
            </w:pPr>
            <w:hyperlink w:anchor="page79">
              <w:r>
                <w:rPr>
                  <w:rFonts w:ascii="Arial" w:cs="Arial" w:eastAsia="Arial" w:hAnsi="Arial"/>
                  <w:sz w:val="13"/>
                  <w:szCs w:val="13"/>
                  <w:color w:val="0000EE"/>
                  <w:w w:val="97"/>
                </w:rPr>
                <w:t>Item 11.</w:t>
              </w:r>
            </w:hyperlink>
          </w:p>
        </w:tc>
        <w:tc>
          <w:tcPr>
            <w:tcW w:w="360" w:type="dxa"/>
            <w:vAlign w:val="bottom"/>
            <w:gridSpan w:val="3"/>
          </w:tcPr>
          <w:p>
            <w:pPr>
              <w:spacing w:after="0"/>
              <w:rPr>
                <w:sz w:val="11"/>
                <w:szCs w:val="11"/>
                <w:color w:val="auto"/>
              </w:rPr>
            </w:pPr>
          </w:p>
        </w:tc>
        <w:tc>
          <w:tcPr>
            <w:tcW w:w="7300" w:type="dxa"/>
            <w:vAlign w:val="bottom"/>
            <w:gridSpan w:val="24"/>
          </w:tcPr>
          <w:p>
            <w:pPr>
              <w:ind w:left="60"/>
              <w:spacing w:after="0" w:line="134" w:lineRule="exact"/>
              <w:rPr>
                <w:rFonts w:ascii="Arial" w:cs="Arial" w:eastAsia="Arial" w:hAnsi="Arial"/>
                <w:sz w:val="13"/>
                <w:szCs w:val="13"/>
                <w:color w:val="0000EE"/>
              </w:rPr>
            </w:pPr>
            <w:hyperlink w:anchor="page79">
              <w:r>
                <w:rPr>
                  <w:rFonts w:ascii="Arial" w:cs="Arial" w:eastAsia="Arial" w:hAnsi="Arial"/>
                  <w:sz w:val="13"/>
                  <w:szCs w:val="13"/>
                  <w:color w:val="0000EE"/>
                </w:rPr>
                <w:t>Executive Compensation</w:t>
              </w:r>
            </w:hyperlink>
          </w:p>
        </w:tc>
        <w:tc>
          <w:tcPr>
            <w:tcW w:w="820" w:type="dxa"/>
            <w:vAlign w:val="bottom"/>
          </w:tcPr>
          <w:p>
            <w:pPr>
              <w:jc w:val="right"/>
              <w:spacing w:after="0" w:line="134" w:lineRule="exact"/>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460" w:type="dxa"/>
            <w:vAlign w:val="bottom"/>
            <w:gridSpan w:val="3"/>
            <w:shd w:val="clear" w:color="auto" w:fill="CCEEFF"/>
          </w:tcPr>
          <w:p>
            <w:pPr>
              <w:spacing w:after="0" w:line="134" w:lineRule="exact"/>
              <w:rPr>
                <w:rFonts w:ascii="Arial" w:cs="Arial" w:eastAsia="Arial" w:hAnsi="Arial"/>
                <w:sz w:val="13"/>
                <w:szCs w:val="13"/>
                <w:color w:val="0000EE"/>
                <w:w w:val="93"/>
              </w:rPr>
            </w:pPr>
            <w:hyperlink w:anchor="page79">
              <w:r>
                <w:rPr>
                  <w:rFonts w:ascii="Arial" w:cs="Arial" w:eastAsia="Arial" w:hAnsi="Arial"/>
                  <w:sz w:val="13"/>
                  <w:szCs w:val="13"/>
                  <w:color w:val="0000EE"/>
                  <w:w w:val="93"/>
                </w:rPr>
                <w:t>Item 12.</w:t>
              </w:r>
            </w:hyperlink>
          </w:p>
        </w:tc>
        <w:tc>
          <w:tcPr>
            <w:tcW w:w="360" w:type="dxa"/>
            <w:vAlign w:val="bottom"/>
            <w:gridSpan w:val="3"/>
            <w:shd w:val="clear" w:color="auto" w:fill="CCEEFF"/>
          </w:tcPr>
          <w:p>
            <w:pPr>
              <w:spacing w:after="0"/>
              <w:rPr>
                <w:sz w:val="11"/>
                <w:szCs w:val="11"/>
                <w:color w:val="auto"/>
              </w:rPr>
            </w:pPr>
          </w:p>
        </w:tc>
        <w:tc>
          <w:tcPr>
            <w:tcW w:w="7300" w:type="dxa"/>
            <w:vAlign w:val="bottom"/>
            <w:gridSpan w:val="24"/>
            <w:shd w:val="clear" w:color="auto" w:fill="CCEEFF"/>
          </w:tcPr>
          <w:p>
            <w:pPr>
              <w:ind w:left="60"/>
              <w:spacing w:after="0" w:line="134" w:lineRule="exact"/>
              <w:rPr>
                <w:rFonts w:ascii="Arial" w:cs="Arial" w:eastAsia="Arial" w:hAnsi="Arial"/>
                <w:sz w:val="13"/>
                <w:szCs w:val="13"/>
                <w:color w:val="0000EE"/>
              </w:rPr>
            </w:pPr>
            <w:hyperlink w:anchor="page79">
              <w:r>
                <w:rPr>
                  <w:rFonts w:ascii="Arial" w:cs="Arial" w:eastAsia="Arial" w:hAnsi="Arial"/>
                  <w:sz w:val="13"/>
                  <w:szCs w:val="13"/>
                  <w:color w:val="0000EE"/>
                </w:rPr>
                <w:t>Security Ownership of Certain Beneficial Owners and Management and Related Stockholder Matters</w:t>
              </w:r>
            </w:hyperlink>
          </w:p>
        </w:tc>
        <w:tc>
          <w:tcPr>
            <w:tcW w:w="82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90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80" w:type="dxa"/>
            <w:vAlign w:val="bottom"/>
            <w:gridSpan w:val="4"/>
          </w:tcPr>
          <w:p>
            <w:pPr>
              <w:spacing w:after="0" w:line="134" w:lineRule="exact"/>
              <w:rPr>
                <w:rFonts w:ascii="Arial" w:cs="Arial" w:eastAsia="Arial" w:hAnsi="Arial"/>
                <w:sz w:val="13"/>
                <w:szCs w:val="13"/>
                <w:color w:val="0000EE"/>
                <w:w w:val="97"/>
              </w:rPr>
            </w:pPr>
            <w:hyperlink w:anchor="page79">
              <w:r>
                <w:rPr>
                  <w:rFonts w:ascii="Arial" w:cs="Arial" w:eastAsia="Arial" w:hAnsi="Arial"/>
                  <w:sz w:val="13"/>
                  <w:szCs w:val="13"/>
                  <w:color w:val="0000EE"/>
                  <w:w w:val="97"/>
                </w:rPr>
                <w:t>Item 13.</w:t>
              </w:r>
            </w:hyperlink>
          </w:p>
        </w:tc>
        <w:tc>
          <w:tcPr>
            <w:tcW w:w="360" w:type="dxa"/>
            <w:vAlign w:val="bottom"/>
            <w:gridSpan w:val="3"/>
          </w:tcPr>
          <w:p>
            <w:pPr>
              <w:spacing w:after="0"/>
              <w:rPr>
                <w:sz w:val="11"/>
                <w:szCs w:val="11"/>
                <w:color w:val="auto"/>
              </w:rPr>
            </w:pPr>
          </w:p>
        </w:tc>
        <w:tc>
          <w:tcPr>
            <w:tcW w:w="7300" w:type="dxa"/>
            <w:vAlign w:val="bottom"/>
            <w:gridSpan w:val="24"/>
          </w:tcPr>
          <w:p>
            <w:pPr>
              <w:ind w:left="60"/>
              <w:spacing w:after="0" w:line="134" w:lineRule="exact"/>
              <w:rPr>
                <w:rFonts w:ascii="Arial" w:cs="Arial" w:eastAsia="Arial" w:hAnsi="Arial"/>
                <w:sz w:val="13"/>
                <w:szCs w:val="13"/>
                <w:color w:val="0000EE"/>
              </w:rPr>
            </w:pPr>
            <w:hyperlink w:anchor="page79">
              <w:r>
                <w:rPr>
                  <w:rFonts w:ascii="Arial" w:cs="Arial" w:eastAsia="Arial" w:hAnsi="Arial"/>
                  <w:sz w:val="13"/>
                  <w:szCs w:val="13"/>
                  <w:color w:val="0000EE"/>
                </w:rPr>
                <w:t>Certain Relationships and Related Transactions, and Director Independence</w:t>
              </w:r>
            </w:hyperlink>
          </w:p>
        </w:tc>
        <w:tc>
          <w:tcPr>
            <w:tcW w:w="820" w:type="dxa"/>
            <w:vAlign w:val="bottom"/>
          </w:tcPr>
          <w:p>
            <w:pPr>
              <w:jc w:val="right"/>
              <w:spacing w:after="0" w:line="134" w:lineRule="exact"/>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820" w:type="dxa"/>
            <w:vAlign w:val="bottom"/>
            <w:gridSpan w:val="6"/>
            <w:shd w:val="clear" w:color="auto" w:fill="CCEEFF"/>
          </w:tcPr>
          <w:p>
            <w:pPr>
              <w:spacing w:after="0" w:line="134" w:lineRule="exact"/>
              <w:rPr>
                <w:rFonts w:ascii="Arial" w:cs="Arial" w:eastAsia="Arial" w:hAnsi="Arial"/>
                <w:sz w:val="13"/>
                <w:szCs w:val="13"/>
                <w:color w:val="0000EE"/>
              </w:rPr>
            </w:pPr>
            <w:hyperlink w:anchor="page79">
              <w:r>
                <w:rPr>
                  <w:rFonts w:ascii="Arial" w:cs="Arial" w:eastAsia="Arial" w:hAnsi="Arial"/>
                  <w:sz w:val="13"/>
                  <w:szCs w:val="13"/>
                  <w:color w:val="0000EE"/>
                </w:rPr>
                <w:t>Item 14.</w:t>
              </w:r>
            </w:hyperlink>
          </w:p>
        </w:tc>
        <w:tc>
          <w:tcPr>
            <w:tcW w:w="7300" w:type="dxa"/>
            <w:vAlign w:val="bottom"/>
            <w:gridSpan w:val="24"/>
            <w:shd w:val="clear" w:color="auto" w:fill="CCEEFF"/>
          </w:tcPr>
          <w:p>
            <w:pPr>
              <w:ind w:left="60"/>
              <w:spacing w:after="0" w:line="134" w:lineRule="exact"/>
              <w:rPr>
                <w:rFonts w:ascii="Arial" w:cs="Arial" w:eastAsia="Arial" w:hAnsi="Arial"/>
                <w:sz w:val="13"/>
                <w:szCs w:val="13"/>
                <w:color w:val="0000EE"/>
              </w:rPr>
            </w:pPr>
            <w:hyperlink w:anchor="page79">
              <w:r>
                <w:rPr>
                  <w:rFonts w:ascii="Arial" w:cs="Arial" w:eastAsia="Arial" w:hAnsi="Arial"/>
                  <w:sz w:val="13"/>
                  <w:szCs w:val="13"/>
                  <w:color w:val="0000EE"/>
                </w:rPr>
                <w:t>Principal Accounting Fees and Services</w:t>
              </w:r>
            </w:hyperlink>
          </w:p>
        </w:tc>
        <w:tc>
          <w:tcPr>
            <w:tcW w:w="82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76</w:t>
            </w:r>
          </w:p>
        </w:tc>
        <w:tc>
          <w:tcPr>
            <w:tcW w:w="0" w:type="dxa"/>
            <w:vAlign w:val="bottom"/>
          </w:tcPr>
          <w:p>
            <w:pPr>
              <w:spacing w:after="0"/>
              <w:rPr>
                <w:sz w:val="1"/>
                <w:szCs w:val="1"/>
                <w:color w:val="auto"/>
              </w:rPr>
            </w:pPr>
          </w:p>
        </w:tc>
      </w:tr>
      <w:tr>
        <w:trPr>
          <w:trHeight w:val="174"/>
        </w:trPr>
        <w:tc>
          <w:tcPr>
            <w:tcW w:w="20" w:type="dxa"/>
            <w:vAlign w:val="bottom"/>
            <w:tcBorders>
              <w:top w:val="single" w:sz="8" w:color="0000EE"/>
            </w:tcBorders>
            <w:vMerge w:val="restart"/>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660" w:type="dxa"/>
            <w:vAlign w:val="bottom"/>
            <w:tcBorders>
              <w:top w:val="single" w:sz="8" w:color="0000EE"/>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90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640" w:type="dxa"/>
            <w:vAlign w:val="bottom"/>
            <w:tcBorders>
              <w:top w:val="single" w:sz="8" w:color="CCEEFF"/>
            </w:tcBorders>
          </w:tcPr>
          <w:p>
            <w:pPr>
              <w:spacing w:after="0"/>
              <w:rPr>
                <w:sz w:val="15"/>
                <w:szCs w:val="15"/>
                <w:color w:val="auto"/>
              </w:rPr>
            </w:pPr>
          </w:p>
        </w:tc>
        <w:tc>
          <w:tcPr>
            <w:tcW w:w="800" w:type="dxa"/>
            <w:vAlign w:val="bottom"/>
            <w:tcBorders>
              <w:top w:val="single" w:sz="8" w:color="CCEEFF"/>
            </w:tcBorders>
          </w:tcPr>
          <w:p>
            <w:pPr>
              <w:spacing w:after="0"/>
              <w:rPr>
                <w:sz w:val="15"/>
                <w:szCs w:val="15"/>
                <w:color w:val="auto"/>
              </w:rPr>
            </w:pPr>
          </w:p>
        </w:tc>
        <w:tc>
          <w:tcPr>
            <w:tcW w:w="660" w:type="dxa"/>
            <w:vAlign w:val="bottom"/>
            <w:tcBorders>
              <w:top w:val="single" w:sz="8" w:color="CCEEFF"/>
            </w:tcBorders>
          </w:tcPr>
          <w:p>
            <w:pPr>
              <w:spacing w:after="0"/>
              <w:rPr>
                <w:sz w:val="15"/>
                <w:szCs w:val="15"/>
                <w:color w:val="auto"/>
              </w:rPr>
            </w:pPr>
          </w:p>
        </w:tc>
        <w:tc>
          <w:tcPr>
            <w:tcW w:w="8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0" w:type="dxa"/>
            <w:vAlign w:val="bottom"/>
            <w:tcBorders>
              <w:bottom w:val="single" w:sz="8" w:color="0000EE"/>
            </w:tcBorders>
            <w:vMerge w:val="continue"/>
          </w:tcPr>
          <w:p>
            <w:pPr>
              <w:spacing w:after="0"/>
              <w:rPr>
                <w:sz w:val="15"/>
                <w:szCs w:val="15"/>
                <w:color w:val="auto"/>
              </w:rPr>
            </w:pPr>
          </w:p>
        </w:tc>
        <w:tc>
          <w:tcPr>
            <w:tcW w:w="820" w:type="dxa"/>
            <w:vAlign w:val="bottom"/>
            <w:tcBorders>
              <w:bottom w:val="single" w:sz="8" w:color="auto"/>
            </w:tcBorders>
            <w:gridSpan w:val="6"/>
            <w:shd w:val="clear" w:color="auto" w:fill="CCEEFF"/>
          </w:tcPr>
          <w:p>
            <w:pPr>
              <w:spacing w:after="0" w:line="134" w:lineRule="exact"/>
              <w:rPr>
                <w:rFonts w:ascii="Arial" w:cs="Arial" w:eastAsia="Arial" w:hAnsi="Arial"/>
                <w:sz w:val="13"/>
                <w:szCs w:val="13"/>
                <w:b w:val="1"/>
                <w:bCs w:val="1"/>
                <w:color w:val="0000EE"/>
              </w:rPr>
            </w:pPr>
            <w:hyperlink w:anchor="page80">
              <w:r>
                <w:rPr>
                  <w:rFonts w:ascii="Arial" w:cs="Arial" w:eastAsia="Arial" w:hAnsi="Arial"/>
                  <w:sz w:val="13"/>
                  <w:szCs w:val="13"/>
                  <w:b w:val="1"/>
                  <w:bCs w:val="1"/>
                  <w:color w:val="0000EE"/>
                </w:rPr>
                <w:t>PART IV</w:t>
              </w:r>
            </w:hyperlink>
          </w:p>
        </w:tc>
        <w:tc>
          <w:tcPr>
            <w:tcW w:w="6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spacing w:after="0"/>
              <w:rPr>
                <w:sz w:val="15"/>
                <w:szCs w:val="15"/>
                <w:color w:val="auto"/>
              </w:rPr>
            </w:pPr>
          </w:p>
        </w:tc>
        <w:tc>
          <w:tcPr>
            <w:tcW w:w="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60" w:type="dxa"/>
            <w:vAlign w:val="bottom"/>
            <w:gridSpan w:val="3"/>
            <w:shd w:val="clear" w:color="auto" w:fill="CCEEFF"/>
          </w:tcPr>
          <w:p>
            <w:pPr>
              <w:spacing w:after="0" w:line="134" w:lineRule="exact"/>
              <w:rPr>
                <w:rFonts w:ascii="Arial" w:cs="Arial" w:eastAsia="Arial" w:hAnsi="Arial"/>
                <w:sz w:val="13"/>
                <w:szCs w:val="13"/>
                <w:color w:val="0000EE"/>
                <w:w w:val="93"/>
              </w:rPr>
            </w:pPr>
            <w:hyperlink w:anchor="page80">
              <w:r>
                <w:rPr>
                  <w:rFonts w:ascii="Arial" w:cs="Arial" w:eastAsia="Arial" w:hAnsi="Arial"/>
                  <w:sz w:val="13"/>
                  <w:szCs w:val="13"/>
                  <w:color w:val="0000EE"/>
                  <w:w w:val="93"/>
                </w:rPr>
                <w:t>Item 15.</w:t>
              </w:r>
            </w:hyperlink>
          </w:p>
        </w:tc>
        <w:tc>
          <w:tcPr>
            <w:tcW w:w="360" w:type="dxa"/>
            <w:vAlign w:val="bottom"/>
            <w:gridSpan w:val="3"/>
            <w:shd w:val="clear" w:color="auto" w:fill="CCEEFF"/>
          </w:tcPr>
          <w:p>
            <w:pPr>
              <w:spacing w:after="0"/>
              <w:rPr>
                <w:sz w:val="11"/>
                <w:szCs w:val="11"/>
                <w:color w:val="auto"/>
              </w:rPr>
            </w:pPr>
          </w:p>
        </w:tc>
        <w:tc>
          <w:tcPr>
            <w:tcW w:w="7300" w:type="dxa"/>
            <w:vAlign w:val="bottom"/>
            <w:gridSpan w:val="24"/>
            <w:shd w:val="clear" w:color="auto" w:fill="CCEEFF"/>
          </w:tcPr>
          <w:p>
            <w:pPr>
              <w:ind w:left="60"/>
              <w:spacing w:after="0" w:line="134" w:lineRule="exact"/>
              <w:rPr>
                <w:rFonts w:ascii="Arial" w:cs="Arial" w:eastAsia="Arial" w:hAnsi="Arial"/>
                <w:sz w:val="13"/>
                <w:szCs w:val="13"/>
                <w:color w:val="0000EE"/>
              </w:rPr>
            </w:pPr>
            <w:hyperlink w:anchor="page80">
              <w:r>
                <w:rPr>
                  <w:rFonts w:ascii="Arial" w:cs="Arial" w:eastAsia="Arial" w:hAnsi="Arial"/>
                  <w:sz w:val="13"/>
                  <w:szCs w:val="13"/>
                  <w:color w:val="0000EE"/>
                </w:rPr>
                <w:t>Exhibits and Financial Statement Schedules</w:t>
              </w:r>
            </w:hyperlink>
          </w:p>
        </w:tc>
        <w:tc>
          <w:tcPr>
            <w:tcW w:w="82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480" w:type="dxa"/>
            <w:vAlign w:val="bottom"/>
            <w:gridSpan w:val="4"/>
          </w:tcPr>
          <w:p>
            <w:pPr>
              <w:spacing w:after="0" w:line="134" w:lineRule="exact"/>
              <w:rPr>
                <w:rFonts w:ascii="Arial" w:cs="Arial" w:eastAsia="Arial" w:hAnsi="Arial"/>
                <w:sz w:val="13"/>
                <w:szCs w:val="13"/>
                <w:color w:val="0000EE"/>
                <w:w w:val="97"/>
              </w:rPr>
            </w:pPr>
            <w:hyperlink w:anchor="page80">
              <w:r>
                <w:rPr>
                  <w:rFonts w:ascii="Arial" w:cs="Arial" w:eastAsia="Arial" w:hAnsi="Arial"/>
                  <w:sz w:val="13"/>
                  <w:szCs w:val="13"/>
                  <w:color w:val="0000EE"/>
                  <w:w w:val="97"/>
                </w:rPr>
                <w:t>Item 16.</w:t>
              </w:r>
            </w:hyperlink>
          </w:p>
        </w:tc>
        <w:tc>
          <w:tcPr>
            <w:tcW w:w="360" w:type="dxa"/>
            <w:vAlign w:val="bottom"/>
            <w:gridSpan w:val="3"/>
          </w:tcPr>
          <w:p>
            <w:pPr>
              <w:spacing w:after="0"/>
              <w:rPr>
                <w:sz w:val="11"/>
                <w:szCs w:val="11"/>
                <w:color w:val="auto"/>
              </w:rPr>
            </w:pPr>
          </w:p>
        </w:tc>
        <w:tc>
          <w:tcPr>
            <w:tcW w:w="7300" w:type="dxa"/>
            <w:vAlign w:val="bottom"/>
            <w:gridSpan w:val="24"/>
          </w:tcPr>
          <w:p>
            <w:pPr>
              <w:ind w:left="60"/>
              <w:spacing w:after="0" w:line="134" w:lineRule="exact"/>
              <w:rPr>
                <w:rFonts w:ascii="Arial" w:cs="Arial" w:eastAsia="Arial" w:hAnsi="Arial"/>
                <w:sz w:val="13"/>
                <w:szCs w:val="13"/>
                <w:color w:val="0000EE"/>
              </w:rPr>
            </w:pPr>
            <w:hyperlink w:anchor="page80">
              <w:r>
                <w:rPr>
                  <w:rFonts w:ascii="Arial" w:cs="Arial" w:eastAsia="Arial" w:hAnsi="Arial"/>
                  <w:sz w:val="13"/>
                  <w:szCs w:val="13"/>
                  <w:color w:val="0000EE"/>
                </w:rPr>
                <w:t>Form 10-K Summary</w:t>
              </w:r>
            </w:hyperlink>
          </w:p>
        </w:tc>
        <w:tc>
          <w:tcPr>
            <w:tcW w:w="820" w:type="dxa"/>
            <w:vAlign w:val="bottom"/>
          </w:tcPr>
          <w:p>
            <w:pPr>
              <w:jc w:val="right"/>
              <w:spacing w:after="0" w:line="134" w:lineRule="exact"/>
              <w:rPr>
                <w:sz w:val="20"/>
                <w:szCs w:val="20"/>
                <w:color w:val="auto"/>
              </w:rPr>
            </w:pPr>
            <w:r>
              <w:rPr>
                <w:rFonts w:ascii="Arial" w:cs="Arial" w:eastAsia="Arial" w:hAnsi="Arial"/>
                <w:sz w:val="13"/>
                <w:szCs w:val="13"/>
                <w:color w:val="auto"/>
              </w:rPr>
              <w:t>77</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80" w:type="dxa"/>
            <w:vAlign w:val="bottom"/>
            <w:gridSpan w:val="2"/>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8140" w:type="dxa"/>
            <w:vAlign w:val="bottom"/>
            <w:gridSpan w:val="31"/>
          </w:tcPr>
          <w:p>
            <w:pPr>
              <w:spacing w:after="0" w:line="134" w:lineRule="exact"/>
              <w:rPr>
                <w:rFonts w:ascii="Arial" w:cs="Arial" w:eastAsia="Arial" w:hAnsi="Arial"/>
                <w:sz w:val="13"/>
                <w:szCs w:val="13"/>
                <w:color w:val="0000EE"/>
              </w:rPr>
            </w:pPr>
            <w:hyperlink w:anchor="page81">
              <w:r>
                <w:rPr>
                  <w:rFonts w:ascii="Arial" w:cs="Arial" w:eastAsia="Arial" w:hAnsi="Arial"/>
                  <w:sz w:val="13"/>
                  <w:szCs w:val="13"/>
                  <w:color w:val="0000EE"/>
                </w:rPr>
                <w:t>INDEX OF EXHIBITS</w:t>
              </w:r>
            </w:hyperlink>
          </w:p>
        </w:tc>
        <w:tc>
          <w:tcPr>
            <w:tcW w:w="820" w:type="dxa"/>
            <w:vAlign w:val="bottom"/>
          </w:tcPr>
          <w:p>
            <w:pPr>
              <w:jc w:val="right"/>
              <w:spacing w:after="0" w:line="134" w:lineRule="exact"/>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840" w:type="dxa"/>
            <w:vAlign w:val="bottom"/>
            <w:tcBorders>
              <w:bottom w:val="single" w:sz="8" w:color="0000EE"/>
            </w:tcBorders>
            <w:gridSpan w:val="7"/>
          </w:tcPr>
          <w:p>
            <w:pPr>
              <w:spacing w:after="0" w:line="134" w:lineRule="exact"/>
              <w:rPr>
                <w:rFonts w:ascii="Arial" w:cs="Arial" w:eastAsia="Arial" w:hAnsi="Arial"/>
                <w:sz w:val="13"/>
                <w:szCs w:val="13"/>
                <w:color w:val="0000EE"/>
                <w:w w:val="96"/>
              </w:rPr>
            </w:pPr>
            <w:hyperlink w:anchor="page85">
              <w:r>
                <w:rPr>
                  <w:rFonts w:ascii="Arial" w:cs="Arial" w:eastAsia="Arial" w:hAnsi="Arial"/>
                  <w:sz w:val="13"/>
                  <w:szCs w:val="13"/>
                  <w:color w:val="0000EE"/>
                  <w:w w:val="96"/>
                </w:rPr>
                <w:t>SIGNATURES</w:t>
              </w:r>
            </w:hyperlink>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jc w:val="right"/>
              <w:spacing w:after="0" w:line="134" w:lineRule="exact"/>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CAUTIONARY NOTE REGARDING FORWARD-LOOKING STATEMENTS</w:t>
      </w:r>
    </w:p>
    <w:p>
      <w:pPr>
        <w:spacing w:after="0" w:line="174" w:lineRule="exact"/>
        <w:rPr>
          <w:sz w:val="20"/>
          <w:szCs w:val="20"/>
          <w:color w:val="auto"/>
        </w:rPr>
      </w:pPr>
    </w:p>
    <w:p>
      <w:pPr>
        <w:jc w:val="both"/>
        <w:ind w:left="20" w:right="39"/>
        <w:spacing w:after="0" w:line="234" w:lineRule="auto"/>
        <w:rPr>
          <w:sz w:val="20"/>
          <w:szCs w:val="20"/>
          <w:color w:val="auto"/>
        </w:rPr>
      </w:pPr>
      <w:r>
        <w:rPr>
          <w:rFonts w:ascii="Arial" w:cs="Arial" w:eastAsia="Arial" w:hAnsi="Arial"/>
          <w:sz w:val="13"/>
          <w:szCs w:val="13"/>
          <w:color w:val="auto"/>
        </w:rPr>
        <w:t>This Annual Report on Form 10-K (“Annual Report”) includes “forward-looking” statements within the meaning of the Private Securities Litigation Reform Act of 1995. Forward-looking statements can be identified by the fact that they do not relate strictly to historical or current facts. They often include words such as “believes,” “expects,” “anticipates,” “estimates,” “intends,” “plans,” “seeks,” “continues,” “feels,” “forecasts,” or words of similar meaning, or future or conditional verbs, such as “will,” “should,” “could,” “may,” “aims,” “intends,” or “projects.” These statements include statements relating to trends in or expectations relating to the expected effects of our initiatives, strategies and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452120</wp:posOffset>
            </wp:positionV>
            <wp:extent cx="5680075" cy="13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80075" cy="13335"/>
                    </a:xfrm>
                    <a:prstGeom prst="rect">
                      <a:avLst/>
                    </a:prstGeom>
                    <a:noFill/>
                  </pic:spPr>
                </pic:pic>
              </a:graphicData>
            </a:graphic>
          </wp:anchor>
        </w:drawing>
      </w:r>
    </w:p>
    <w:p>
      <w:pPr>
        <w:sectPr>
          <w:pgSz w:w="11900" w:h="16838" w:orient="portrait"/>
          <w:cols w:equalWidth="0" w:num="1">
            <w:col w:w="9019"/>
          </w:cols>
          <w:pgMar w:left="1440" w:top="667" w:right="1440" w:bottom="1440" w:gutter="0" w:footer="0" w:header="0"/>
        </w:sectPr>
      </w:pPr>
    </w:p>
    <w:bookmarkStart w:id="2" w:name="page3"/>
    <w:bookmarkEnd w:id="2"/>
    <w:p>
      <w:pPr>
        <w:jc w:val="both"/>
        <w:ind w:left="20" w:right="39"/>
        <w:spacing w:after="0" w:line="235" w:lineRule="auto"/>
        <w:rPr>
          <w:sz w:val="20"/>
          <w:szCs w:val="20"/>
          <w:color w:val="auto"/>
        </w:rPr>
      </w:pPr>
      <w:r>
        <w:rPr>
          <w:rFonts w:ascii="Arial" w:cs="Arial" w:eastAsia="Arial" w:hAnsi="Arial"/>
          <w:sz w:val="13"/>
          <w:szCs w:val="13"/>
          <w:color w:val="auto"/>
        </w:rPr>
        <w:t>as well as trends in or expectations regarding our financial results and long-term growth model and drivers, tax rates, business opportunities and expansion, strategic acquisitions or investments, expenses, dividends, share repurchases, and our mitigation strategies, liquidity, cash flow from operations, use of cash and cash requirements, investments, borrowing capacity and use of proceeds, repatriation of cash to the U.S., and the continuing effects of each of the coronavirus pandemic (COVID-19) and social unrest on our financial results. A forward-looking statement is neither a prediction nor a guarantee of future events or circumstances, and those future events or circumstances may not occur. You should not place undue reliance on forward-looking statements, which speak to our views only as of the date of this Annual Report. These forward-looking statements are all based on currently available operating, financial, and competitive information and are subject to various risks and uncertainties, many of which are unforeseeable and beyond our control, such as the developing situation, and uncertainty caused by and, related to the COVID-19 pandemic and social unrest. Additional risks and uncertainties that we do not presently know about or that we currently consider to be insignificant may also affect our business operations and financial performance.</w:t>
      </w:r>
    </w:p>
    <w:p>
      <w:pPr>
        <w:spacing w:after="0" w:line="116" w:lineRule="exact"/>
        <w:rPr>
          <w:sz w:val="20"/>
          <w:szCs w:val="20"/>
          <w:color w:val="auto"/>
        </w:rPr>
      </w:pPr>
    </w:p>
    <w:p>
      <w:pPr>
        <w:jc w:val="both"/>
        <w:ind w:left="20" w:right="39"/>
        <w:spacing w:after="0" w:line="233" w:lineRule="auto"/>
        <w:rPr>
          <w:sz w:val="20"/>
          <w:szCs w:val="20"/>
          <w:color w:val="auto"/>
        </w:rPr>
      </w:pPr>
      <w:r>
        <w:rPr>
          <w:rFonts w:ascii="Arial" w:cs="Arial" w:eastAsia="Arial" w:hAnsi="Arial"/>
          <w:sz w:val="13"/>
          <w:szCs w:val="13"/>
          <w:color w:val="auto"/>
        </w:rPr>
        <w:t>Our actual future results and trends may differ materially depending on a variety of factors, including, but not limited to, the risks and uncertainties discussed under “Risk Factors” and “Management’s Discussion and Analysis of Financial Condition and Results of Operations.” Given these risks and uncertainties, you should not rely on forward-looking statements as a prediction of actual results. Any or all of the forward-looking statements contained in this Annual Report or any other public statement made by us, including by our management, may turn out to be incorrect. We are including this cautionary note to make applicable and take advantage of the safe harbor provisions of the Private Securities Litigation Reform Act of 1995 for forward-looking statements. We expressly disclaim any obligation to update or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843280</wp:posOffset>
            </wp:positionV>
            <wp:extent cx="5680075" cy="19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80075" cy="19685"/>
                    </a:xfrm>
                    <a:prstGeom prst="rect">
                      <a:avLst/>
                    </a:prstGeom>
                    <a:noFill/>
                  </pic:spPr>
                </pic:pic>
              </a:graphicData>
            </a:graphic>
          </wp:anchor>
        </w:drawing>
      </w:r>
    </w:p>
    <w:p>
      <w:pPr>
        <w:sectPr>
          <w:pgSz w:w="11900" w:h="16838" w:orient="portrait"/>
          <w:cols w:equalWidth="0" w:num="1">
            <w:col w:w="9019"/>
          </w:cols>
          <w:pgMar w:left="1440" w:top="678" w:right="1440" w:bottom="1440" w:gutter="0" w:footer="0" w:header="0"/>
        </w:sectPr>
      </w:pPr>
    </w:p>
    <w:bookmarkStart w:id="3" w:name="page4"/>
    <w:bookmarkEnd w:id="3"/>
    <w:p>
      <w:pPr>
        <w:spacing w:after="0"/>
        <w:rPr>
          <w:sz w:val="20"/>
          <w:szCs w:val="20"/>
          <w:color w:val="auto"/>
        </w:rPr>
      </w:pPr>
      <w:r>
        <w:rPr>
          <w:rFonts w:ascii="Arial" w:cs="Arial" w:eastAsia="Arial" w:hAnsi="Arial"/>
          <w:sz w:val="13"/>
          <w:szCs w:val="13"/>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Item 1. Business</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General</w:t>
      </w:r>
    </w:p>
    <w:p>
      <w:pPr>
        <w:spacing w:after="0" w:line="143" w:lineRule="exact"/>
        <w:rPr>
          <w:sz w:val="20"/>
          <w:szCs w:val="20"/>
          <w:color w:val="auto"/>
        </w:rPr>
      </w:pPr>
    </w:p>
    <w:p>
      <w:pPr>
        <w:jc w:val="both"/>
        <w:ind w:right="39"/>
        <w:spacing w:after="0" w:line="234" w:lineRule="auto"/>
        <w:rPr>
          <w:sz w:val="20"/>
          <w:szCs w:val="20"/>
          <w:color w:val="auto"/>
        </w:rPr>
      </w:pPr>
      <w:r>
        <w:rPr>
          <w:rFonts w:ascii="Arial" w:cs="Arial" w:eastAsia="Arial" w:hAnsi="Arial"/>
          <w:sz w:val="13"/>
          <w:szCs w:val="13"/>
          <w:color w:val="auto"/>
        </w:rPr>
        <w:t>Foot Locker, Inc., incorporated under the laws of the State of New York in 1989, is a leading global retailer. Foot Locker, Inc. leads the celebration of sneaker and youth culture around the globe through a portfolio of brands including Foot Locker, Lady Foot Locker, Kids Foot Locker, Champs Sports, Eastbay, Footaction, and Sidestep. As of January 30, 2021, we operated 2,998 primarily mall-based stores, as well as stores in high-traffic urban retail areas and high streets, in 27 countries across the United States, Canada, Europe, Australia, New Zealand, and Asia. Our purpose is to inspire and empower youth culture around the world, by fueling a shared passion for self-expression and creating unrivaled experiences at the heart of the global sneaker community.</w:t>
      </w:r>
    </w:p>
    <w:p>
      <w:pPr>
        <w:spacing w:after="0" w:line="112" w:lineRule="exact"/>
        <w:rPr>
          <w:sz w:val="20"/>
          <w:szCs w:val="20"/>
          <w:color w:val="auto"/>
        </w:rPr>
      </w:pPr>
    </w:p>
    <w:p>
      <w:pPr>
        <w:jc w:val="both"/>
        <w:ind w:right="39"/>
        <w:spacing w:after="0" w:line="233" w:lineRule="auto"/>
        <w:rPr>
          <w:sz w:val="20"/>
          <w:szCs w:val="20"/>
          <w:color w:val="auto"/>
        </w:rPr>
      </w:pPr>
      <w:r>
        <w:rPr>
          <w:rFonts w:ascii="Arial" w:cs="Arial" w:eastAsia="Arial" w:hAnsi="Arial"/>
          <w:sz w:val="13"/>
          <w:szCs w:val="13"/>
          <w:color w:val="auto"/>
        </w:rPr>
        <w:t>Foot Locker, Inc. uses its omni-channel capabilities to bridge the digital world and physical stores, including order-in-store, buy online and pickup-in-store, and buy online and ship-from-store, as well as e-commerce. We operate websites and mobile apps aligned with the brand names of our store banners (including footlocker.com, ladyfootlocker.com, kidsfootlocker.com, champssports.com, footaction.com, footlocker.ca, footlocker.eu and related e-commerce sites in the various European countries that we operate, footlocker.com.au, footlocker.com.nz, sidestep-shoes.de, sidestep-shoes.nl, footlocker.hk, footlocker.sg, footlocker.mo, and footlocker.my). These sites offer some of the largest online product selections and provide a seamless link between e-commerce and physical stores. We also operate the websites for eastbay.com, final-score.com, and eastbayteamsales.com.</w:t>
      </w:r>
    </w:p>
    <w:p>
      <w:pPr>
        <w:spacing w:after="0" w:line="124" w:lineRule="exact"/>
        <w:rPr>
          <w:sz w:val="20"/>
          <w:szCs w:val="20"/>
          <w:color w:val="auto"/>
        </w:rPr>
      </w:pPr>
    </w:p>
    <w:p>
      <w:pPr>
        <w:jc w:val="both"/>
        <w:ind w:right="39"/>
        <w:spacing w:after="0" w:line="236" w:lineRule="auto"/>
        <w:rPr>
          <w:sz w:val="20"/>
          <w:szCs w:val="20"/>
          <w:color w:val="auto"/>
        </w:rPr>
      </w:pPr>
      <w:r>
        <w:rPr>
          <w:rFonts w:ascii="Arial" w:cs="Arial" w:eastAsia="Arial" w:hAnsi="Arial"/>
          <w:sz w:val="13"/>
          <w:szCs w:val="13"/>
          <w:color w:val="auto"/>
        </w:rPr>
        <w:t>Foot Locker, Inc. and its subsidiaries hereafter are referred to as the “Registrant,” “Company,” “we,” “our,” or “us.” Foot Locker, Inc. has its corporate headquarters in New York. The service marks, trade names, and trademarks appearing in this report (except for Nike, Jordan, adidas, and Puma) are owned by Foot Locker, Inc. or its subsidiaries.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920" w:type="dxa"/>
            <w:vAlign w:val="bottom"/>
          </w:tcPr>
          <w:p>
            <w:pPr>
              <w:spacing w:after="0"/>
              <w:rPr>
                <w:sz w:val="20"/>
                <w:szCs w:val="20"/>
                <w:color w:val="auto"/>
              </w:rPr>
            </w:pPr>
            <w:r>
              <w:rPr>
                <w:rFonts w:ascii="Arial" w:cs="Arial" w:eastAsia="Arial" w:hAnsi="Arial"/>
                <w:sz w:val="13"/>
                <w:szCs w:val="13"/>
                <w:b w:val="1"/>
                <w:bCs w:val="1"/>
                <w:color w:val="auto"/>
              </w:rPr>
              <w:t>Store and Operations Profile</w:t>
            </w:r>
          </w:p>
        </w:tc>
        <w:tc>
          <w:tcPr>
            <w:tcW w:w="1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gridSpan w:val="2"/>
            <w:vMerge w:val="restart"/>
          </w:tcPr>
          <w:p>
            <w:pPr>
              <w:jc w:val="right"/>
              <w:ind w:right="275"/>
              <w:spacing w:after="0"/>
              <w:rPr>
                <w:sz w:val="20"/>
                <w:szCs w:val="20"/>
                <w:color w:val="auto"/>
              </w:rPr>
            </w:pPr>
            <w:r>
              <w:rPr>
                <w:rFonts w:ascii="Arial" w:cs="Arial" w:eastAsia="Arial" w:hAnsi="Arial"/>
                <w:sz w:val="13"/>
                <w:szCs w:val="13"/>
                <w:b w:val="1"/>
                <w:bCs w:val="1"/>
                <w:color w:val="auto"/>
              </w:rPr>
              <w:t>Square Footage</w:t>
            </w:r>
          </w:p>
        </w:tc>
        <w:tc>
          <w:tcPr>
            <w:tcW w:w="0" w:type="dxa"/>
            <w:vAlign w:val="bottom"/>
          </w:tcPr>
          <w:p>
            <w:pPr>
              <w:spacing w:after="0"/>
              <w:rPr>
                <w:sz w:val="1"/>
                <w:szCs w:val="1"/>
                <w:color w:val="auto"/>
              </w:rPr>
            </w:pPr>
          </w:p>
        </w:tc>
      </w:tr>
      <w:tr>
        <w:trPr>
          <w:trHeight w:val="152"/>
        </w:trPr>
        <w:tc>
          <w:tcPr>
            <w:tcW w:w="1920" w:type="dxa"/>
            <w:vAlign w:val="bottom"/>
          </w:tcPr>
          <w:p>
            <w:pPr>
              <w:spacing w:after="0"/>
              <w:rPr>
                <w:sz w:val="12"/>
                <w:szCs w:val="12"/>
                <w:color w:val="auto"/>
              </w:rPr>
            </w:pPr>
          </w:p>
        </w:tc>
        <w:tc>
          <w:tcPr>
            <w:tcW w:w="1180" w:type="dxa"/>
            <w:vAlign w:val="bottom"/>
            <w:vMerge w:val="restart"/>
          </w:tcPr>
          <w:p>
            <w:pPr>
              <w:jc w:val="right"/>
              <w:ind w:right="295"/>
              <w:spacing w:after="0"/>
              <w:rPr>
                <w:sz w:val="20"/>
                <w:szCs w:val="20"/>
                <w:color w:val="auto"/>
              </w:rPr>
            </w:pPr>
            <w:r>
              <w:rPr>
                <w:rFonts w:ascii="Arial" w:cs="Arial" w:eastAsia="Arial" w:hAnsi="Arial"/>
                <w:sz w:val="13"/>
                <w:szCs w:val="13"/>
                <w:color w:val="auto"/>
              </w:rPr>
              <w:t>February 2,</w:t>
            </w:r>
          </w:p>
        </w:tc>
        <w:tc>
          <w:tcPr>
            <w:tcW w:w="9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vMerge w:val="restart"/>
          </w:tcPr>
          <w:p>
            <w:pPr>
              <w:jc w:val="right"/>
              <w:ind w:right="55"/>
              <w:spacing w:after="0"/>
              <w:rPr>
                <w:sz w:val="20"/>
                <w:szCs w:val="20"/>
                <w:color w:val="auto"/>
              </w:rPr>
            </w:pPr>
            <w:r>
              <w:rPr>
                <w:rFonts w:ascii="Arial" w:cs="Arial" w:eastAsia="Arial" w:hAnsi="Arial"/>
                <w:sz w:val="13"/>
                <w:szCs w:val="13"/>
                <w:b w:val="1"/>
                <w:bCs w:val="1"/>
                <w:color w:val="auto"/>
              </w:rPr>
              <w:t>January 30,</w:t>
            </w:r>
          </w:p>
        </w:tc>
        <w:tc>
          <w:tcPr>
            <w:tcW w:w="960" w:type="dxa"/>
            <w:vAlign w:val="bottom"/>
            <w:vMerge w:val="restart"/>
          </w:tcPr>
          <w:p>
            <w:pPr>
              <w:ind w:left="120"/>
              <w:spacing w:after="0"/>
              <w:rPr>
                <w:sz w:val="20"/>
                <w:szCs w:val="20"/>
                <w:color w:val="auto"/>
              </w:rPr>
            </w:pPr>
            <w:r>
              <w:rPr>
                <w:rFonts w:ascii="Arial" w:cs="Arial" w:eastAsia="Arial" w:hAnsi="Arial"/>
                <w:sz w:val="13"/>
                <w:szCs w:val="13"/>
                <w:b w:val="1"/>
                <w:bCs w:val="1"/>
                <w:color w:val="auto"/>
              </w:rPr>
              <w:t>Relocations/</w:t>
            </w:r>
          </w:p>
        </w:tc>
        <w:tc>
          <w:tcPr>
            <w:tcW w:w="400" w:type="dxa"/>
            <w:vAlign w:val="bottom"/>
          </w:tcPr>
          <w:p>
            <w:pPr>
              <w:spacing w:after="0"/>
              <w:rPr>
                <w:sz w:val="12"/>
                <w:szCs w:val="12"/>
                <w:color w:val="auto"/>
              </w:rPr>
            </w:pPr>
          </w:p>
        </w:tc>
        <w:tc>
          <w:tcPr>
            <w:tcW w:w="1660" w:type="dxa"/>
            <w:vAlign w:val="bottom"/>
            <w:tcBorders>
              <w:bottom w:val="single" w:sz="8" w:color="auto"/>
            </w:tcBorders>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192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9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660" w:type="dxa"/>
            <w:vAlign w:val="bottom"/>
            <w:gridSpan w:val="2"/>
          </w:tcPr>
          <w:p>
            <w:pPr>
              <w:jc w:val="right"/>
              <w:ind w:right="315"/>
              <w:spacing w:after="0" w:line="113" w:lineRule="exact"/>
              <w:rPr>
                <w:sz w:val="20"/>
                <w:szCs w:val="20"/>
                <w:color w:val="auto"/>
              </w:rPr>
            </w:pPr>
            <w:r>
              <w:rPr>
                <w:rFonts w:ascii="Arial" w:cs="Arial" w:eastAsia="Arial" w:hAnsi="Arial"/>
                <w:sz w:val="13"/>
                <w:szCs w:val="13"/>
                <w:b w:val="1"/>
                <w:bCs w:val="1"/>
                <w:color w:val="auto"/>
              </w:rPr>
              <w:t>(in thousands)</w:t>
            </w:r>
          </w:p>
        </w:tc>
        <w:tc>
          <w:tcPr>
            <w:tcW w:w="0" w:type="dxa"/>
            <w:vAlign w:val="bottom"/>
          </w:tcPr>
          <w:p>
            <w:pPr>
              <w:spacing w:after="0"/>
              <w:rPr>
                <w:sz w:val="1"/>
                <w:szCs w:val="1"/>
                <w:color w:val="auto"/>
              </w:rPr>
            </w:pPr>
          </w:p>
        </w:tc>
      </w:tr>
      <w:tr>
        <w:trPr>
          <w:trHeight w:val="164"/>
        </w:trPr>
        <w:tc>
          <w:tcPr>
            <w:tcW w:w="19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color w:val="auto"/>
              </w:rPr>
              <w:t>2020</w:t>
            </w:r>
          </w:p>
        </w:tc>
        <w:tc>
          <w:tcPr>
            <w:tcW w:w="940" w:type="dxa"/>
            <w:vAlign w:val="bottom"/>
            <w:tcBorders>
              <w:bottom w:val="single" w:sz="8" w:color="auto"/>
            </w:tcBorders>
          </w:tcPr>
          <w:p>
            <w:pPr>
              <w:jc w:val="right"/>
              <w:ind w:right="215"/>
              <w:spacing w:after="0"/>
              <w:rPr>
                <w:sz w:val="20"/>
                <w:szCs w:val="20"/>
                <w:color w:val="auto"/>
              </w:rPr>
            </w:pPr>
            <w:r>
              <w:rPr>
                <w:rFonts w:ascii="Arial" w:cs="Arial" w:eastAsia="Arial" w:hAnsi="Arial"/>
                <w:sz w:val="13"/>
                <w:szCs w:val="13"/>
                <w:color w:val="auto"/>
              </w:rPr>
              <w:t>Opened</w:t>
            </w: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3"/>
                <w:szCs w:val="13"/>
                <w:color w:val="auto"/>
              </w:rPr>
              <w:t>Closed</w:t>
            </w: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b w:val="1"/>
                <w:bCs w:val="1"/>
                <w:color w:val="auto"/>
              </w:rPr>
              <w:t>2021</w:t>
            </w:r>
          </w:p>
        </w:tc>
        <w:tc>
          <w:tcPr>
            <w:tcW w:w="96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w w:val="99"/>
              </w:rPr>
              <w:t>Remodels</w:t>
            </w:r>
          </w:p>
        </w:tc>
        <w:tc>
          <w:tcPr>
            <w:tcW w:w="4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Selling</w:t>
            </w:r>
          </w:p>
        </w:tc>
        <w:tc>
          <w:tcPr>
            <w:tcW w:w="76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b w:val="1"/>
                <w:bCs w:val="1"/>
                <w:color w:val="auto"/>
              </w:rPr>
              <w:t>Gross</w:t>
            </w:r>
          </w:p>
        </w:tc>
        <w:tc>
          <w:tcPr>
            <w:tcW w:w="0" w:type="dxa"/>
            <w:vAlign w:val="bottom"/>
          </w:tcPr>
          <w:p>
            <w:pPr>
              <w:spacing w:after="0"/>
              <w:rPr>
                <w:sz w:val="1"/>
                <w:szCs w:val="1"/>
                <w:color w:val="auto"/>
              </w:rPr>
            </w:pPr>
          </w:p>
        </w:tc>
      </w:tr>
      <w:tr>
        <w:trPr>
          <w:trHeight w:val="134"/>
        </w:trPr>
        <w:tc>
          <w:tcPr>
            <w:tcW w:w="192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Foot Locker U.S.</w:t>
            </w:r>
          </w:p>
        </w:tc>
        <w:tc>
          <w:tcPr>
            <w:tcW w:w="1180" w:type="dxa"/>
            <w:vAlign w:val="bottom"/>
            <w:shd w:val="clear" w:color="auto" w:fill="CCEEFF"/>
          </w:tcPr>
          <w:p>
            <w:pPr>
              <w:jc w:val="right"/>
              <w:ind w:right="115"/>
              <w:spacing w:after="0" w:line="134" w:lineRule="exact"/>
              <w:rPr>
                <w:sz w:val="20"/>
                <w:szCs w:val="20"/>
                <w:color w:val="auto"/>
              </w:rPr>
            </w:pPr>
            <w:r>
              <w:rPr>
                <w:rFonts w:ascii="Arial" w:cs="Arial" w:eastAsia="Arial" w:hAnsi="Arial"/>
                <w:sz w:val="13"/>
                <w:szCs w:val="13"/>
                <w:color w:val="auto"/>
              </w:rPr>
              <w:t>867</w:t>
            </w:r>
          </w:p>
        </w:tc>
        <w:tc>
          <w:tcPr>
            <w:tcW w:w="940" w:type="dxa"/>
            <w:vAlign w:val="bottom"/>
            <w:shd w:val="clear" w:color="auto" w:fill="CCEEFF"/>
          </w:tcPr>
          <w:p>
            <w:pPr>
              <w:jc w:val="right"/>
              <w:ind w:right="135"/>
              <w:spacing w:after="0" w:line="134" w:lineRule="exact"/>
              <w:rPr>
                <w:sz w:val="20"/>
                <w:szCs w:val="20"/>
                <w:color w:val="auto"/>
              </w:rPr>
            </w:pPr>
            <w:r>
              <w:rPr>
                <w:rFonts w:ascii="Arial" w:cs="Arial" w:eastAsia="Arial" w:hAnsi="Arial"/>
                <w:sz w:val="13"/>
                <w:szCs w:val="13"/>
                <w:color w:val="auto"/>
              </w:rPr>
              <w:t>21</w:t>
            </w:r>
          </w:p>
        </w:tc>
        <w:tc>
          <w:tcPr>
            <w:tcW w:w="980" w:type="dxa"/>
            <w:vAlign w:val="bottom"/>
            <w:shd w:val="clear" w:color="auto" w:fill="CCEEFF"/>
          </w:tcPr>
          <w:p>
            <w:pPr>
              <w:jc w:val="right"/>
              <w:ind w:right="195"/>
              <w:spacing w:after="0" w:line="134" w:lineRule="exact"/>
              <w:rPr>
                <w:sz w:val="20"/>
                <w:szCs w:val="20"/>
                <w:color w:val="auto"/>
              </w:rPr>
            </w:pPr>
            <w:r>
              <w:rPr>
                <w:rFonts w:ascii="Arial" w:cs="Arial" w:eastAsia="Arial" w:hAnsi="Arial"/>
                <w:sz w:val="13"/>
                <w:szCs w:val="13"/>
                <w:color w:val="auto"/>
              </w:rPr>
              <w:t>40</w:t>
            </w:r>
          </w:p>
        </w:tc>
        <w:tc>
          <w:tcPr>
            <w:tcW w:w="1080" w:type="dxa"/>
            <w:vAlign w:val="bottom"/>
            <w:shd w:val="clear" w:color="auto" w:fill="CCEEFF"/>
          </w:tcPr>
          <w:p>
            <w:pPr>
              <w:jc w:val="right"/>
              <w:ind w:right="55"/>
              <w:spacing w:after="0" w:line="134" w:lineRule="exact"/>
              <w:rPr>
                <w:sz w:val="20"/>
                <w:szCs w:val="20"/>
                <w:color w:val="auto"/>
              </w:rPr>
            </w:pPr>
            <w:r>
              <w:rPr>
                <w:rFonts w:ascii="Arial" w:cs="Arial" w:eastAsia="Arial" w:hAnsi="Arial"/>
                <w:sz w:val="13"/>
                <w:szCs w:val="13"/>
                <w:b w:val="1"/>
                <w:bCs w:val="1"/>
                <w:color w:val="auto"/>
              </w:rPr>
              <w:t>848</w:t>
            </w:r>
          </w:p>
        </w:tc>
        <w:tc>
          <w:tcPr>
            <w:tcW w:w="96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175"/>
              <w:spacing w:after="0" w:line="134" w:lineRule="exact"/>
              <w:rPr>
                <w:sz w:val="20"/>
                <w:szCs w:val="20"/>
                <w:color w:val="auto"/>
              </w:rPr>
            </w:pPr>
            <w:r>
              <w:rPr>
                <w:rFonts w:ascii="Arial" w:cs="Arial" w:eastAsia="Arial" w:hAnsi="Arial"/>
                <w:sz w:val="13"/>
                <w:szCs w:val="13"/>
                <w:b w:val="1"/>
                <w:bCs w:val="1"/>
                <w:color w:val="auto"/>
                <w:w w:val="96"/>
              </w:rPr>
              <w:t>20</w:t>
            </w:r>
          </w:p>
        </w:tc>
        <w:tc>
          <w:tcPr>
            <w:tcW w:w="900" w:type="dxa"/>
            <w:vAlign w:val="bottom"/>
            <w:shd w:val="clear" w:color="auto" w:fill="CCEEFF"/>
          </w:tcPr>
          <w:p>
            <w:pPr>
              <w:jc w:val="right"/>
              <w:ind w:right="155"/>
              <w:spacing w:after="0" w:line="134" w:lineRule="exact"/>
              <w:rPr>
                <w:sz w:val="20"/>
                <w:szCs w:val="20"/>
                <w:color w:val="auto"/>
              </w:rPr>
            </w:pPr>
            <w:r>
              <w:rPr>
                <w:rFonts w:ascii="Arial" w:cs="Arial" w:eastAsia="Arial" w:hAnsi="Arial"/>
                <w:sz w:val="13"/>
                <w:szCs w:val="13"/>
                <w:b w:val="1"/>
                <w:bCs w:val="1"/>
                <w:color w:val="auto"/>
              </w:rPr>
              <w:t>2,409</w:t>
            </w:r>
          </w:p>
        </w:tc>
        <w:tc>
          <w:tcPr>
            <w:tcW w:w="76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4,203</w:t>
            </w:r>
          </w:p>
        </w:tc>
        <w:tc>
          <w:tcPr>
            <w:tcW w:w="0" w:type="dxa"/>
            <w:vAlign w:val="bottom"/>
          </w:tcPr>
          <w:p>
            <w:pPr>
              <w:spacing w:after="0"/>
              <w:rPr>
                <w:sz w:val="1"/>
                <w:szCs w:val="1"/>
                <w:color w:val="auto"/>
              </w:rPr>
            </w:pPr>
          </w:p>
        </w:tc>
      </w:tr>
      <w:tr>
        <w:trPr>
          <w:trHeight w:val="144"/>
        </w:trPr>
        <w:tc>
          <w:tcPr>
            <w:tcW w:w="1920" w:type="dxa"/>
            <w:vAlign w:val="bottom"/>
          </w:tcPr>
          <w:p>
            <w:pPr>
              <w:spacing w:after="0" w:line="144" w:lineRule="exact"/>
              <w:rPr>
                <w:sz w:val="20"/>
                <w:szCs w:val="20"/>
                <w:color w:val="auto"/>
              </w:rPr>
            </w:pPr>
            <w:r>
              <w:rPr>
                <w:rFonts w:ascii="Arial" w:cs="Arial" w:eastAsia="Arial" w:hAnsi="Arial"/>
                <w:sz w:val="13"/>
                <w:szCs w:val="13"/>
                <w:color w:val="auto"/>
              </w:rPr>
              <w:t>Foot Locker Europe</w:t>
            </w:r>
          </w:p>
        </w:tc>
        <w:tc>
          <w:tcPr>
            <w:tcW w:w="1180" w:type="dxa"/>
            <w:vAlign w:val="bottom"/>
          </w:tcPr>
          <w:p>
            <w:pPr>
              <w:jc w:val="right"/>
              <w:ind w:right="115"/>
              <w:spacing w:after="0" w:line="144" w:lineRule="exact"/>
              <w:rPr>
                <w:sz w:val="20"/>
                <w:szCs w:val="20"/>
                <w:color w:val="auto"/>
              </w:rPr>
            </w:pPr>
            <w:r>
              <w:rPr>
                <w:rFonts w:ascii="Arial" w:cs="Arial" w:eastAsia="Arial" w:hAnsi="Arial"/>
                <w:sz w:val="13"/>
                <w:szCs w:val="13"/>
                <w:color w:val="auto"/>
              </w:rPr>
              <w:t>636</w:t>
            </w:r>
          </w:p>
        </w:tc>
        <w:tc>
          <w:tcPr>
            <w:tcW w:w="940" w:type="dxa"/>
            <w:vAlign w:val="bottom"/>
          </w:tcPr>
          <w:p>
            <w:pPr>
              <w:jc w:val="right"/>
              <w:ind w:right="135"/>
              <w:spacing w:after="0" w:line="144" w:lineRule="exact"/>
              <w:rPr>
                <w:sz w:val="20"/>
                <w:szCs w:val="20"/>
                <w:color w:val="auto"/>
              </w:rPr>
            </w:pPr>
            <w:r>
              <w:rPr>
                <w:rFonts w:ascii="Arial" w:cs="Arial" w:eastAsia="Arial" w:hAnsi="Arial"/>
                <w:sz w:val="13"/>
                <w:szCs w:val="13"/>
                <w:color w:val="auto"/>
              </w:rPr>
              <w:t>9</w:t>
            </w:r>
          </w:p>
        </w:tc>
        <w:tc>
          <w:tcPr>
            <w:tcW w:w="980" w:type="dxa"/>
            <w:vAlign w:val="bottom"/>
          </w:tcPr>
          <w:p>
            <w:pPr>
              <w:jc w:val="right"/>
              <w:ind w:right="195"/>
              <w:spacing w:after="0" w:line="144" w:lineRule="exact"/>
              <w:rPr>
                <w:sz w:val="20"/>
                <w:szCs w:val="20"/>
                <w:color w:val="auto"/>
              </w:rPr>
            </w:pPr>
            <w:r>
              <w:rPr>
                <w:rFonts w:ascii="Arial" w:cs="Arial" w:eastAsia="Arial" w:hAnsi="Arial"/>
                <w:sz w:val="13"/>
                <w:szCs w:val="13"/>
                <w:color w:val="auto"/>
              </w:rPr>
              <w:t>21</w:t>
            </w:r>
          </w:p>
        </w:tc>
        <w:tc>
          <w:tcPr>
            <w:tcW w:w="1080" w:type="dxa"/>
            <w:vAlign w:val="bottom"/>
          </w:tcPr>
          <w:p>
            <w:pPr>
              <w:jc w:val="right"/>
              <w:ind w:right="55"/>
              <w:spacing w:after="0" w:line="144" w:lineRule="exact"/>
              <w:rPr>
                <w:sz w:val="20"/>
                <w:szCs w:val="20"/>
                <w:color w:val="auto"/>
              </w:rPr>
            </w:pPr>
            <w:r>
              <w:rPr>
                <w:rFonts w:ascii="Arial" w:cs="Arial" w:eastAsia="Arial" w:hAnsi="Arial"/>
                <w:sz w:val="13"/>
                <w:szCs w:val="13"/>
                <w:b w:val="1"/>
                <w:bCs w:val="1"/>
                <w:color w:val="auto"/>
              </w:rPr>
              <w:t>624</w:t>
            </w:r>
          </w:p>
        </w:tc>
        <w:tc>
          <w:tcPr>
            <w:tcW w:w="960" w:type="dxa"/>
            <w:vAlign w:val="bottom"/>
          </w:tcPr>
          <w:p>
            <w:pPr>
              <w:spacing w:after="0"/>
              <w:rPr>
                <w:sz w:val="12"/>
                <w:szCs w:val="12"/>
                <w:color w:val="auto"/>
              </w:rPr>
            </w:pPr>
          </w:p>
        </w:tc>
        <w:tc>
          <w:tcPr>
            <w:tcW w:w="400" w:type="dxa"/>
            <w:vAlign w:val="bottom"/>
          </w:tcPr>
          <w:p>
            <w:pPr>
              <w:jc w:val="right"/>
              <w:ind w:right="175"/>
              <w:spacing w:after="0" w:line="144" w:lineRule="exact"/>
              <w:rPr>
                <w:sz w:val="20"/>
                <w:szCs w:val="20"/>
                <w:color w:val="auto"/>
              </w:rPr>
            </w:pPr>
            <w:r>
              <w:rPr>
                <w:rFonts w:ascii="Arial" w:cs="Arial" w:eastAsia="Arial" w:hAnsi="Arial"/>
                <w:sz w:val="13"/>
                <w:szCs w:val="13"/>
                <w:b w:val="1"/>
                <w:bCs w:val="1"/>
                <w:color w:val="auto"/>
                <w:w w:val="96"/>
              </w:rPr>
              <w:t>17</w:t>
            </w:r>
          </w:p>
        </w:tc>
        <w:tc>
          <w:tcPr>
            <w:tcW w:w="900" w:type="dxa"/>
            <w:vAlign w:val="bottom"/>
          </w:tcPr>
          <w:p>
            <w:pPr>
              <w:jc w:val="right"/>
              <w:ind w:right="155"/>
              <w:spacing w:after="0" w:line="144" w:lineRule="exact"/>
              <w:rPr>
                <w:sz w:val="20"/>
                <w:szCs w:val="20"/>
                <w:color w:val="auto"/>
              </w:rPr>
            </w:pPr>
            <w:r>
              <w:rPr>
                <w:rFonts w:ascii="Arial" w:cs="Arial" w:eastAsia="Arial" w:hAnsi="Arial"/>
                <w:sz w:val="13"/>
                <w:szCs w:val="13"/>
                <w:b w:val="1"/>
                <w:bCs w:val="1"/>
                <w:color w:val="auto"/>
              </w:rPr>
              <w:t>1,016</w:t>
            </w:r>
          </w:p>
        </w:tc>
        <w:tc>
          <w:tcPr>
            <w:tcW w:w="76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2,176</w:t>
            </w:r>
          </w:p>
        </w:tc>
        <w:tc>
          <w:tcPr>
            <w:tcW w:w="0" w:type="dxa"/>
            <w:vAlign w:val="bottom"/>
          </w:tcPr>
          <w:p>
            <w:pPr>
              <w:spacing w:after="0"/>
              <w:rPr>
                <w:sz w:val="1"/>
                <w:szCs w:val="1"/>
                <w:color w:val="auto"/>
              </w:rPr>
            </w:pPr>
          </w:p>
        </w:tc>
      </w:tr>
      <w:tr>
        <w:trPr>
          <w:trHeight w:val="144"/>
        </w:trPr>
        <w:tc>
          <w:tcPr>
            <w:tcW w:w="19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Foot Locker Canada</w:t>
            </w:r>
          </w:p>
        </w:tc>
        <w:tc>
          <w:tcPr>
            <w:tcW w:w="1180" w:type="dxa"/>
            <w:vAlign w:val="bottom"/>
            <w:shd w:val="clear" w:color="auto" w:fill="CCEEFF"/>
          </w:tcPr>
          <w:p>
            <w:pPr>
              <w:jc w:val="right"/>
              <w:ind w:right="115"/>
              <w:spacing w:after="0" w:line="144" w:lineRule="exact"/>
              <w:rPr>
                <w:sz w:val="20"/>
                <w:szCs w:val="20"/>
                <w:color w:val="auto"/>
              </w:rPr>
            </w:pPr>
            <w:r>
              <w:rPr>
                <w:rFonts w:ascii="Arial" w:cs="Arial" w:eastAsia="Arial" w:hAnsi="Arial"/>
                <w:sz w:val="13"/>
                <w:szCs w:val="13"/>
                <w:color w:val="auto"/>
              </w:rPr>
              <w:t>105</w:t>
            </w:r>
          </w:p>
        </w:tc>
        <w:tc>
          <w:tcPr>
            <w:tcW w:w="940" w:type="dxa"/>
            <w:vAlign w:val="bottom"/>
            <w:shd w:val="clear" w:color="auto" w:fill="CCEEFF"/>
          </w:tcPr>
          <w:p>
            <w:pPr>
              <w:jc w:val="right"/>
              <w:ind w:right="135"/>
              <w:spacing w:after="0" w:line="144"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95"/>
              <w:spacing w:after="0" w:line="144" w:lineRule="exact"/>
              <w:rPr>
                <w:sz w:val="20"/>
                <w:szCs w:val="20"/>
                <w:color w:val="auto"/>
              </w:rPr>
            </w:pPr>
            <w:r>
              <w:rPr>
                <w:rFonts w:ascii="Arial" w:cs="Arial" w:eastAsia="Arial" w:hAnsi="Arial"/>
                <w:sz w:val="13"/>
                <w:szCs w:val="13"/>
                <w:color w:val="auto"/>
              </w:rPr>
              <w:t>4</w:t>
            </w:r>
          </w:p>
        </w:tc>
        <w:tc>
          <w:tcPr>
            <w:tcW w:w="108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b w:val="1"/>
                <w:bCs w:val="1"/>
                <w:color w:val="auto"/>
              </w:rPr>
              <w:t>101</w:t>
            </w:r>
          </w:p>
        </w:tc>
        <w:tc>
          <w:tcPr>
            <w:tcW w:w="96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175"/>
              <w:spacing w:after="0" w:line="144" w:lineRule="exact"/>
              <w:rPr>
                <w:sz w:val="20"/>
                <w:szCs w:val="20"/>
                <w:color w:val="auto"/>
              </w:rPr>
            </w:pPr>
            <w:r>
              <w:rPr>
                <w:rFonts w:ascii="Arial" w:cs="Arial" w:eastAsia="Arial" w:hAnsi="Arial"/>
                <w:sz w:val="13"/>
                <w:szCs w:val="13"/>
                <w:b w:val="1"/>
                <w:bCs w:val="1"/>
                <w:color w:val="auto"/>
              </w:rPr>
              <w:t>2</w:t>
            </w:r>
          </w:p>
        </w:tc>
        <w:tc>
          <w:tcPr>
            <w:tcW w:w="900" w:type="dxa"/>
            <w:vAlign w:val="bottom"/>
            <w:shd w:val="clear" w:color="auto" w:fill="CCEEFF"/>
          </w:tcPr>
          <w:p>
            <w:pPr>
              <w:jc w:val="right"/>
              <w:ind w:right="155"/>
              <w:spacing w:after="0" w:line="144" w:lineRule="exact"/>
              <w:rPr>
                <w:sz w:val="20"/>
                <w:szCs w:val="20"/>
                <w:color w:val="auto"/>
              </w:rPr>
            </w:pPr>
            <w:r>
              <w:rPr>
                <w:rFonts w:ascii="Arial" w:cs="Arial" w:eastAsia="Arial" w:hAnsi="Arial"/>
                <w:sz w:val="13"/>
                <w:szCs w:val="13"/>
                <w:b w:val="1"/>
                <w:bCs w:val="1"/>
                <w:color w:val="auto"/>
              </w:rPr>
              <w:t>255</w:t>
            </w:r>
          </w:p>
        </w:tc>
        <w:tc>
          <w:tcPr>
            <w:tcW w:w="7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422</w:t>
            </w:r>
          </w:p>
        </w:tc>
        <w:tc>
          <w:tcPr>
            <w:tcW w:w="0" w:type="dxa"/>
            <w:vAlign w:val="bottom"/>
          </w:tcPr>
          <w:p>
            <w:pPr>
              <w:spacing w:after="0"/>
              <w:rPr>
                <w:sz w:val="1"/>
                <w:szCs w:val="1"/>
                <w:color w:val="auto"/>
              </w:rPr>
            </w:pPr>
          </w:p>
        </w:tc>
      </w:tr>
      <w:tr>
        <w:trPr>
          <w:trHeight w:val="144"/>
        </w:trPr>
        <w:tc>
          <w:tcPr>
            <w:tcW w:w="1920" w:type="dxa"/>
            <w:vAlign w:val="bottom"/>
          </w:tcPr>
          <w:p>
            <w:pPr>
              <w:spacing w:after="0" w:line="144" w:lineRule="exact"/>
              <w:rPr>
                <w:sz w:val="20"/>
                <w:szCs w:val="20"/>
                <w:color w:val="auto"/>
              </w:rPr>
            </w:pPr>
            <w:r>
              <w:rPr>
                <w:rFonts w:ascii="Arial" w:cs="Arial" w:eastAsia="Arial" w:hAnsi="Arial"/>
                <w:sz w:val="13"/>
                <w:szCs w:val="13"/>
                <w:color w:val="auto"/>
              </w:rPr>
              <w:t>Foot Locker Pacific</w:t>
            </w:r>
          </w:p>
        </w:tc>
        <w:tc>
          <w:tcPr>
            <w:tcW w:w="1180" w:type="dxa"/>
            <w:vAlign w:val="bottom"/>
          </w:tcPr>
          <w:p>
            <w:pPr>
              <w:jc w:val="right"/>
              <w:ind w:right="115"/>
              <w:spacing w:after="0" w:line="144" w:lineRule="exact"/>
              <w:rPr>
                <w:sz w:val="20"/>
                <w:szCs w:val="20"/>
                <w:color w:val="auto"/>
              </w:rPr>
            </w:pPr>
            <w:r>
              <w:rPr>
                <w:rFonts w:ascii="Arial" w:cs="Arial" w:eastAsia="Arial" w:hAnsi="Arial"/>
                <w:sz w:val="13"/>
                <w:szCs w:val="13"/>
                <w:color w:val="auto"/>
              </w:rPr>
              <w:t>91</w:t>
            </w:r>
          </w:p>
        </w:tc>
        <w:tc>
          <w:tcPr>
            <w:tcW w:w="940" w:type="dxa"/>
            <w:vAlign w:val="bottom"/>
          </w:tcPr>
          <w:p>
            <w:pPr>
              <w:jc w:val="right"/>
              <w:ind w:right="135"/>
              <w:spacing w:after="0" w:line="144" w:lineRule="exact"/>
              <w:rPr>
                <w:sz w:val="20"/>
                <w:szCs w:val="20"/>
                <w:color w:val="auto"/>
              </w:rPr>
            </w:pPr>
            <w:r>
              <w:rPr>
                <w:rFonts w:ascii="Arial" w:cs="Arial" w:eastAsia="Arial" w:hAnsi="Arial"/>
                <w:sz w:val="13"/>
                <w:szCs w:val="13"/>
                <w:color w:val="auto"/>
              </w:rPr>
              <w:t>2</w:t>
            </w:r>
          </w:p>
        </w:tc>
        <w:tc>
          <w:tcPr>
            <w:tcW w:w="980" w:type="dxa"/>
            <w:vAlign w:val="bottom"/>
          </w:tcPr>
          <w:p>
            <w:pPr>
              <w:jc w:val="right"/>
              <w:ind w:right="195"/>
              <w:spacing w:after="0" w:line="144" w:lineRule="exact"/>
              <w:rPr>
                <w:sz w:val="20"/>
                <w:szCs w:val="20"/>
                <w:color w:val="auto"/>
              </w:rPr>
            </w:pPr>
            <w:r>
              <w:rPr>
                <w:rFonts w:ascii="Arial" w:cs="Arial" w:eastAsia="Arial" w:hAnsi="Arial"/>
                <w:sz w:val="13"/>
                <w:szCs w:val="13"/>
                <w:color w:val="auto"/>
              </w:rPr>
              <w:t>—</w:t>
            </w:r>
          </w:p>
        </w:tc>
        <w:tc>
          <w:tcPr>
            <w:tcW w:w="1080" w:type="dxa"/>
            <w:vAlign w:val="bottom"/>
          </w:tcPr>
          <w:p>
            <w:pPr>
              <w:jc w:val="right"/>
              <w:ind w:right="55"/>
              <w:spacing w:after="0" w:line="144" w:lineRule="exact"/>
              <w:rPr>
                <w:sz w:val="20"/>
                <w:szCs w:val="20"/>
                <w:color w:val="auto"/>
              </w:rPr>
            </w:pPr>
            <w:r>
              <w:rPr>
                <w:rFonts w:ascii="Arial" w:cs="Arial" w:eastAsia="Arial" w:hAnsi="Arial"/>
                <w:sz w:val="13"/>
                <w:szCs w:val="13"/>
                <w:b w:val="1"/>
                <w:bCs w:val="1"/>
                <w:color w:val="auto"/>
              </w:rPr>
              <w:t>93</w:t>
            </w:r>
          </w:p>
        </w:tc>
        <w:tc>
          <w:tcPr>
            <w:tcW w:w="960" w:type="dxa"/>
            <w:vAlign w:val="bottom"/>
          </w:tcPr>
          <w:p>
            <w:pPr>
              <w:spacing w:after="0"/>
              <w:rPr>
                <w:sz w:val="12"/>
                <w:szCs w:val="12"/>
                <w:color w:val="auto"/>
              </w:rPr>
            </w:pPr>
          </w:p>
        </w:tc>
        <w:tc>
          <w:tcPr>
            <w:tcW w:w="400" w:type="dxa"/>
            <w:vAlign w:val="bottom"/>
          </w:tcPr>
          <w:p>
            <w:pPr>
              <w:jc w:val="right"/>
              <w:ind w:right="175"/>
              <w:spacing w:after="0" w:line="144" w:lineRule="exact"/>
              <w:rPr>
                <w:sz w:val="20"/>
                <w:szCs w:val="20"/>
                <w:color w:val="auto"/>
              </w:rPr>
            </w:pPr>
            <w:r>
              <w:rPr>
                <w:rFonts w:ascii="Arial" w:cs="Arial" w:eastAsia="Arial" w:hAnsi="Arial"/>
                <w:sz w:val="13"/>
                <w:szCs w:val="13"/>
                <w:b w:val="1"/>
                <w:bCs w:val="1"/>
                <w:color w:val="auto"/>
              </w:rPr>
              <w:t>7</w:t>
            </w:r>
          </w:p>
        </w:tc>
        <w:tc>
          <w:tcPr>
            <w:tcW w:w="900" w:type="dxa"/>
            <w:vAlign w:val="bottom"/>
          </w:tcPr>
          <w:p>
            <w:pPr>
              <w:jc w:val="right"/>
              <w:ind w:right="155"/>
              <w:spacing w:after="0" w:line="144" w:lineRule="exact"/>
              <w:rPr>
                <w:sz w:val="20"/>
                <w:szCs w:val="20"/>
                <w:color w:val="auto"/>
              </w:rPr>
            </w:pPr>
            <w:r>
              <w:rPr>
                <w:rFonts w:ascii="Arial" w:cs="Arial" w:eastAsia="Arial" w:hAnsi="Arial"/>
                <w:sz w:val="13"/>
                <w:szCs w:val="13"/>
                <w:b w:val="1"/>
                <w:bCs w:val="1"/>
                <w:color w:val="auto"/>
              </w:rPr>
              <w:t>166</w:t>
            </w:r>
          </w:p>
        </w:tc>
        <w:tc>
          <w:tcPr>
            <w:tcW w:w="76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260</w:t>
            </w:r>
          </w:p>
        </w:tc>
        <w:tc>
          <w:tcPr>
            <w:tcW w:w="0" w:type="dxa"/>
            <w:vAlign w:val="bottom"/>
          </w:tcPr>
          <w:p>
            <w:pPr>
              <w:spacing w:after="0"/>
              <w:rPr>
                <w:sz w:val="1"/>
                <w:szCs w:val="1"/>
                <w:color w:val="auto"/>
              </w:rPr>
            </w:pPr>
          </w:p>
        </w:tc>
      </w:tr>
      <w:tr>
        <w:trPr>
          <w:trHeight w:val="144"/>
        </w:trPr>
        <w:tc>
          <w:tcPr>
            <w:tcW w:w="19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Foot Locker Asia</w:t>
            </w:r>
          </w:p>
        </w:tc>
        <w:tc>
          <w:tcPr>
            <w:tcW w:w="1180" w:type="dxa"/>
            <w:vAlign w:val="bottom"/>
            <w:shd w:val="clear" w:color="auto" w:fill="CCEEFF"/>
          </w:tcPr>
          <w:p>
            <w:pPr>
              <w:jc w:val="right"/>
              <w:ind w:right="115"/>
              <w:spacing w:after="0" w:line="144" w:lineRule="exact"/>
              <w:rPr>
                <w:sz w:val="20"/>
                <w:szCs w:val="20"/>
                <w:color w:val="auto"/>
              </w:rPr>
            </w:pPr>
            <w:r>
              <w:rPr>
                <w:rFonts w:ascii="Arial" w:cs="Arial" w:eastAsia="Arial" w:hAnsi="Arial"/>
                <w:sz w:val="13"/>
                <w:szCs w:val="13"/>
                <w:color w:val="auto"/>
              </w:rPr>
              <w:t>14</w:t>
            </w:r>
          </w:p>
        </w:tc>
        <w:tc>
          <w:tcPr>
            <w:tcW w:w="940" w:type="dxa"/>
            <w:vAlign w:val="bottom"/>
            <w:shd w:val="clear" w:color="auto" w:fill="CCEEFF"/>
          </w:tcPr>
          <w:p>
            <w:pPr>
              <w:jc w:val="right"/>
              <w:ind w:right="135"/>
              <w:spacing w:after="0" w:line="144" w:lineRule="exact"/>
              <w:rPr>
                <w:sz w:val="20"/>
                <w:szCs w:val="20"/>
                <w:color w:val="auto"/>
              </w:rPr>
            </w:pPr>
            <w:r>
              <w:rPr>
                <w:rFonts w:ascii="Arial" w:cs="Arial" w:eastAsia="Arial" w:hAnsi="Arial"/>
                <w:sz w:val="13"/>
                <w:szCs w:val="13"/>
                <w:color w:val="auto"/>
              </w:rPr>
              <w:t>6</w:t>
            </w:r>
          </w:p>
        </w:tc>
        <w:tc>
          <w:tcPr>
            <w:tcW w:w="980" w:type="dxa"/>
            <w:vAlign w:val="bottom"/>
            <w:shd w:val="clear" w:color="auto" w:fill="CCEEFF"/>
          </w:tcPr>
          <w:p>
            <w:pPr>
              <w:jc w:val="right"/>
              <w:ind w:right="195"/>
              <w:spacing w:after="0" w:line="144" w:lineRule="exact"/>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b w:val="1"/>
                <w:bCs w:val="1"/>
                <w:color w:val="auto"/>
              </w:rPr>
              <w:t>20</w:t>
            </w:r>
          </w:p>
        </w:tc>
        <w:tc>
          <w:tcPr>
            <w:tcW w:w="96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175"/>
              <w:spacing w:after="0" w:line="144" w:lineRule="exact"/>
              <w:rPr>
                <w:sz w:val="20"/>
                <w:szCs w:val="20"/>
                <w:color w:val="auto"/>
              </w:rPr>
            </w:pPr>
            <w:r>
              <w:rPr>
                <w:rFonts w:ascii="Arial" w:cs="Arial" w:eastAsia="Arial" w:hAnsi="Arial"/>
                <w:sz w:val="13"/>
                <w:szCs w:val="13"/>
                <w:b w:val="1"/>
                <w:bCs w:val="1"/>
                <w:color w:val="auto"/>
              </w:rPr>
              <w:t>—</w:t>
            </w:r>
          </w:p>
        </w:tc>
        <w:tc>
          <w:tcPr>
            <w:tcW w:w="900" w:type="dxa"/>
            <w:vAlign w:val="bottom"/>
            <w:shd w:val="clear" w:color="auto" w:fill="CCEEFF"/>
          </w:tcPr>
          <w:p>
            <w:pPr>
              <w:jc w:val="right"/>
              <w:ind w:right="155"/>
              <w:spacing w:after="0" w:line="144" w:lineRule="exact"/>
              <w:rPr>
                <w:sz w:val="20"/>
                <w:szCs w:val="20"/>
                <w:color w:val="auto"/>
              </w:rPr>
            </w:pPr>
            <w:r>
              <w:rPr>
                <w:rFonts w:ascii="Arial" w:cs="Arial" w:eastAsia="Arial" w:hAnsi="Arial"/>
                <w:sz w:val="13"/>
                <w:szCs w:val="13"/>
                <w:b w:val="1"/>
                <w:bCs w:val="1"/>
                <w:color w:val="auto"/>
              </w:rPr>
              <w:t>79</w:t>
            </w:r>
          </w:p>
        </w:tc>
        <w:tc>
          <w:tcPr>
            <w:tcW w:w="7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141</w:t>
            </w:r>
          </w:p>
        </w:tc>
        <w:tc>
          <w:tcPr>
            <w:tcW w:w="0" w:type="dxa"/>
            <w:vAlign w:val="bottom"/>
          </w:tcPr>
          <w:p>
            <w:pPr>
              <w:spacing w:after="0"/>
              <w:rPr>
                <w:sz w:val="1"/>
                <w:szCs w:val="1"/>
                <w:color w:val="auto"/>
              </w:rPr>
            </w:pPr>
          </w:p>
        </w:tc>
      </w:tr>
      <w:tr>
        <w:trPr>
          <w:trHeight w:val="144"/>
        </w:trPr>
        <w:tc>
          <w:tcPr>
            <w:tcW w:w="1920" w:type="dxa"/>
            <w:vAlign w:val="bottom"/>
          </w:tcPr>
          <w:p>
            <w:pPr>
              <w:spacing w:after="0" w:line="144" w:lineRule="exact"/>
              <w:rPr>
                <w:sz w:val="20"/>
                <w:szCs w:val="20"/>
                <w:color w:val="auto"/>
              </w:rPr>
            </w:pPr>
            <w:r>
              <w:rPr>
                <w:rFonts w:ascii="Arial" w:cs="Arial" w:eastAsia="Arial" w:hAnsi="Arial"/>
                <w:sz w:val="13"/>
                <w:szCs w:val="13"/>
                <w:color w:val="auto"/>
              </w:rPr>
              <w:t>Kids Foot Locker</w:t>
            </w:r>
          </w:p>
        </w:tc>
        <w:tc>
          <w:tcPr>
            <w:tcW w:w="1180" w:type="dxa"/>
            <w:vAlign w:val="bottom"/>
          </w:tcPr>
          <w:p>
            <w:pPr>
              <w:jc w:val="right"/>
              <w:ind w:right="115"/>
              <w:spacing w:after="0" w:line="144" w:lineRule="exact"/>
              <w:rPr>
                <w:sz w:val="20"/>
                <w:szCs w:val="20"/>
                <w:color w:val="auto"/>
              </w:rPr>
            </w:pPr>
            <w:r>
              <w:rPr>
                <w:rFonts w:ascii="Arial" w:cs="Arial" w:eastAsia="Arial" w:hAnsi="Arial"/>
                <w:sz w:val="13"/>
                <w:szCs w:val="13"/>
                <w:color w:val="auto"/>
              </w:rPr>
              <w:t>431</w:t>
            </w:r>
          </w:p>
        </w:tc>
        <w:tc>
          <w:tcPr>
            <w:tcW w:w="940" w:type="dxa"/>
            <w:vAlign w:val="bottom"/>
          </w:tcPr>
          <w:p>
            <w:pPr>
              <w:jc w:val="right"/>
              <w:ind w:right="135"/>
              <w:spacing w:after="0" w:line="144" w:lineRule="exact"/>
              <w:rPr>
                <w:sz w:val="20"/>
                <w:szCs w:val="20"/>
                <w:color w:val="auto"/>
              </w:rPr>
            </w:pPr>
            <w:r>
              <w:rPr>
                <w:rFonts w:ascii="Arial" w:cs="Arial" w:eastAsia="Arial" w:hAnsi="Arial"/>
                <w:sz w:val="13"/>
                <w:szCs w:val="13"/>
                <w:color w:val="auto"/>
              </w:rPr>
              <w:t>4</w:t>
            </w:r>
          </w:p>
        </w:tc>
        <w:tc>
          <w:tcPr>
            <w:tcW w:w="980" w:type="dxa"/>
            <w:vAlign w:val="bottom"/>
          </w:tcPr>
          <w:p>
            <w:pPr>
              <w:jc w:val="right"/>
              <w:ind w:right="195"/>
              <w:spacing w:after="0" w:line="144" w:lineRule="exact"/>
              <w:rPr>
                <w:sz w:val="20"/>
                <w:szCs w:val="20"/>
                <w:color w:val="auto"/>
              </w:rPr>
            </w:pPr>
            <w:r>
              <w:rPr>
                <w:rFonts w:ascii="Arial" w:cs="Arial" w:eastAsia="Arial" w:hAnsi="Arial"/>
                <w:sz w:val="13"/>
                <w:szCs w:val="13"/>
                <w:color w:val="auto"/>
              </w:rPr>
              <w:t>13</w:t>
            </w:r>
          </w:p>
        </w:tc>
        <w:tc>
          <w:tcPr>
            <w:tcW w:w="1080" w:type="dxa"/>
            <w:vAlign w:val="bottom"/>
          </w:tcPr>
          <w:p>
            <w:pPr>
              <w:jc w:val="right"/>
              <w:ind w:right="55"/>
              <w:spacing w:after="0" w:line="144" w:lineRule="exact"/>
              <w:rPr>
                <w:sz w:val="20"/>
                <w:szCs w:val="20"/>
                <w:color w:val="auto"/>
              </w:rPr>
            </w:pPr>
            <w:r>
              <w:rPr>
                <w:rFonts w:ascii="Arial" w:cs="Arial" w:eastAsia="Arial" w:hAnsi="Arial"/>
                <w:sz w:val="13"/>
                <w:szCs w:val="13"/>
                <w:b w:val="1"/>
                <w:bCs w:val="1"/>
                <w:color w:val="auto"/>
              </w:rPr>
              <w:t>422</w:t>
            </w:r>
          </w:p>
        </w:tc>
        <w:tc>
          <w:tcPr>
            <w:tcW w:w="960" w:type="dxa"/>
            <w:vAlign w:val="bottom"/>
          </w:tcPr>
          <w:p>
            <w:pPr>
              <w:spacing w:after="0"/>
              <w:rPr>
                <w:sz w:val="12"/>
                <w:szCs w:val="12"/>
                <w:color w:val="auto"/>
              </w:rPr>
            </w:pPr>
          </w:p>
        </w:tc>
        <w:tc>
          <w:tcPr>
            <w:tcW w:w="400" w:type="dxa"/>
            <w:vAlign w:val="bottom"/>
          </w:tcPr>
          <w:p>
            <w:pPr>
              <w:jc w:val="right"/>
              <w:ind w:right="175"/>
              <w:spacing w:after="0" w:line="144" w:lineRule="exact"/>
              <w:rPr>
                <w:sz w:val="20"/>
                <w:szCs w:val="20"/>
                <w:color w:val="auto"/>
              </w:rPr>
            </w:pPr>
            <w:r>
              <w:rPr>
                <w:rFonts w:ascii="Arial" w:cs="Arial" w:eastAsia="Arial" w:hAnsi="Arial"/>
                <w:sz w:val="13"/>
                <w:szCs w:val="13"/>
                <w:b w:val="1"/>
                <w:bCs w:val="1"/>
                <w:color w:val="auto"/>
              </w:rPr>
              <w:t>9</w:t>
            </w:r>
          </w:p>
        </w:tc>
        <w:tc>
          <w:tcPr>
            <w:tcW w:w="900" w:type="dxa"/>
            <w:vAlign w:val="bottom"/>
          </w:tcPr>
          <w:p>
            <w:pPr>
              <w:jc w:val="right"/>
              <w:ind w:right="155"/>
              <w:spacing w:after="0" w:line="144" w:lineRule="exact"/>
              <w:rPr>
                <w:sz w:val="20"/>
                <w:szCs w:val="20"/>
                <w:color w:val="auto"/>
              </w:rPr>
            </w:pPr>
            <w:r>
              <w:rPr>
                <w:rFonts w:ascii="Arial" w:cs="Arial" w:eastAsia="Arial" w:hAnsi="Arial"/>
                <w:sz w:val="13"/>
                <w:szCs w:val="13"/>
                <w:b w:val="1"/>
                <w:bCs w:val="1"/>
                <w:color w:val="auto"/>
              </w:rPr>
              <w:t>736</w:t>
            </w:r>
          </w:p>
        </w:tc>
        <w:tc>
          <w:tcPr>
            <w:tcW w:w="76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1,265</w:t>
            </w:r>
          </w:p>
        </w:tc>
        <w:tc>
          <w:tcPr>
            <w:tcW w:w="0" w:type="dxa"/>
            <w:vAlign w:val="bottom"/>
          </w:tcPr>
          <w:p>
            <w:pPr>
              <w:spacing w:after="0"/>
              <w:rPr>
                <w:sz w:val="1"/>
                <w:szCs w:val="1"/>
                <w:color w:val="auto"/>
              </w:rPr>
            </w:pPr>
          </w:p>
        </w:tc>
      </w:tr>
      <w:tr>
        <w:trPr>
          <w:trHeight w:val="144"/>
        </w:trPr>
        <w:tc>
          <w:tcPr>
            <w:tcW w:w="19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Lady Foot Locker</w:t>
            </w:r>
          </w:p>
        </w:tc>
        <w:tc>
          <w:tcPr>
            <w:tcW w:w="1180" w:type="dxa"/>
            <w:vAlign w:val="bottom"/>
            <w:shd w:val="clear" w:color="auto" w:fill="CCEEFF"/>
          </w:tcPr>
          <w:p>
            <w:pPr>
              <w:jc w:val="right"/>
              <w:ind w:right="115"/>
              <w:spacing w:after="0" w:line="144" w:lineRule="exact"/>
              <w:rPr>
                <w:sz w:val="20"/>
                <w:szCs w:val="20"/>
                <w:color w:val="auto"/>
              </w:rPr>
            </w:pPr>
            <w:r>
              <w:rPr>
                <w:rFonts w:ascii="Arial" w:cs="Arial" w:eastAsia="Arial" w:hAnsi="Arial"/>
                <w:sz w:val="13"/>
                <w:szCs w:val="13"/>
                <w:color w:val="auto"/>
              </w:rPr>
              <w:t>46</w:t>
            </w:r>
          </w:p>
        </w:tc>
        <w:tc>
          <w:tcPr>
            <w:tcW w:w="940" w:type="dxa"/>
            <w:vAlign w:val="bottom"/>
            <w:shd w:val="clear" w:color="auto" w:fill="CCEEFF"/>
          </w:tcPr>
          <w:p>
            <w:pPr>
              <w:jc w:val="right"/>
              <w:ind w:right="135"/>
              <w:spacing w:after="0" w:line="144"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195"/>
              <w:spacing w:after="0" w:line="144" w:lineRule="exact"/>
              <w:rPr>
                <w:sz w:val="20"/>
                <w:szCs w:val="20"/>
                <w:color w:val="auto"/>
              </w:rPr>
            </w:pPr>
            <w:r>
              <w:rPr>
                <w:rFonts w:ascii="Arial" w:cs="Arial" w:eastAsia="Arial" w:hAnsi="Arial"/>
                <w:sz w:val="13"/>
                <w:szCs w:val="13"/>
                <w:color w:val="auto"/>
              </w:rPr>
              <w:t>11</w:t>
            </w:r>
          </w:p>
        </w:tc>
        <w:tc>
          <w:tcPr>
            <w:tcW w:w="108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b w:val="1"/>
                <w:bCs w:val="1"/>
                <w:color w:val="auto"/>
              </w:rPr>
              <w:t>35</w:t>
            </w:r>
          </w:p>
        </w:tc>
        <w:tc>
          <w:tcPr>
            <w:tcW w:w="96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175"/>
              <w:spacing w:after="0" w:line="144" w:lineRule="exact"/>
              <w:rPr>
                <w:sz w:val="20"/>
                <w:szCs w:val="20"/>
                <w:color w:val="auto"/>
              </w:rPr>
            </w:pPr>
            <w:r>
              <w:rPr>
                <w:rFonts w:ascii="Arial" w:cs="Arial" w:eastAsia="Arial" w:hAnsi="Arial"/>
                <w:sz w:val="13"/>
                <w:szCs w:val="13"/>
                <w:b w:val="1"/>
                <w:bCs w:val="1"/>
                <w:color w:val="auto"/>
              </w:rPr>
              <w:t>—</w:t>
            </w:r>
          </w:p>
        </w:tc>
        <w:tc>
          <w:tcPr>
            <w:tcW w:w="900" w:type="dxa"/>
            <w:vAlign w:val="bottom"/>
            <w:shd w:val="clear" w:color="auto" w:fill="CCEEFF"/>
          </w:tcPr>
          <w:p>
            <w:pPr>
              <w:jc w:val="right"/>
              <w:ind w:right="155"/>
              <w:spacing w:after="0" w:line="144" w:lineRule="exact"/>
              <w:rPr>
                <w:sz w:val="20"/>
                <w:szCs w:val="20"/>
                <w:color w:val="auto"/>
              </w:rPr>
            </w:pPr>
            <w:r>
              <w:rPr>
                <w:rFonts w:ascii="Arial" w:cs="Arial" w:eastAsia="Arial" w:hAnsi="Arial"/>
                <w:sz w:val="13"/>
                <w:szCs w:val="13"/>
                <w:b w:val="1"/>
                <w:bCs w:val="1"/>
                <w:color w:val="auto"/>
              </w:rPr>
              <w:t>51</w:t>
            </w:r>
          </w:p>
        </w:tc>
        <w:tc>
          <w:tcPr>
            <w:tcW w:w="7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85</w:t>
            </w:r>
          </w:p>
        </w:tc>
        <w:tc>
          <w:tcPr>
            <w:tcW w:w="0" w:type="dxa"/>
            <w:vAlign w:val="bottom"/>
          </w:tcPr>
          <w:p>
            <w:pPr>
              <w:spacing w:after="0"/>
              <w:rPr>
                <w:sz w:val="1"/>
                <w:szCs w:val="1"/>
                <w:color w:val="auto"/>
              </w:rPr>
            </w:pPr>
          </w:p>
        </w:tc>
      </w:tr>
      <w:tr>
        <w:trPr>
          <w:trHeight w:val="144"/>
        </w:trPr>
        <w:tc>
          <w:tcPr>
            <w:tcW w:w="1920" w:type="dxa"/>
            <w:vAlign w:val="bottom"/>
          </w:tcPr>
          <w:p>
            <w:pPr>
              <w:spacing w:after="0" w:line="144" w:lineRule="exact"/>
              <w:rPr>
                <w:sz w:val="20"/>
                <w:szCs w:val="20"/>
                <w:color w:val="auto"/>
              </w:rPr>
            </w:pPr>
            <w:r>
              <w:rPr>
                <w:rFonts w:ascii="Arial" w:cs="Arial" w:eastAsia="Arial" w:hAnsi="Arial"/>
                <w:sz w:val="13"/>
                <w:szCs w:val="13"/>
                <w:color w:val="auto"/>
              </w:rPr>
              <w:t>Champs Sports</w:t>
            </w:r>
          </w:p>
        </w:tc>
        <w:tc>
          <w:tcPr>
            <w:tcW w:w="1180" w:type="dxa"/>
            <w:vAlign w:val="bottom"/>
          </w:tcPr>
          <w:p>
            <w:pPr>
              <w:jc w:val="right"/>
              <w:ind w:right="115"/>
              <w:spacing w:after="0" w:line="144" w:lineRule="exact"/>
              <w:rPr>
                <w:sz w:val="20"/>
                <w:szCs w:val="20"/>
                <w:color w:val="auto"/>
              </w:rPr>
            </w:pPr>
            <w:r>
              <w:rPr>
                <w:rFonts w:ascii="Arial" w:cs="Arial" w:eastAsia="Arial" w:hAnsi="Arial"/>
                <w:sz w:val="13"/>
                <w:szCs w:val="13"/>
                <w:color w:val="auto"/>
              </w:rPr>
              <w:t>536</w:t>
            </w:r>
          </w:p>
        </w:tc>
        <w:tc>
          <w:tcPr>
            <w:tcW w:w="940" w:type="dxa"/>
            <w:vAlign w:val="bottom"/>
          </w:tcPr>
          <w:p>
            <w:pPr>
              <w:jc w:val="right"/>
              <w:ind w:right="135"/>
              <w:spacing w:after="0" w:line="144" w:lineRule="exact"/>
              <w:rPr>
                <w:sz w:val="20"/>
                <w:szCs w:val="20"/>
                <w:color w:val="auto"/>
              </w:rPr>
            </w:pPr>
            <w:r>
              <w:rPr>
                <w:rFonts w:ascii="Arial" w:cs="Arial" w:eastAsia="Arial" w:hAnsi="Arial"/>
                <w:sz w:val="13"/>
                <w:szCs w:val="13"/>
                <w:color w:val="auto"/>
              </w:rPr>
              <w:t>11</w:t>
            </w:r>
          </w:p>
        </w:tc>
        <w:tc>
          <w:tcPr>
            <w:tcW w:w="980" w:type="dxa"/>
            <w:vAlign w:val="bottom"/>
          </w:tcPr>
          <w:p>
            <w:pPr>
              <w:jc w:val="right"/>
              <w:ind w:right="195"/>
              <w:spacing w:after="0" w:line="144" w:lineRule="exact"/>
              <w:rPr>
                <w:sz w:val="20"/>
                <w:szCs w:val="20"/>
                <w:color w:val="auto"/>
              </w:rPr>
            </w:pPr>
            <w:r>
              <w:rPr>
                <w:rFonts w:ascii="Arial" w:cs="Arial" w:eastAsia="Arial" w:hAnsi="Arial"/>
                <w:sz w:val="13"/>
                <w:szCs w:val="13"/>
                <w:color w:val="auto"/>
              </w:rPr>
              <w:t>8</w:t>
            </w:r>
          </w:p>
        </w:tc>
        <w:tc>
          <w:tcPr>
            <w:tcW w:w="1080" w:type="dxa"/>
            <w:vAlign w:val="bottom"/>
          </w:tcPr>
          <w:p>
            <w:pPr>
              <w:jc w:val="right"/>
              <w:ind w:right="55"/>
              <w:spacing w:after="0" w:line="144" w:lineRule="exact"/>
              <w:rPr>
                <w:sz w:val="20"/>
                <w:szCs w:val="20"/>
                <w:color w:val="auto"/>
              </w:rPr>
            </w:pPr>
            <w:r>
              <w:rPr>
                <w:rFonts w:ascii="Arial" w:cs="Arial" w:eastAsia="Arial" w:hAnsi="Arial"/>
                <w:sz w:val="13"/>
                <w:szCs w:val="13"/>
                <w:b w:val="1"/>
                <w:bCs w:val="1"/>
                <w:color w:val="auto"/>
              </w:rPr>
              <w:t>539</w:t>
            </w:r>
          </w:p>
        </w:tc>
        <w:tc>
          <w:tcPr>
            <w:tcW w:w="960" w:type="dxa"/>
            <w:vAlign w:val="bottom"/>
          </w:tcPr>
          <w:p>
            <w:pPr>
              <w:spacing w:after="0"/>
              <w:rPr>
                <w:sz w:val="12"/>
                <w:szCs w:val="12"/>
                <w:color w:val="auto"/>
              </w:rPr>
            </w:pPr>
          </w:p>
        </w:tc>
        <w:tc>
          <w:tcPr>
            <w:tcW w:w="400" w:type="dxa"/>
            <w:vAlign w:val="bottom"/>
          </w:tcPr>
          <w:p>
            <w:pPr>
              <w:jc w:val="right"/>
              <w:ind w:right="175"/>
              <w:spacing w:after="0" w:line="144" w:lineRule="exact"/>
              <w:rPr>
                <w:sz w:val="20"/>
                <w:szCs w:val="20"/>
                <w:color w:val="auto"/>
              </w:rPr>
            </w:pPr>
            <w:r>
              <w:rPr>
                <w:rFonts w:ascii="Arial" w:cs="Arial" w:eastAsia="Arial" w:hAnsi="Arial"/>
                <w:sz w:val="13"/>
                <w:szCs w:val="13"/>
                <w:b w:val="1"/>
                <w:bCs w:val="1"/>
                <w:color w:val="auto"/>
              </w:rPr>
              <w:t>4</w:t>
            </w:r>
          </w:p>
        </w:tc>
        <w:tc>
          <w:tcPr>
            <w:tcW w:w="900" w:type="dxa"/>
            <w:vAlign w:val="bottom"/>
          </w:tcPr>
          <w:p>
            <w:pPr>
              <w:jc w:val="right"/>
              <w:ind w:right="155"/>
              <w:spacing w:after="0" w:line="144" w:lineRule="exact"/>
              <w:rPr>
                <w:sz w:val="20"/>
                <w:szCs w:val="20"/>
                <w:color w:val="auto"/>
              </w:rPr>
            </w:pPr>
            <w:r>
              <w:rPr>
                <w:rFonts w:ascii="Arial" w:cs="Arial" w:eastAsia="Arial" w:hAnsi="Arial"/>
                <w:sz w:val="13"/>
                <w:szCs w:val="13"/>
                <w:b w:val="1"/>
                <w:bCs w:val="1"/>
                <w:color w:val="auto"/>
              </w:rPr>
              <w:t>1,946</w:t>
            </w:r>
          </w:p>
        </w:tc>
        <w:tc>
          <w:tcPr>
            <w:tcW w:w="76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3,033</w:t>
            </w:r>
          </w:p>
        </w:tc>
        <w:tc>
          <w:tcPr>
            <w:tcW w:w="0" w:type="dxa"/>
            <w:vAlign w:val="bottom"/>
          </w:tcPr>
          <w:p>
            <w:pPr>
              <w:spacing w:after="0"/>
              <w:rPr>
                <w:sz w:val="1"/>
                <w:szCs w:val="1"/>
                <w:color w:val="auto"/>
              </w:rPr>
            </w:pPr>
          </w:p>
        </w:tc>
      </w:tr>
      <w:tr>
        <w:trPr>
          <w:trHeight w:val="144"/>
        </w:trPr>
        <w:tc>
          <w:tcPr>
            <w:tcW w:w="19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Footaction</w:t>
            </w:r>
          </w:p>
        </w:tc>
        <w:tc>
          <w:tcPr>
            <w:tcW w:w="1180" w:type="dxa"/>
            <w:vAlign w:val="bottom"/>
            <w:shd w:val="clear" w:color="auto" w:fill="CCEEFF"/>
          </w:tcPr>
          <w:p>
            <w:pPr>
              <w:jc w:val="right"/>
              <w:ind w:right="115"/>
              <w:spacing w:after="0" w:line="144" w:lineRule="exact"/>
              <w:rPr>
                <w:sz w:val="20"/>
                <w:szCs w:val="20"/>
                <w:color w:val="auto"/>
              </w:rPr>
            </w:pPr>
            <w:r>
              <w:rPr>
                <w:rFonts w:ascii="Arial" w:cs="Arial" w:eastAsia="Arial" w:hAnsi="Arial"/>
                <w:sz w:val="13"/>
                <w:szCs w:val="13"/>
                <w:color w:val="auto"/>
              </w:rPr>
              <w:t>245</w:t>
            </w:r>
          </w:p>
        </w:tc>
        <w:tc>
          <w:tcPr>
            <w:tcW w:w="940" w:type="dxa"/>
            <w:vAlign w:val="bottom"/>
            <w:shd w:val="clear" w:color="auto" w:fill="CCEEFF"/>
          </w:tcPr>
          <w:p>
            <w:pPr>
              <w:jc w:val="right"/>
              <w:ind w:right="135"/>
              <w:spacing w:after="0" w:line="144" w:lineRule="exact"/>
              <w:rPr>
                <w:sz w:val="20"/>
                <w:szCs w:val="20"/>
                <w:color w:val="auto"/>
              </w:rPr>
            </w:pPr>
            <w:r>
              <w:rPr>
                <w:rFonts w:ascii="Arial" w:cs="Arial" w:eastAsia="Arial" w:hAnsi="Arial"/>
                <w:sz w:val="13"/>
                <w:szCs w:val="13"/>
                <w:color w:val="auto"/>
              </w:rPr>
              <w:t>4</w:t>
            </w:r>
          </w:p>
        </w:tc>
        <w:tc>
          <w:tcPr>
            <w:tcW w:w="980" w:type="dxa"/>
            <w:vAlign w:val="bottom"/>
            <w:shd w:val="clear" w:color="auto" w:fill="CCEEFF"/>
          </w:tcPr>
          <w:p>
            <w:pPr>
              <w:jc w:val="right"/>
              <w:ind w:right="195"/>
              <w:spacing w:after="0" w:line="144" w:lineRule="exact"/>
              <w:rPr>
                <w:sz w:val="20"/>
                <w:szCs w:val="20"/>
                <w:color w:val="auto"/>
              </w:rPr>
            </w:pPr>
            <w:r>
              <w:rPr>
                <w:rFonts w:ascii="Arial" w:cs="Arial" w:eastAsia="Arial" w:hAnsi="Arial"/>
                <w:sz w:val="13"/>
                <w:szCs w:val="13"/>
                <w:color w:val="auto"/>
              </w:rPr>
              <w:t>9</w:t>
            </w:r>
          </w:p>
        </w:tc>
        <w:tc>
          <w:tcPr>
            <w:tcW w:w="108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b w:val="1"/>
                <w:bCs w:val="1"/>
                <w:color w:val="auto"/>
              </w:rPr>
              <w:t>240</w:t>
            </w:r>
          </w:p>
        </w:tc>
        <w:tc>
          <w:tcPr>
            <w:tcW w:w="96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175"/>
              <w:spacing w:after="0" w:line="144" w:lineRule="exact"/>
              <w:rPr>
                <w:sz w:val="20"/>
                <w:szCs w:val="20"/>
                <w:color w:val="auto"/>
              </w:rPr>
            </w:pPr>
            <w:r>
              <w:rPr>
                <w:rFonts w:ascii="Arial" w:cs="Arial" w:eastAsia="Arial" w:hAnsi="Arial"/>
                <w:sz w:val="13"/>
                <w:szCs w:val="13"/>
                <w:b w:val="1"/>
                <w:bCs w:val="1"/>
                <w:color w:val="auto"/>
                <w:w w:val="96"/>
              </w:rPr>
              <w:t>22</w:t>
            </w:r>
          </w:p>
        </w:tc>
        <w:tc>
          <w:tcPr>
            <w:tcW w:w="900" w:type="dxa"/>
            <w:vAlign w:val="bottom"/>
            <w:shd w:val="clear" w:color="auto" w:fill="CCEEFF"/>
          </w:tcPr>
          <w:p>
            <w:pPr>
              <w:jc w:val="right"/>
              <w:ind w:right="155"/>
              <w:spacing w:after="0" w:line="144" w:lineRule="exact"/>
              <w:rPr>
                <w:sz w:val="20"/>
                <w:szCs w:val="20"/>
                <w:color w:val="auto"/>
              </w:rPr>
            </w:pPr>
            <w:r>
              <w:rPr>
                <w:rFonts w:ascii="Arial" w:cs="Arial" w:eastAsia="Arial" w:hAnsi="Arial"/>
                <w:sz w:val="13"/>
                <w:szCs w:val="13"/>
                <w:b w:val="1"/>
                <w:bCs w:val="1"/>
                <w:color w:val="auto"/>
              </w:rPr>
              <w:t>758</w:t>
            </w:r>
          </w:p>
        </w:tc>
        <w:tc>
          <w:tcPr>
            <w:tcW w:w="7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1,240</w:t>
            </w:r>
          </w:p>
        </w:tc>
        <w:tc>
          <w:tcPr>
            <w:tcW w:w="0" w:type="dxa"/>
            <w:vAlign w:val="bottom"/>
          </w:tcPr>
          <w:p>
            <w:pPr>
              <w:spacing w:after="0"/>
              <w:rPr>
                <w:sz w:val="1"/>
                <w:szCs w:val="1"/>
                <w:color w:val="auto"/>
              </w:rPr>
            </w:pPr>
          </w:p>
        </w:tc>
      </w:tr>
      <w:tr>
        <w:trPr>
          <w:trHeight w:val="144"/>
        </w:trPr>
        <w:tc>
          <w:tcPr>
            <w:tcW w:w="1920" w:type="dxa"/>
            <w:vAlign w:val="bottom"/>
          </w:tcPr>
          <w:p>
            <w:pPr>
              <w:spacing w:after="0" w:line="144" w:lineRule="exact"/>
              <w:rPr>
                <w:sz w:val="20"/>
                <w:szCs w:val="20"/>
                <w:color w:val="auto"/>
              </w:rPr>
            </w:pPr>
            <w:r>
              <w:rPr>
                <w:rFonts w:ascii="Arial" w:cs="Arial" w:eastAsia="Arial" w:hAnsi="Arial"/>
                <w:sz w:val="13"/>
                <w:szCs w:val="13"/>
                <w:color w:val="auto"/>
              </w:rPr>
              <w:t>Runners Point</w:t>
            </w:r>
          </w:p>
        </w:tc>
        <w:tc>
          <w:tcPr>
            <w:tcW w:w="1180" w:type="dxa"/>
            <w:vAlign w:val="bottom"/>
          </w:tcPr>
          <w:p>
            <w:pPr>
              <w:jc w:val="right"/>
              <w:ind w:right="115"/>
              <w:spacing w:after="0" w:line="144" w:lineRule="exact"/>
              <w:rPr>
                <w:sz w:val="20"/>
                <w:szCs w:val="20"/>
                <w:color w:val="auto"/>
              </w:rPr>
            </w:pPr>
            <w:r>
              <w:rPr>
                <w:rFonts w:ascii="Arial" w:cs="Arial" w:eastAsia="Arial" w:hAnsi="Arial"/>
                <w:sz w:val="13"/>
                <w:szCs w:val="13"/>
                <w:color w:val="auto"/>
              </w:rPr>
              <w:t>81</w:t>
            </w:r>
          </w:p>
        </w:tc>
        <w:tc>
          <w:tcPr>
            <w:tcW w:w="940" w:type="dxa"/>
            <w:vAlign w:val="bottom"/>
          </w:tcPr>
          <w:p>
            <w:pPr>
              <w:jc w:val="right"/>
              <w:ind w:right="135"/>
              <w:spacing w:after="0" w:line="144" w:lineRule="exact"/>
              <w:rPr>
                <w:sz w:val="20"/>
                <w:szCs w:val="20"/>
                <w:color w:val="auto"/>
              </w:rPr>
            </w:pPr>
            <w:r>
              <w:rPr>
                <w:rFonts w:ascii="Arial" w:cs="Arial" w:eastAsia="Arial" w:hAnsi="Arial"/>
                <w:sz w:val="13"/>
                <w:szCs w:val="13"/>
                <w:color w:val="auto"/>
              </w:rPr>
              <w:t>1</w:t>
            </w:r>
          </w:p>
        </w:tc>
        <w:tc>
          <w:tcPr>
            <w:tcW w:w="980" w:type="dxa"/>
            <w:vAlign w:val="bottom"/>
          </w:tcPr>
          <w:p>
            <w:pPr>
              <w:jc w:val="right"/>
              <w:ind w:right="195"/>
              <w:spacing w:after="0" w:line="144" w:lineRule="exact"/>
              <w:rPr>
                <w:sz w:val="20"/>
                <w:szCs w:val="20"/>
                <w:color w:val="auto"/>
              </w:rPr>
            </w:pPr>
            <w:r>
              <w:rPr>
                <w:rFonts w:ascii="Arial" w:cs="Arial" w:eastAsia="Arial" w:hAnsi="Arial"/>
                <w:sz w:val="13"/>
                <w:szCs w:val="13"/>
                <w:color w:val="auto"/>
              </w:rPr>
              <w:t>82</w:t>
            </w:r>
          </w:p>
        </w:tc>
        <w:tc>
          <w:tcPr>
            <w:tcW w:w="1080" w:type="dxa"/>
            <w:vAlign w:val="bottom"/>
          </w:tcPr>
          <w:p>
            <w:pPr>
              <w:jc w:val="right"/>
              <w:ind w:right="55"/>
              <w:spacing w:after="0" w:line="144" w:lineRule="exact"/>
              <w:rPr>
                <w:sz w:val="20"/>
                <w:szCs w:val="20"/>
                <w:color w:val="auto"/>
              </w:rPr>
            </w:pPr>
            <w:r>
              <w:rPr>
                <w:rFonts w:ascii="Arial" w:cs="Arial" w:eastAsia="Arial" w:hAnsi="Arial"/>
                <w:sz w:val="13"/>
                <w:szCs w:val="13"/>
                <w:b w:val="1"/>
                <w:bCs w:val="1"/>
                <w:color w:val="auto"/>
              </w:rPr>
              <w:t>—</w:t>
            </w:r>
          </w:p>
        </w:tc>
        <w:tc>
          <w:tcPr>
            <w:tcW w:w="960" w:type="dxa"/>
            <w:vAlign w:val="bottom"/>
          </w:tcPr>
          <w:p>
            <w:pPr>
              <w:spacing w:after="0"/>
              <w:rPr>
                <w:sz w:val="12"/>
                <w:szCs w:val="12"/>
                <w:color w:val="auto"/>
              </w:rPr>
            </w:pPr>
          </w:p>
        </w:tc>
        <w:tc>
          <w:tcPr>
            <w:tcW w:w="400" w:type="dxa"/>
            <w:vAlign w:val="bottom"/>
          </w:tcPr>
          <w:p>
            <w:pPr>
              <w:jc w:val="right"/>
              <w:ind w:right="175"/>
              <w:spacing w:after="0" w:line="144" w:lineRule="exact"/>
              <w:rPr>
                <w:sz w:val="20"/>
                <w:szCs w:val="20"/>
                <w:color w:val="auto"/>
              </w:rPr>
            </w:pPr>
            <w:r>
              <w:rPr>
                <w:rFonts w:ascii="Arial" w:cs="Arial" w:eastAsia="Arial" w:hAnsi="Arial"/>
                <w:sz w:val="13"/>
                <w:szCs w:val="13"/>
                <w:b w:val="1"/>
                <w:bCs w:val="1"/>
                <w:color w:val="auto"/>
              </w:rPr>
              <w:t>—</w:t>
            </w:r>
          </w:p>
        </w:tc>
        <w:tc>
          <w:tcPr>
            <w:tcW w:w="900" w:type="dxa"/>
            <w:vAlign w:val="bottom"/>
          </w:tcPr>
          <w:p>
            <w:pPr>
              <w:jc w:val="right"/>
              <w:ind w:right="155"/>
              <w:spacing w:after="0" w:line="144" w:lineRule="exact"/>
              <w:rPr>
                <w:sz w:val="20"/>
                <w:szCs w:val="20"/>
                <w:color w:val="auto"/>
              </w:rPr>
            </w:pPr>
            <w:r>
              <w:rPr>
                <w:rFonts w:ascii="Arial" w:cs="Arial" w:eastAsia="Arial" w:hAnsi="Arial"/>
                <w:sz w:val="13"/>
                <w:szCs w:val="13"/>
                <w:b w:val="1"/>
                <w:bCs w:val="1"/>
                <w:color w:val="auto"/>
              </w:rPr>
              <w:t>—</w:t>
            </w:r>
          </w:p>
        </w:tc>
        <w:tc>
          <w:tcPr>
            <w:tcW w:w="76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44"/>
        </w:trPr>
        <w:tc>
          <w:tcPr>
            <w:tcW w:w="1920" w:type="dxa"/>
            <w:vAlign w:val="bottom"/>
            <w:tcBorders>
              <w:bottom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rPr>
              <w:t>Sidestep</w:t>
            </w:r>
          </w:p>
        </w:tc>
        <w:tc>
          <w:tcPr>
            <w:tcW w:w="1180" w:type="dxa"/>
            <w:vAlign w:val="bottom"/>
            <w:tcBorders>
              <w:bottom w:val="single" w:sz="8" w:color="auto"/>
            </w:tcBorders>
            <w:shd w:val="clear" w:color="auto" w:fill="CCEEFF"/>
          </w:tcPr>
          <w:p>
            <w:pPr>
              <w:jc w:val="right"/>
              <w:ind w:right="115"/>
              <w:spacing w:after="0" w:line="144" w:lineRule="exact"/>
              <w:rPr>
                <w:sz w:val="20"/>
                <w:szCs w:val="20"/>
                <w:color w:val="auto"/>
              </w:rPr>
            </w:pPr>
            <w:r>
              <w:rPr>
                <w:rFonts w:ascii="Arial" w:cs="Arial" w:eastAsia="Arial" w:hAnsi="Arial"/>
                <w:sz w:val="13"/>
                <w:szCs w:val="13"/>
                <w:color w:val="auto"/>
              </w:rPr>
              <w:t>77</w:t>
            </w:r>
          </w:p>
        </w:tc>
        <w:tc>
          <w:tcPr>
            <w:tcW w:w="940" w:type="dxa"/>
            <w:vAlign w:val="bottom"/>
            <w:tcBorders>
              <w:bottom w:val="single" w:sz="8" w:color="auto"/>
            </w:tcBorders>
            <w:shd w:val="clear" w:color="auto" w:fill="CCEEFF"/>
          </w:tcPr>
          <w:p>
            <w:pPr>
              <w:jc w:val="right"/>
              <w:ind w:right="135"/>
              <w:spacing w:after="0" w:line="144" w:lineRule="exact"/>
              <w:rPr>
                <w:sz w:val="20"/>
                <w:szCs w:val="20"/>
                <w:color w:val="auto"/>
              </w:rPr>
            </w:pPr>
            <w:r>
              <w:rPr>
                <w:rFonts w:ascii="Arial" w:cs="Arial" w:eastAsia="Arial" w:hAnsi="Arial"/>
                <w:sz w:val="13"/>
                <w:szCs w:val="13"/>
                <w:color w:val="auto"/>
              </w:rPr>
              <w:t>11</w:t>
            </w:r>
          </w:p>
        </w:tc>
        <w:tc>
          <w:tcPr>
            <w:tcW w:w="980" w:type="dxa"/>
            <w:vAlign w:val="bottom"/>
            <w:tcBorders>
              <w:bottom w:val="single" w:sz="8" w:color="auto"/>
            </w:tcBorders>
            <w:shd w:val="clear" w:color="auto" w:fill="CCEEFF"/>
          </w:tcPr>
          <w:p>
            <w:pPr>
              <w:jc w:val="right"/>
              <w:ind w:right="195"/>
              <w:spacing w:after="0" w:line="144" w:lineRule="exact"/>
              <w:rPr>
                <w:sz w:val="20"/>
                <w:szCs w:val="20"/>
                <w:color w:val="auto"/>
              </w:rPr>
            </w:pPr>
            <w:r>
              <w:rPr>
                <w:rFonts w:ascii="Arial" w:cs="Arial" w:eastAsia="Arial" w:hAnsi="Arial"/>
                <w:sz w:val="13"/>
                <w:szCs w:val="13"/>
                <w:color w:val="auto"/>
              </w:rPr>
              <w:t>12</w:t>
            </w:r>
          </w:p>
        </w:tc>
        <w:tc>
          <w:tcPr>
            <w:tcW w:w="1080" w:type="dxa"/>
            <w:vAlign w:val="bottom"/>
            <w:tcBorders>
              <w:bottom w:val="single" w:sz="8" w:color="auto"/>
            </w:tcBorders>
            <w:shd w:val="clear" w:color="auto" w:fill="CCEEFF"/>
          </w:tcPr>
          <w:p>
            <w:pPr>
              <w:jc w:val="right"/>
              <w:ind w:right="55"/>
              <w:spacing w:after="0" w:line="144" w:lineRule="exact"/>
              <w:rPr>
                <w:sz w:val="20"/>
                <w:szCs w:val="20"/>
                <w:color w:val="auto"/>
              </w:rPr>
            </w:pPr>
            <w:r>
              <w:rPr>
                <w:rFonts w:ascii="Arial" w:cs="Arial" w:eastAsia="Arial" w:hAnsi="Arial"/>
                <w:sz w:val="13"/>
                <w:szCs w:val="13"/>
                <w:b w:val="1"/>
                <w:bCs w:val="1"/>
                <w:color w:val="auto"/>
              </w:rPr>
              <w:t>76</w:t>
            </w:r>
          </w:p>
        </w:tc>
        <w:tc>
          <w:tcPr>
            <w:tcW w:w="96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ind w:right="175"/>
              <w:spacing w:after="0" w:line="144" w:lineRule="exact"/>
              <w:rPr>
                <w:sz w:val="20"/>
                <w:szCs w:val="20"/>
                <w:color w:val="auto"/>
              </w:rPr>
            </w:pPr>
            <w:r>
              <w:rPr>
                <w:rFonts w:ascii="Arial" w:cs="Arial" w:eastAsia="Arial" w:hAnsi="Arial"/>
                <w:sz w:val="13"/>
                <w:szCs w:val="13"/>
                <w:b w:val="1"/>
                <w:bCs w:val="1"/>
                <w:color w:val="auto"/>
              </w:rPr>
              <w:t>1</w:t>
            </w:r>
          </w:p>
        </w:tc>
        <w:tc>
          <w:tcPr>
            <w:tcW w:w="900" w:type="dxa"/>
            <w:vAlign w:val="bottom"/>
            <w:tcBorders>
              <w:bottom w:val="single" w:sz="8" w:color="auto"/>
            </w:tcBorders>
            <w:shd w:val="clear" w:color="auto" w:fill="CCEEFF"/>
          </w:tcPr>
          <w:p>
            <w:pPr>
              <w:jc w:val="right"/>
              <w:ind w:right="155"/>
              <w:spacing w:after="0" w:line="144" w:lineRule="exact"/>
              <w:rPr>
                <w:sz w:val="20"/>
                <w:szCs w:val="20"/>
                <w:color w:val="auto"/>
              </w:rPr>
            </w:pPr>
            <w:r>
              <w:rPr>
                <w:rFonts w:ascii="Arial" w:cs="Arial" w:eastAsia="Arial" w:hAnsi="Arial"/>
                <w:sz w:val="13"/>
                <w:szCs w:val="13"/>
                <w:b w:val="1"/>
                <w:bCs w:val="1"/>
                <w:color w:val="auto"/>
              </w:rPr>
              <w:t>88</w:t>
            </w:r>
          </w:p>
        </w:tc>
        <w:tc>
          <w:tcPr>
            <w:tcW w:w="7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157</w:t>
            </w:r>
          </w:p>
        </w:tc>
        <w:tc>
          <w:tcPr>
            <w:tcW w:w="0" w:type="dxa"/>
            <w:vAlign w:val="bottom"/>
          </w:tcPr>
          <w:p>
            <w:pPr>
              <w:spacing w:after="0"/>
              <w:rPr>
                <w:sz w:val="1"/>
                <w:szCs w:val="1"/>
                <w:color w:val="auto"/>
              </w:rPr>
            </w:pPr>
          </w:p>
        </w:tc>
      </w:tr>
      <w:tr>
        <w:trPr>
          <w:trHeight w:val="134"/>
        </w:trPr>
        <w:tc>
          <w:tcPr>
            <w:tcW w:w="1920" w:type="dxa"/>
            <w:vAlign w:val="bottom"/>
            <w:tcBorders>
              <w:bottom w:val="single" w:sz="8" w:color="auto"/>
            </w:tcBorders>
          </w:tcPr>
          <w:p>
            <w:pPr>
              <w:spacing w:after="0" w:line="134" w:lineRule="exact"/>
              <w:rPr>
                <w:sz w:val="20"/>
                <w:szCs w:val="20"/>
                <w:color w:val="auto"/>
              </w:rPr>
            </w:pPr>
            <w:r>
              <w:rPr>
                <w:rFonts w:ascii="Arial" w:cs="Arial" w:eastAsia="Arial" w:hAnsi="Arial"/>
                <w:sz w:val="13"/>
                <w:szCs w:val="13"/>
                <w:color w:val="auto"/>
              </w:rPr>
              <w:t>Total</w:t>
            </w:r>
          </w:p>
        </w:tc>
        <w:tc>
          <w:tcPr>
            <w:tcW w:w="1180" w:type="dxa"/>
            <w:vAlign w:val="bottom"/>
            <w:tcBorders>
              <w:bottom w:val="single" w:sz="8" w:color="auto"/>
            </w:tcBorders>
          </w:tcPr>
          <w:p>
            <w:pPr>
              <w:jc w:val="right"/>
              <w:ind w:right="115"/>
              <w:spacing w:after="0" w:line="134" w:lineRule="exact"/>
              <w:rPr>
                <w:sz w:val="20"/>
                <w:szCs w:val="20"/>
                <w:color w:val="auto"/>
              </w:rPr>
            </w:pPr>
            <w:r>
              <w:rPr>
                <w:rFonts w:ascii="Arial" w:cs="Arial" w:eastAsia="Arial" w:hAnsi="Arial"/>
                <w:sz w:val="13"/>
                <w:szCs w:val="13"/>
                <w:color w:val="auto"/>
              </w:rPr>
              <w:t>3,129</w:t>
            </w:r>
          </w:p>
        </w:tc>
        <w:tc>
          <w:tcPr>
            <w:tcW w:w="940" w:type="dxa"/>
            <w:vAlign w:val="bottom"/>
            <w:tcBorders>
              <w:bottom w:val="single" w:sz="8" w:color="auto"/>
            </w:tcBorders>
          </w:tcPr>
          <w:p>
            <w:pPr>
              <w:jc w:val="right"/>
              <w:ind w:right="135"/>
              <w:spacing w:after="0" w:line="134" w:lineRule="exact"/>
              <w:rPr>
                <w:sz w:val="20"/>
                <w:szCs w:val="20"/>
                <w:color w:val="auto"/>
              </w:rPr>
            </w:pPr>
            <w:r>
              <w:rPr>
                <w:rFonts w:ascii="Arial" w:cs="Arial" w:eastAsia="Arial" w:hAnsi="Arial"/>
                <w:sz w:val="13"/>
                <w:szCs w:val="13"/>
                <w:color w:val="auto"/>
              </w:rPr>
              <w:t>69</w:t>
            </w:r>
          </w:p>
        </w:tc>
        <w:tc>
          <w:tcPr>
            <w:tcW w:w="980" w:type="dxa"/>
            <w:vAlign w:val="bottom"/>
            <w:tcBorders>
              <w:bottom w:val="single" w:sz="8" w:color="auto"/>
            </w:tcBorders>
          </w:tcPr>
          <w:p>
            <w:pPr>
              <w:jc w:val="right"/>
              <w:ind w:right="195"/>
              <w:spacing w:after="0" w:line="134" w:lineRule="exact"/>
              <w:rPr>
                <w:sz w:val="20"/>
                <w:szCs w:val="20"/>
                <w:color w:val="auto"/>
              </w:rPr>
            </w:pPr>
            <w:r>
              <w:rPr>
                <w:rFonts w:ascii="Arial" w:cs="Arial" w:eastAsia="Arial" w:hAnsi="Arial"/>
                <w:sz w:val="13"/>
                <w:szCs w:val="13"/>
                <w:color w:val="auto"/>
              </w:rPr>
              <w:t>200</w:t>
            </w:r>
          </w:p>
        </w:tc>
        <w:tc>
          <w:tcPr>
            <w:tcW w:w="1080" w:type="dxa"/>
            <w:vAlign w:val="bottom"/>
            <w:tcBorders>
              <w:bottom w:val="single" w:sz="8" w:color="auto"/>
            </w:tcBorders>
          </w:tcPr>
          <w:p>
            <w:pPr>
              <w:jc w:val="right"/>
              <w:ind w:right="55"/>
              <w:spacing w:after="0" w:line="134" w:lineRule="exact"/>
              <w:rPr>
                <w:sz w:val="20"/>
                <w:szCs w:val="20"/>
                <w:color w:val="auto"/>
              </w:rPr>
            </w:pPr>
            <w:r>
              <w:rPr>
                <w:rFonts w:ascii="Arial" w:cs="Arial" w:eastAsia="Arial" w:hAnsi="Arial"/>
                <w:sz w:val="13"/>
                <w:szCs w:val="13"/>
                <w:b w:val="1"/>
                <w:bCs w:val="1"/>
                <w:color w:val="auto"/>
              </w:rPr>
              <w:t>2,998</w:t>
            </w:r>
          </w:p>
        </w:tc>
        <w:tc>
          <w:tcPr>
            <w:tcW w:w="9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175"/>
              <w:spacing w:after="0" w:line="134" w:lineRule="exact"/>
              <w:rPr>
                <w:sz w:val="20"/>
                <w:szCs w:val="20"/>
                <w:color w:val="auto"/>
              </w:rPr>
            </w:pPr>
            <w:r>
              <w:rPr>
                <w:rFonts w:ascii="Arial" w:cs="Arial" w:eastAsia="Arial" w:hAnsi="Arial"/>
                <w:sz w:val="13"/>
                <w:szCs w:val="13"/>
                <w:b w:val="1"/>
                <w:bCs w:val="1"/>
                <w:color w:val="auto"/>
                <w:w w:val="96"/>
              </w:rPr>
              <w:t>82</w:t>
            </w:r>
          </w:p>
        </w:tc>
        <w:tc>
          <w:tcPr>
            <w:tcW w:w="900" w:type="dxa"/>
            <w:vAlign w:val="bottom"/>
            <w:tcBorders>
              <w:bottom w:val="single" w:sz="8" w:color="auto"/>
            </w:tcBorders>
          </w:tcPr>
          <w:p>
            <w:pPr>
              <w:jc w:val="right"/>
              <w:ind w:right="155"/>
              <w:spacing w:after="0" w:line="134" w:lineRule="exact"/>
              <w:rPr>
                <w:sz w:val="20"/>
                <w:szCs w:val="20"/>
                <w:color w:val="auto"/>
              </w:rPr>
            </w:pPr>
            <w:r>
              <w:rPr>
                <w:rFonts w:ascii="Arial" w:cs="Arial" w:eastAsia="Arial" w:hAnsi="Arial"/>
                <w:sz w:val="13"/>
                <w:szCs w:val="13"/>
                <w:b w:val="1"/>
                <w:bCs w:val="1"/>
                <w:color w:val="auto"/>
              </w:rPr>
              <w:t>7,504</w:t>
            </w:r>
          </w:p>
        </w:tc>
        <w:tc>
          <w:tcPr>
            <w:tcW w:w="7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12,982</w:t>
            </w:r>
          </w:p>
        </w:tc>
        <w:tc>
          <w:tcPr>
            <w:tcW w:w="0" w:type="dxa"/>
            <w:vAlign w:val="bottom"/>
          </w:tcPr>
          <w:p>
            <w:pPr>
              <w:spacing w:after="0"/>
              <w:rPr>
                <w:sz w:val="1"/>
                <w:szCs w:val="1"/>
                <w:color w:val="auto"/>
              </w:rPr>
            </w:pPr>
          </w:p>
        </w:tc>
      </w:tr>
      <w:tr>
        <w:trPr>
          <w:trHeight w:val="20"/>
        </w:trPr>
        <w:tc>
          <w:tcPr>
            <w:tcW w:w="19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is a brief description of each of our banners:</w:t>
      </w:r>
    </w:p>
    <w:p>
      <w:pPr>
        <w:spacing w:after="0" w:line="113" w:lineRule="exact"/>
        <w:rPr>
          <w:sz w:val="20"/>
          <w:szCs w:val="20"/>
          <w:color w:val="auto"/>
        </w:rPr>
      </w:pPr>
    </w:p>
    <w:p>
      <w:pPr>
        <w:jc w:val="both"/>
        <w:ind w:right="39"/>
        <w:spacing w:after="0" w:line="237" w:lineRule="auto"/>
        <w:rPr>
          <w:sz w:val="20"/>
          <w:szCs w:val="20"/>
          <w:color w:val="auto"/>
        </w:rPr>
      </w:pPr>
      <w:r>
        <w:rPr>
          <w:rFonts w:ascii="Arial" w:cs="Arial" w:eastAsia="Arial" w:hAnsi="Arial"/>
          <w:sz w:val="13"/>
          <w:szCs w:val="13"/>
          <w:i w:val="1"/>
          <w:iCs w:val="1"/>
          <w:color w:val="auto"/>
        </w:rPr>
        <w:t xml:space="preserve">Foot Locker — </w:t>
      </w:r>
      <w:r>
        <w:rPr>
          <w:rFonts w:ascii="Arial" w:cs="Arial" w:eastAsia="Arial" w:hAnsi="Arial"/>
          <w:sz w:val="13"/>
          <w:szCs w:val="13"/>
          <w:color w:val="auto"/>
        </w:rPr>
        <w:t>Foot Locker is a leading global youth culture brand that connects the sneaker obsessed consumer with the most innovative and culturally</w:t>
      </w:r>
      <w:r>
        <w:rPr>
          <w:rFonts w:ascii="Arial" w:cs="Arial" w:eastAsia="Arial" w:hAnsi="Arial"/>
          <w:sz w:val="13"/>
          <w:szCs w:val="13"/>
          <w:i w:val="1"/>
          <w:iCs w:val="1"/>
          <w:color w:val="auto"/>
        </w:rPr>
        <w:t xml:space="preserve"> </w:t>
      </w:r>
      <w:r>
        <w:rPr>
          <w:rFonts w:ascii="Arial" w:cs="Arial" w:eastAsia="Arial" w:hAnsi="Arial"/>
          <w:sz w:val="13"/>
          <w:szCs w:val="13"/>
          <w:color w:val="auto"/>
        </w:rPr>
        <w:t>relevant sneakers and apparel. Across all our consumer touchpoints, Foot Locker enables consumers to fulfill their desire to be part of sneaker and youth culture. We curate special product assortments and marketing content that supports our premium position, from leading global brands such as Nike, Jordan, adidas, and Puma, as well as new and emerging brands in the athletic and lifestyle space. We connect emotionally with our consumers through a combination of global brand events and highly targeted and personalized experiences in local markets including our community-based Power Stores, which provide pinnacle retail experiences that deliver connected customer interactions through service, experience, product, and a sense of community. Foot Locker’s 1,686 stores are located in 27 countries including 848 in the United States, Puerto Rico, U.S. Virgin Islands, and Guam, 101 in Canada, 624 in Europe, a combined 93 in Australia and New Zealand, and 20 in Asia. Our domestic stores have an average of 2,800 selling square feet and our international stores have an average of 1,800 selling square feet.</w:t>
      </w:r>
    </w:p>
    <w:p>
      <w:pPr>
        <w:spacing w:after="0" w:line="388" w:lineRule="exact"/>
        <w:rPr>
          <w:sz w:val="20"/>
          <w:szCs w:val="20"/>
          <w:color w:val="auto"/>
        </w:rPr>
      </w:pPr>
    </w:p>
    <w:p>
      <w:pPr>
        <w:ind w:left="7740"/>
        <w:spacing w:after="0"/>
        <w:rPr>
          <w:sz w:val="20"/>
          <w:szCs w:val="20"/>
          <w:color w:val="auto"/>
        </w:rPr>
      </w:pPr>
      <w:r>
        <w:rPr>
          <w:rFonts w:ascii="Arial" w:cs="Arial" w:eastAsia="Arial" w:hAnsi="Arial"/>
          <w:sz w:val="12"/>
          <w:szCs w:val="12"/>
          <w:color w:val="auto"/>
        </w:rPr>
        <w:t>2020 Form 10-K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365125</wp:posOffset>
            </wp:positionV>
            <wp:extent cx="5790565" cy="19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90565" cy="19685"/>
                    </a:xfrm>
                    <a:prstGeom prst="rect">
                      <a:avLst/>
                    </a:prstGeom>
                    <a:noFill/>
                  </pic:spPr>
                </pic:pic>
              </a:graphicData>
            </a:graphic>
          </wp:anchor>
        </w:drawing>
      </w:r>
    </w:p>
    <w:p>
      <w:pPr>
        <w:sectPr>
          <w:pgSz w:w="11900" w:h="16838" w:orient="portrait"/>
          <w:cols w:equalWidth="0" w:num="1">
            <w:col w:w="9159"/>
          </w:cols>
          <w:pgMar w:left="1300" w:top="662" w:right="1440" w:bottom="1440" w:gutter="0" w:footer="0" w:header="0"/>
        </w:sectPr>
      </w:pPr>
    </w:p>
    <w:bookmarkStart w:id="4" w:name="page5"/>
    <w:bookmarkEnd w:id="4"/>
    <w:p>
      <w:pPr>
        <w:jc w:val="both"/>
        <w:ind w:right="39"/>
        <w:spacing w:after="0" w:line="241" w:lineRule="auto"/>
        <w:rPr>
          <w:sz w:val="20"/>
          <w:szCs w:val="20"/>
          <w:color w:val="auto"/>
        </w:rPr>
      </w:pPr>
      <w:r>
        <w:rPr>
          <w:rFonts w:ascii="Arial" w:cs="Arial" w:eastAsia="Arial" w:hAnsi="Arial"/>
          <w:sz w:val="13"/>
          <w:szCs w:val="13"/>
          <w:i w:val="1"/>
          <w:iCs w:val="1"/>
          <w:color w:val="auto"/>
        </w:rPr>
        <w:t xml:space="preserve">Kids Foot Locker — </w:t>
      </w:r>
      <w:r>
        <w:rPr>
          <w:rFonts w:ascii="Arial" w:cs="Arial" w:eastAsia="Arial" w:hAnsi="Arial"/>
          <w:sz w:val="13"/>
          <w:szCs w:val="13"/>
          <w:color w:val="auto"/>
        </w:rPr>
        <w:t>Kids Foot Locker offers the largest selection of premium brand-name athletic footwear, apparel, and accessories for children. Kids Foot</w:t>
      </w:r>
      <w:r>
        <w:rPr>
          <w:rFonts w:ascii="Arial" w:cs="Arial" w:eastAsia="Arial" w:hAnsi="Arial"/>
          <w:sz w:val="13"/>
          <w:szCs w:val="13"/>
          <w:i w:val="1"/>
          <w:iCs w:val="1"/>
          <w:color w:val="auto"/>
        </w:rPr>
        <w:t xml:space="preserve"> </w:t>
      </w:r>
      <w:r>
        <w:rPr>
          <w:rFonts w:ascii="Arial" w:cs="Arial" w:eastAsia="Arial" w:hAnsi="Arial"/>
          <w:sz w:val="13"/>
          <w:szCs w:val="13"/>
          <w:color w:val="auto"/>
        </w:rPr>
        <w:t>Locker enables youth of all ages to participate in sneaker culture and helps their parents shop in a curated environment with only the best assortment in stores and online. Of our 422 stores, 373 are located in the United States, and Puerto Rico, 31 in Europe, 16 in Canada, 1 in Australia, and 1 in New Zealand. These stores have an average of 1,700 selling square feet.</w:t>
      </w:r>
    </w:p>
    <w:p>
      <w:pPr>
        <w:spacing w:after="0" w:line="56" w:lineRule="exact"/>
        <w:rPr>
          <w:sz w:val="20"/>
          <w:szCs w:val="20"/>
          <w:color w:val="auto"/>
        </w:rPr>
      </w:pPr>
    </w:p>
    <w:p>
      <w:pPr>
        <w:jc w:val="both"/>
        <w:ind w:right="39"/>
        <w:spacing w:after="0" w:line="246" w:lineRule="auto"/>
        <w:rPr>
          <w:sz w:val="20"/>
          <w:szCs w:val="20"/>
          <w:color w:val="auto"/>
        </w:rPr>
      </w:pPr>
      <w:r>
        <w:rPr>
          <w:rFonts w:ascii="Arial" w:cs="Arial" w:eastAsia="Arial" w:hAnsi="Arial"/>
          <w:sz w:val="13"/>
          <w:szCs w:val="13"/>
          <w:i w:val="1"/>
          <w:iCs w:val="1"/>
          <w:color w:val="auto"/>
        </w:rPr>
        <w:t xml:space="preserve">Lady Foot Locker — </w:t>
      </w:r>
      <w:r>
        <w:rPr>
          <w:rFonts w:ascii="Arial" w:cs="Arial" w:eastAsia="Arial" w:hAnsi="Arial"/>
          <w:sz w:val="13"/>
          <w:szCs w:val="13"/>
          <w:color w:val="auto"/>
        </w:rPr>
        <w:t>Lady Foot Locker is a U.S. retailer of athletic footwear, apparel, and accessories dedicated to sneaker-obsessed young women. Our</w:t>
      </w:r>
      <w:r>
        <w:rPr>
          <w:rFonts w:ascii="Arial" w:cs="Arial" w:eastAsia="Arial" w:hAnsi="Arial"/>
          <w:sz w:val="13"/>
          <w:szCs w:val="13"/>
          <w:i w:val="1"/>
          <w:iCs w:val="1"/>
          <w:color w:val="auto"/>
        </w:rPr>
        <w:t xml:space="preserve"> </w:t>
      </w:r>
      <w:r>
        <w:rPr>
          <w:rFonts w:ascii="Arial" w:cs="Arial" w:eastAsia="Arial" w:hAnsi="Arial"/>
          <w:sz w:val="13"/>
          <w:szCs w:val="13"/>
          <w:color w:val="auto"/>
        </w:rPr>
        <w:t>stores provide premium sneakers and apparel, carefully selected to reflect the latest styles. Lady Foot Locker operates 35 stores that are located in the United States and Puerto Rico. These stores have an average of 1,500 selling square feet.</w:t>
      </w:r>
    </w:p>
    <w:p>
      <w:pPr>
        <w:spacing w:after="0" w:line="53" w:lineRule="exact"/>
        <w:rPr>
          <w:sz w:val="20"/>
          <w:szCs w:val="20"/>
          <w:color w:val="auto"/>
        </w:rPr>
      </w:pPr>
    </w:p>
    <w:p>
      <w:pPr>
        <w:jc w:val="both"/>
        <w:ind w:right="39"/>
        <w:spacing w:after="0" w:line="238" w:lineRule="auto"/>
        <w:rPr>
          <w:sz w:val="20"/>
          <w:szCs w:val="20"/>
          <w:color w:val="auto"/>
        </w:rPr>
      </w:pPr>
      <w:r>
        <w:rPr>
          <w:rFonts w:ascii="Arial" w:cs="Arial" w:eastAsia="Arial" w:hAnsi="Arial"/>
          <w:sz w:val="13"/>
          <w:szCs w:val="13"/>
          <w:i w:val="1"/>
          <w:iCs w:val="1"/>
          <w:color w:val="auto"/>
        </w:rPr>
        <w:t xml:space="preserve">Champs Sports — </w:t>
      </w:r>
      <w:r>
        <w:rPr>
          <w:rFonts w:ascii="Arial" w:cs="Arial" w:eastAsia="Arial" w:hAnsi="Arial"/>
          <w:sz w:val="13"/>
          <w:szCs w:val="13"/>
          <w:color w:val="auto"/>
        </w:rPr>
        <w:t>Champs Sports is one of the largest mall-based specialty athletic footwear and apparel retailers in North America. With a focus on the</w:t>
      </w:r>
      <w:r>
        <w:rPr>
          <w:rFonts w:ascii="Arial" w:cs="Arial" w:eastAsia="Arial" w:hAnsi="Arial"/>
          <w:sz w:val="13"/>
          <w:szCs w:val="13"/>
          <w:i w:val="1"/>
          <w:iCs w:val="1"/>
          <w:color w:val="auto"/>
        </w:rPr>
        <w:t xml:space="preserve"> </w:t>
      </w:r>
      <w:r>
        <w:rPr>
          <w:rFonts w:ascii="Arial" w:cs="Arial" w:eastAsia="Arial" w:hAnsi="Arial"/>
          <w:sz w:val="13"/>
          <w:szCs w:val="13"/>
          <w:color w:val="auto"/>
        </w:rPr>
        <w:t>lifestyle expression of sport, Champs Sports’ product categories include athletic footwear and apparel, and sport-lifestyle inspired accessories. This assortment allows Champs Sports to offer the best head-to-toe fashion stories representing the most powerful athletic brands, sports teams, and athletes in North America. Of our 539 stores, 506 are located in the United States, Puerto Rico, and the U.S. Virgin Islands and 33 in Canada. The Champs Sports stores have an average of 3,600 selling square feet.</w:t>
      </w:r>
    </w:p>
    <w:p>
      <w:pPr>
        <w:spacing w:after="0" w:line="59" w:lineRule="exact"/>
        <w:rPr>
          <w:sz w:val="20"/>
          <w:szCs w:val="20"/>
          <w:color w:val="auto"/>
        </w:rPr>
      </w:pPr>
    </w:p>
    <w:p>
      <w:pPr>
        <w:jc w:val="both"/>
        <w:ind w:right="39"/>
        <w:spacing w:after="0" w:line="246" w:lineRule="auto"/>
        <w:rPr>
          <w:sz w:val="20"/>
          <w:szCs w:val="20"/>
          <w:color w:val="auto"/>
        </w:rPr>
      </w:pPr>
      <w:r>
        <w:rPr>
          <w:rFonts w:ascii="Arial" w:cs="Arial" w:eastAsia="Arial" w:hAnsi="Arial"/>
          <w:sz w:val="13"/>
          <w:szCs w:val="13"/>
          <w:i w:val="1"/>
          <w:iCs w:val="1"/>
          <w:color w:val="auto"/>
        </w:rPr>
        <w:t xml:space="preserve">Footaction — </w:t>
      </w:r>
      <w:r>
        <w:rPr>
          <w:rFonts w:ascii="Arial" w:cs="Arial" w:eastAsia="Arial" w:hAnsi="Arial"/>
          <w:sz w:val="13"/>
          <w:szCs w:val="13"/>
          <w:color w:val="auto"/>
        </w:rPr>
        <w:t>Footaction is a North American athletic footwear and apparel retailer that offers the freshest, best edited selection of athletic lifestyle brands and</w:t>
      </w:r>
      <w:r>
        <w:rPr>
          <w:rFonts w:ascii="Arial" w:cs="Arial" w:eastAsia="Arial" w:hAnsi="Arial"/>
          <w:sz w:val="13"/>
          <w:szCs w:val="13"/>
          <w:i w:val="1"/>
          <w:iCs w:val="1"/>
          <w:color w:val="auto"/>
        </w:rPr>
        <w:t xml:space="preserve"> </w:t>
      </w:r>
      <w:r>
        <w:rPr>
          <w:rFonts w:ascii="Arial" w:cs="Arial" w:eastAsia="Arial" w:hAnsi="Arial"/>
          <w:sz w:val="13"/>
          <w:szCs w:val="13"/>
          <w:color w:val="auto"/>
        </w:rPr>
        <w:t>looks. This banner is uniquely positioned at the intersection of sport and style, with a focus on authentic, premium product. Of our 240 stores, 235 are located in the United States and Puerto Rico and 5 are in Canada. The Footaction stores have an average of 3,200 selling square feet.</w:t>
      </w:r>
    </w:p>
    <w:p>
      <w:pPr>
        <w:spacing w:after="0" w:line="5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Runners Point — </w:t>
      </w:r>
      <w:r>
        <w:rPr>
          <w:rFonts w:ascii="Arial" w:cs="Arial" w:eastAsia="Arial" w:hAnsi="Arial"/>
          <w:sz w:val="13"/>
          <w:szCs w:val="13"/>
          <w:color w:val="auto"/>
        </w:rPr>
        <w:t>We closed our Runners Point banner during 2020.</w:t>
      </w:r>
    </w:p>
    <w:p>
      <w:pPr>
        <w:spacing w:after="0" w:line="76" w:lineRule="exact"/>
        <w:rPr>
          <w:sz w:val="20"/>
          <w:szCs w:val="20"/>
          <w:color w:val="auto"/>
        </w:rPr>
      </w:pPr>
    </w:p>
    <w:p>
      <w:pPr>
        <w:jc w:val="both"/>
        <w:ind w:right="39"/>
        <w:spacing w:after="0" w:line="262" w:lineRule="auto"/>
        <w:rPr>
          <w:sz w:val="20"/>
          <w:szCs w:val="20"/>
          <w:color w:val="auto"/>
        </w:rPr>
      </w:pPr>
      <w:r>
        <w:rPr>
          <w:rFonts w:ascii="Arial" w:cs="Arial" w:eastAsia="Arial" w:hAnsi="Arial"/>
          <w:sz w:val="13"/>
          <w:szCs w:val="13"/>
          <w:i w:val="1"/>
          <w:iCs w:val="1"/>
          <w:color w:val="auto"/>
        </w:rPr>
        <w:t xml:space="preserve">Sidestep — </w:t>
      </w:r>
      <w:r>
        <w:rPr>
          <w:rFonts w:ascii="Arial" w:cs="Arial" w:eastAsia="Arial" w:hAnsi="Arial"/>
          <w:sz w:val="13"/>
          <w:szCs w:val="13"/>
          <w:color w:val="auto"/>
        </w:rPr>
        <w:t>Sidestep is a predominantly athletic fashion footwear banner. Our 76 stores are located in Germany, Netherlands, and Switzerland. Sidestep</w:t>
      </w:r>
      <w:r>
        <w:rPr>
          <w:rFonts w:ascii="Arial" w:cs="Arial" w:eastAsia="Arial" w:hAnsi="Arial"/>
          <w:sz w:val="13"/>
          <w:szCs w:val="13"/>
          <w:i w:val="1"/>
          <w:iCs w:val="1"/>
          <w:color w:val="auto"/>
        </w:rPr>
        <w:t xml:space="preserve"> </w:t>
      </w:r>
      <w:r>
        <w:rPr>
          <w:rFonts w:ascii="Arial" w:cs="Arial" w:eastAsia="Arial" w:hAnsi="Arial"/>
          <w:sz w:val="13"/>
          <w:szCs w:val="13"/>
          <w:color w:val="auto"/>
        </w:rPr>
        <w:t>caters to a more discerning, fashion forward consumer. Sidestep stores have an average of 1,200 selling square feet.</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Eastbay</w:t>
      </w:r>
    </w:p>
    <w:p>
      <w:pPr>
        <w:spacing w:after="0" w:line="90" w:lineRule="exact"/>
        <w:rPr>
          <w:sz w:val="20"/>
          <w:szCs w:val="20"/>
          <w:color w:val="auto"/>
        </w:rPr>
      </w:pPr>
    </w:p>
    <w:p>
      <w:pPr>
        <w:jc w:val="both"/>
        <w:ind w:right="39"/>
        <w:spacing w:after="0" w:line="235" w:lineRule="auto"/>
        <w:rPr>
          <w:sz w:val="20"/>
          <w:szCs w:val="20"/>
          <w:color w:val="auto"/>
        </w:rPr>
      </w:pPr>
      <w:r>
        <w:rPr>
          <w:rFonts w:ascii="Arial" w:cs="Arial" w:eastAsia="Arial" w:hAnsi="Arial"/>
          <w:sz w:val="13"/>
          <w:szCs w:val="13"/>
          <w:color w:val="auto"/>
        </w:rPr>
        <w:t>Eastbay is a sporting goods direct marketer operating in the United States, providing high school and other athletes with a complete sports solution including athletic footwear, apparel, equipment, and team licensed merchandise for a broad range of sports. With over 100 sales professionals, Eastbay Team Sales connects directly with thousands of high school coaches and athletic directors in the United States in offering the best performance product and a premium service level.</w:t>
      </w:r>
    </w:p>
    <w:p>
      <w:pPr>
        <w:spacing w:after="0" w:line="98"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Franchise Operations</w:t>
      </w:r>
    </w:p>
    <w:p>
      <w:pPr>
        <w:spacing w:after="0" w:line="141" w:lineRule="exact"/>
        <w:rPr>
          <w:sz w:val="20"/>
          <w:szCs w:val="20"/>
          <w:color w:val="auto"/>
        </w:rPr>
      </w:pPr>
    </w:p>
    <w:p>
      <w:pPr>
        <w:jc w:val="both"/>
        <w:ind w:right="39"/>
        <w:spacing w:after="0"/>
        <w:rPr>
          <w:sz w:val="20"/>
          <w:szCs w:val="20"/>
          <w:color w:val="auto"/>
        </w:rPr>
      </w:pPr>
      <w:r>
        <w:rPr>
          <w:rFonts w:ascii="Arial" w:cs="Arial" w:eastAsia="Arial" w:hAnsi="Arial"/>
          <w:sz w:val="13"/>
          <w:szCs w:val="13"/>
          <w:color w:val="auto"/>
        </w:rPr>
        <w:t>We have a total of 127 franchised Foot Locker stores located within the Middle East as of January 30, 2021, of which 58 are in Israel. These amounts are not included in the store counts in the table on the prior page.</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Competition</w:t>
      </w:r>
    </w:p>
    <w:p>
      <w:pPr>
        <w:spacing w:after="0" w:line="133" w:lineRule="exact"/>
        <w:rPr>
          <w:sz w:val="20"/>
          <w:szCs w:val="20"/>
          <w:color w:val="auto"/>
        </w:rPr>
      </w:pPr>
    </w:p>
    <w:p>
      <w:pPr>
        <w:jc w:val="both"/>
        <w:ind w:right="39"/>
        <w:spacing w:after="0"/>
        <w:rPr>
          <w:sz w:val="20"/>
          <w:szCs w:val="20"/>
          <w:color w:val="auto"/>
        </w:rPr>
      </w:pPr>
      <w:r>
        <w:rPr>
          <w:rFonts w:ascii="Arial" w:cs="Arial" w:eastAsia="Arial" w:hAnsi="Arial"/>
          <w:sz w:val="13"/>
          <w:szCs w:val="13"/>
          <w:color w:val="auto"/>
        </w:rPr>
        <w:t>The athletic footwear and apparel industry is highly competitive. We compete primarily with athletic footwear specialty stores, sporting goods stores, department stores, traditional shoe stores, mass merchandisers, and online retailers, some of which are our suppliers.</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Merchandise Purchases</w:t>
      </w:r>
    </w:p>
    <w:p>
      <w:pPr>
        <w:spacing w:after="0" w:line="143" w:lineRule="exact"/>
        <w:rPr>
          <w:sz w:val="20"/>
          <w:szCs w:val="20"/>
          <w:color w:val="auto"/>
        </w:rPr>
      </w:pPr>
    </w:p>
    <w:p>
      <w:pPr>
        <w:jc w:val="both"/>
        <w:ind w:right="39"/>
        <w:spacing w:after="0" w:line="236" w:lineRule="auto"/>
        <w:rPr>
          <w:sz w:val="20"/>
          <w:szCs w:val="20"/>
          <w:color w:val="auto"/>
        </w:rPr>
      </w:pPr>
      <w:r>
        <w:rPr>
          <w:rFonts w:ascii="Arial" w:cs="Arial" w:eastAsia="Arial" w:hAnsi="Arial"/>
          <w:sz w:val="13"/>
          <w:szCs w:val="13"/>
          <w:color w:val="auto"/>
        </w:rPr>
        <w:t xml:space="preserve">Financial information concerning merchandise purchases is contained under the “Liquidity” section in “Item 7. Management’s Discussion and Analysis of Financial Condition and Results of Operations” and under the “Business Risk” section in the </w:t>
      </w:r>
      <w:r>
        <w:rPr>
          <w:rFonts w:ascii="Arial" w:cs="Arial" w:eastAsia="Arial" w:hAnsi="Arial"/>
          <w:sz w:val="13"/>
          <w:szCs w:val="13"/>
          <w:i w:val="1"/>
          <w:iCs w:val="1"/>
          <w:color w:val="auto"/>
        </w:rPr>
        <w:t>Financial Instruments and Risk Management</w:t>
      </w:r>
      <w:r>
        <w:rPr>
          <w:rFonts w:ascii="Arial" w:cs="Arial" w:eastAsia="Arial" w:hAnsi="Arial"/>
          <w:sz w:val="13"/>
          <w:szCs w:val="13"/>
          <w:color w:val="auto"/>
        </w:rPr>
        <w:t xml:space="preserve"> note in “Item 8. Consolidated Financial Statements and Supplementary Data.”</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Human Capital</w:t>
      </w:r>
    </w:p>
    <w:p>
      <w:pPr>
        <w:spacing w:after="0" w:line="143" w:lineRule="exact"/>
        <w:rPr>
          <w:sz w:val="20"/>
          <w:szCs w:val="20"/>
          <w:color w:val="auto"/>
        </w:rPr>
      </w:pPr>
    </w:p>
    <w:p>
      <w:pPr>
        <w:jc w:val="both"/>
        <w:ind w:right="39"/>
        <w:spacing w:after="0" w:line="235" w:lineRule="auto"/>
        <w:rPr>
          <w:sz w:val="20"/>
          <w:szCs w:val="20"/>
          <w:color w:val="auto"/>
        </w:rPr>
      </w:pPr>
      <w:r>
        <w:rPr>
          <w:rFonts w:ascii="Arial" w:cs="Arial" w:eastAsia="Arial" w:hAnsi="Arial"/>
          <w:sz w:val="13"/>
          <w:szCs w:val="13"/>
          <w:color w:val="auto"/>
        </w:rPr>
        <w:t xml:space="preserve">Our purpose is to inspire and empower youth culture around the world, by fueling a shared passion for self-expression and creating unrivaled experiences at the heart of the global sneaker community. We believe the strength of our workforce is a significant contributor to our success as a global brand that leads with purpose. We seek to be a great place to work by cultivating and celebrating a culture that promotes diversity, inclusion, and belonging. Our </w:t>
      </w:r>
      <w:r>
        <w:rPr>
          <w:rFonts w:ascii="Arial" w:cs="Arial" w:eastAsia="Arial" w:hAnsi="Arial"/>
          <w:sz w:val="13"/>
          <w:szCs w:val="13"/>
          <w:i w:val="1"/>
          <w:iCs w:val="1"/>
          <w:color w:val="auto"/>
        </w:rPr>
        <w:t>“Live Well. Work</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Well.” </w:t>
      </w:r>
      <w:r>
        <w:rPr>
          <w:rFonts w:ascii="Arial" w:cs="Arial" w:eastAsia="Arial" w:hAnsi="Arial"/>
          <w:sz w:val="13"/>
          <w:szCs w:val="13"/>
          <w:color w:val="auto"/>
        </w:rPr>
        <w:t>framework enables us to provide support and resources for a variety of needs to help our team members reach their fullest potential.</w:t>
      </w:r>
    </w:p>
    <w:p>
      <w:pPr>
        <w:spacing w:after="0" w:line="122" w:lineRule="exact"/>
        <w:rPr>
          <w:sz w:val="20"/>
          <w:szCs w:val="20"/>
          <w:color w:val="auto"/>
        </w:rPr>
      </w:pPr>
    </w:p>
    <w:p>
      <w:pPr>
        <w:ind w:left="7740"/>
        <w:spacing w:after="0"/>
        <w:rPr>
          <w:sz w:val="20"/>
          <w:szCs w:val="20"/>
          <w:color w:val="auto"/>
        </w:rPr>
      </w:pPr>
      <w:r>
        <w:rPr>
          <w:rFonts w:ascii="Arial" w:cs="Arial" w:eastAsia="Arial" w:hAnsi="Arial"/>
          <w:sz w:val="12"/>
          <w:szCs w:val="12"/>
          <w:color w:val="auto"/>
        </w:rPr>
        <w:t>2020 Form 10-K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365125</wp:posOffset>
            </wp:positionV>
            <wp:extent cx="5790565" cy="13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90565" cy="13335"/>
                    </a:xfrm>
                    <a:prstGeom prst="rect">
                      <a:avLst/>
                    </a:prstGeom>
                    <a:noFill/>
                  </pic:spPr>
                </pic:pic>
              </a:graphicData>
            </a:graphic>
          </wp:anchor>
        </w:drawing>
      </w:r>
    </w:p>
    <w:p>
      <w:pPr>
        <w:sectPr>
          <w:pgSz w:w="11900" w:h="16838" w:orient="portrait"/>
          <w:cols w:equalWidth="0" w:num="1">
            <w:col w:w="9159"/>
          </w:cols>
          <w:pgMar w:left="1300" w:top="664" w:right="1440" w:bottom="1440" w:gutter="0" w:footer="0" w:header="0"/>
        </w:sectPr>
      </w:pPr>
    </w:p>
    <w:bookmarkStart w:id="5" w:name="page6"/>
    <w:bookmarkEnd w:id="5"/>
    <w:p>
      <w:pPr>
        <w:jc w:val="both"/>
        <w:ind w:right="39"/>
        <w:spacing w:after="0" w:line="237" w:lineRule="auto"/>
        <w:rPr>
          <w:sz w:val="20"/>
          <w:szCs w:val="20"/>
          <w:color w:val="auto"/>
        </w:rPr>
      </w:pPr>
      <w:r>
        <w:rPr>
          <w:rFonts w:ascii="Arial" w:cs="Arial" w:eastAsia="Arial" w:hAnsi="Arial"/>
          <w:sz w:val="13"/>
          <w:szCs w:val="13"/>
          <w:color w:val="auto"/>
        </w:rPr>
        <w:t>Our People Strategy includes actions around “Uniting our Communities of Talent” around the world to achieve focus and drive results as a more agile and dynamic organization. By creating a Diversity, Inclusion, and Belonging Strategy (DIBs) as part of our people processes, we are able to attract, select, hire, grow, develop, promote, and retain valued team members with diverse backgrounds, perspectives, and experiences. We are relentless in creating a work environment that celebrates the differences that make us even stronger. We provide career growth and professional development through formal learning and on-the-job experiences to advance our team members capability, confidence, and contribution.</w:t>
      </w:r>
    </w:p>
    <w:p>
      <w:pPr>
        <w:spacing w:after="0" w:line="113" w:lineRule="exact"/>
        <w:rPr>
          <w:sz w:val="20"/>
          <w:szCs w:val="20"/>
          <w:color w:val="auto"/>
        </w:rPr>
      </w:pPr>
    </w:p>
    <w:p>
      <w:pPr>
        <w:jc w:val="both"/>
        <w:ind w:right="39"/>
        <w:spacing w:after="0" w:line="235" w:lineRule="auto"/>
        <w:rPr>
          <w:sz w:val="20"/>
          <w:szCs w:val="20"/>
          <w:color w:val="auto"/>
        </w:rPr>
      </w:pPr>
      <w:r>
        <w:rPr>
          <w:rFonts w:ascii="Arial" w:cs="Arial" w:eastAsia="Arial" w:hAnsi="Arial"/>
          <w:sz w:val="13"/>
          <w:szCs w:val="13"/>
          <w:color w:val="auto"/>
        </w:rPr>
        <w:t>We offer competitive compensation (including salary, incentive bonus, and equity) and benefits packages in each of our locations around the globe. Our compensation program is designed to attract and reward talented individuals who possess the skills necessary to lead and support our business objectives, ensure the achievement of our strategic goals, and create long-term value for our shareholders. To support our team members, we provide competitive compensation and benefits, including:</w:t>
      </w:r>
    </w:p>
    <w:p>
      <w:pPr>
        <w:spacing w:after="0" w:line="71" w:lineRule="exact"/>
        <w:rPr>
          <w:sz w:val="20"/>
          <w:szCs w:val="20"/>
          <w:color w:val="auto"/>
        </w:rPr>
      </w:pPr>
    </w:p>
    <w:p>
      <w:pPr>
        <w:ind w:left="520" w:hanging="256"/>
        <w:spacing w:after="0"/>
        <w:tabs>
          <w:tab w:leader="none" w:pos="520" w:val="left"/>
        </w:tabs>
        <w:numPr>
          <w:ilvl w:val="0"/>
          <w:numId w:val="4"/>
        </w:numPr>
        <w:rPr>
          <w:rFonts w:ascii="Arial" w:cs="Arial" w:eastAsia="Arial" w:hAnsi="Arial"/>
          <w:sz w:val="13"/>
          <w:szCs w:val="13"/>
          <w:color w:val="auto"/>
        </w:rPr>
      </w:pPr>
      <w:r>
        <w:rPr>
          <w:rFonts w:ascii="Arial" w:cs="Arial" w:eastAsia="Arial" w:hAnsi="Arial"/>
          <w:sz w:val="13"/>
          <w:szCs w:val="13"/>
          <w:color w:val="auto"/>
        </w:rPr>
        <w:t>Health and wellness benefits (medical, dental, vision, and behavioral health coverage)</w:t>
      </w:r>
    </w:p>
    <w:p>
      <w:pPr>
        <w:spacing w:after="0" w:line="4" w:lineRule="exact"/>
        <w:rPr>
          <w:rFonts w:ascii="Arial" w:cs="Arial" w:eastAsia="Arial" w:hAnsi="Arial"/>
          <w:sz w:val="13"/>
          <w:szCs w:val="13"/>
          <w:color w:val="auto"/>
        </w:rPr>
      </w:pPr>
    </w:p>
    <w:p>
      <w:pPr>
        <w:ind w:left="520" w:right="59" w:hanging="256"/>
        <w:spacing w:after="0" w:line="230" w:lineRule="auto"/>
        <w:tabs>
          <w:tab w:leader="none" w:pos="520" w:val="left"/>
        </w:tabs>
        <w:numPr>
          <w:ilvl w:val="0"/>
          <w:numId w:val="4"/>
        </w:numPr>
        <w:rPr>
          <w:rFonts w:ascii="Arial" w:cs="Arial" w:eastAsia="Arial" w:hAnsi="Arial"/>
          <w:sz w:val="13"/>
          <w:szCs w:val="13"/>
          <w:color w:val="auto"/>
        </w:rPr>
      </w:pPr>
      <w:r>
        <w:rPr>
          <w:rFonts w:ascii="Arial" w:cs="Arial" w:eastAsia="Arial" w:hAnsi="Arial"/>
          <w:sz w:val="13"/>
          <w:szCs w:val="13"/>
          <w:color w:val="auto"/>
        </w:rPr>
        <w:t>Financial benefits (401(k) Plan with Company matching contribution, life and disability coverage, Employee Stock Purchase Plan at a 15 percent discount, and commuter benefits)</w:t>
      </w:r>
    </w:p>
    <w:p>
      <w:pPr>
        <w:ind w:left="520" w:hanging="256"/>
        <w:spacing w:after="0"/>
        <w:tabs>
          <w:tab w:leader="none" w:pos="520" w:val="left"/>
        </w:tabs>
        <w:numPr>
          <w:ilvl w:val="0"/>
          <w:numId w:val="4"/>
        </w:numPr>
        <w:rPr>
          <w:rFonts w:ascii="Arial" w:cs="Arial" w:eastAsia="Arial" w:hAnsi="Arial"/>
          <w:sz w:val="13"/>
          <w:szCs w:val="13"/>
          <w:color w:val="auto"/>
        </w:rPr>
      </w:pPr>
      <w:r>
        <w:rPr>
          <w:rFonts w:ascii="Arial" w:cs="Arial" w:eastAsia="Arial" w:hAnsi="Arial"/>
          <w:sz w:val="13"/>
          <w:szCs w:val="13"/>
          <w:color w:val="auto"/>
        </w:rPr>
        <w:t>Work-life balance and lifestyle benefits (such as paid time off for full-time team members and Employee Discount Program for all team members)</w:t>
      </w:r>
    </w:p>
    <w:p>
      <w:pPr>
        <w:spacing w:after="0" w:line="4" w:lineRule="exact"/>
        <w:rPr>
          <w:rFonts w:ascii="Arial" w:cs="Arial" w:eastAsia="Arial" w:hAnsi="Arial"/>
          <w:sz w:val="13"/>
          <w:szCs w:val="13"/>
          <w:color w:val="auto"/>
        </w:rPr>
      </w:pPr>
    </w:p>
    <w:p>
      <w:pPr>
        <w:ind w:left="520" w:hanging="256"/>
        <w:spacing w:after="0"/>
        <w:tabs>
          <w:tab w:leader="none" w:pos="520" w:val="left"/>
        </w:tabs>
        <w:numPr>
          <w:ilvl w:val="0"/>
          <w:numId w:val="4"/>
        </w:numPr>
        <w:rPr>
          <w:rFonts w:ascii="Arial" w:cs="Arial" w:eastAsia="Arial" w:hAnsi="Arial"/>
          <w:sz w:val="13"/>
          <w:szCs w:val="13"/>
          <w:color w:val="auto"/>
        </w:rPr>
      </w:pPr>
      <w:r>
        <w:rPr>
          <w:rFonts w:ascii="Arial" w:cs="Arial" w:eastAsia="Arial" w:hAnsi="Arial"/>
          <w:sz w:val="13"/>
          <w:szCs w:val="13"/>
          <w:color w:val="auto"/>
        </w:rPr>
        <w:t>Tuition reimbursement in the United States and EMEA only</w:t>
      </w:r>
    </w:p>
    <w:p>
      <w:pPr>
        <w:spacing w:after="0" w:line="4" w:lineRule="exact"/>
        <w:rPr>
          <w:rFonts w:ascii="Arial" w:cs="Arial" w:eastAsia="Arial" w:hAnsi="Arial"/>
          <w:sz w:val="13"/>
          <w:szCs w:val="13"/>
          <w:color w:val="auto"/>
        </w:rPr>
      </w:pPr>
    </w:p>
    <w:p>
      <w:pPr>
        <w:ind w:left="520" w:right="39" w:hanging="256"/>
        <w:spacing w:after="0"/>
        <w:tabs>
          <w:tab w:leader="none" w:pos="520" w:val="left"/>
        </w:tabs>
        <w:numPr>
          <w:ilvl w:val="0"/>
          <w:numId w:val="4"/>
        </w:numPr>
        <w:rPr>
          <w:rFonts w:ascii="Arial" w:cs="Arial" w:eastAsia="Arial" w:hAnsi="Arial"/>
          <w:sz w:val="13"/>
          <w:szCs w:val="13"/>
          <w:color w:val="auto"/>
        </w:rPr>
      </w:pPr>
      <w:r>
        <w:rPr>
          <w:rFonts w:ascii="Arial" w:cs="Arial" w:eastAsia="Arial" w:hAnsi="Arial"/>
          <w:sz w:val="13"/>
          <w:szCs w:val="13"/>
          <w:color w:val="auto"/>
        </w:rPr>
        <w:t>Outside the United States, we may offer supplemental Health and Wellness benefits, as well as Retirement benefits, based on local competitive practices.</w:t>
      </w:r>
    </w:p>
    <w:p>
      <w:pPr>
        <w:spacing w:after="0" w:line="132" w:lineRule="exact"/>
        <w:rPr>
          <w:sz w:val="20"/>
          <w:szCs w:val="20"/>
          <w:color w:val="auto"/>
        </w:rPr>
      </w:pPr>
    </w:p>
    <w:p>
      <w:pPr>
        <w:jc w:val="both"/>
        <w:ind w:right="39"/>
        <w:spacing w:after="0" w:line="235" w:lineRule="auto"/>
        <w:rPr>
          <w:sz w:val="20"/>
          <w:szCs w:val="20"/>
          <w:color w:val="auto"/>
        </w:rPr>
      </w:pPr>
      <w:r>
        <w:rPr>
          <w:rFonts w:ascii="Arial" w:cs="Arial" w:eastAsia="Arial" w:hAnsi="Arial"/>
          <w:sz w:val="13"/>
          <w:szCs w:val="13"/>
          <w:color w:val="auto"/>
        </w:rPr>
        <w:t>Through our listening session communication strategy, we are committed to listening to and learning from our team members. For many years, we have tracked engagement and leadership effectiveness through our engagement surveys. We have improved our overall engagement, with 80 percent overall favorable rating and 85 percent response rate in 2020. We use insights from these surveys to assess our culture, evaluate our leaders, adjust our plans, and evolve our culture.</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color w:val="auto"/>
        </w:rPr>
        <w:t>We had 15,791 full-time and 35,461 part-time employees as of January 30, 2021 and we consider employee relations to be satisfactory.</w:t>
      </w:r>
    </w:p>
    <w:p>
      <w:pPr>
        <w:spacing w:after="0" w:line="127" w:lineRule="exact"/>
        <w:rPr>
          <w:sz w:val="20"/>
          <w:szCs w:val="20"/>
          <w:color w:val="auto"/>
        </w:rPr>
      </w:pPr>
    </w:p>
    <w:p>
      <w:pPr>
        <w:jc w:val="both"/>
        <w:ind w:right="39"/>
        <w:spacing w:after="0" w:line="236" w:lineRule="auto"/>
        <w:rPr>
          <w:sz w:val="20"/>
          <w:szCs w:val="20"/>
          <w:color w:val="auto"/>
        </w:rPr>
      </w:pPr>
      <w:r>
        <w:rPr>
          <w:rFonts w:ascii="Arial" w:cs="Arial" w:eastAsia="Arial" w:hAnsi="Arial"/>
          <w:sz w:val="13"/>
          <w:szCs w:val="13"/>
          <w:color w:val="auto"/>
        </w:rPr>
        <w:t>We are committed to engaging in corporate social responsibility and sustainability initiatives that support our communities and help us develop trusted relationships with our stakeholders. Our Corporate Social Responsibility disclosure is available to investors on the investor relations tab of our corporate website under the heading “Responsibility.”</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Available Information</w:t>
      </w:r>
    </w:p>
    <w:p>
      <w:pPr>
        <w:spacing w:after="0" w:line="129" w:lineRule="exact"/>
        <w:rPr>
          <w:sz w:val="20"/>
          <w:szCs w:val="20"/>
          <w:color w:val="auto"/>
        </w:rPr>
      </w:pPr>
    </w:p>
    <w:p>
      <w:pPr>
        <w:jc w:val="both"/>
        <w:ind w:right="39"/>
        <w:spacing w:after="0" w:line="237" w:lineRule="auto"/>
        <w:rPr>
          <w:sz w:val="20"/>
          <w:szCs w:val="20"/>
          <w:color w:val="auto"/>
        </w:rPr>
      </w:pPr>
      <w:r>
        <w:rPr>
          <w:rFonts w:ascii="Arial" w:cs="Arial" w:eastAsia="Arial" w:hAnsi="Arial"/>
          <w:sz w:val="13"/>
          <w:szCs w:val="13"/>
          <w:color w:val="auto"/>
        </w:rPr>
        <w:t xml:space="preserve">We maintain a corporate website at </w:t>
      </w:r>
      <w:r>
        <w:rPr>
          <w:rFonts w:ascii="Arial" w:cs="Arial" w:eastAsia="Arial" w:hAnsi="Arial"/>
          <w:sz w:val="13"/>
          <w:szCs w:val="13"/>
          <w:i w:val="1"/>
          <w:iCs w:val="1"/>
          <w:color w:val="auto"/>
        </w:rPr>
        <w:t>www.footlocker-inc.com</w:t>
      </w:r>
      <w:r>
        <w:rPr>
          <w:rFonts w:ascii="Arial" w:cs="Arial" w:eastAsia="Arial" w:hAnsi="Arial"/>
          <w:sz w:val="13"/>
          <w:szCs w:val="13"/>
          <w:color w:val="auto"/>
        </w:rPr>
        <w:t>. Our filings with the U.S. Securities and Exchange Commission (the “SEC”), including our annual report on Form 10-K, quarterly reports on Form 10-Q, current reports on Form 8-K, and all amendments to those reports are available free of charge through this website as soon as reasonably practicable after they are filed with or furnished to the SEC. The Corporate Governance section of our corporate website contains our Corporate Governance Guidelines, Committee Charters, and the Code of Business Conduct for directors, officers and employees, including the Chief Executive Officer, Chief Financial Officer, and Chief Accounting Officer. Copies of these documents may also be obtained free of charge upon written request to our Corporate Secretary at 330 West 34</w:t>
      </w:r>
      <w:r>
        <w:rPr>
          <w:rFonts w:ascii="Arial" w:cs="Arial" w:eastAsia="Arial" w:hAnsi="Arial"/>
          <w:sz w:val="19"/>
          <w:szCs w:val="19"/>
          <w:color w:val="auto"/>
          <w:vertAlign w:val="superscript"/>
        </w:rPr>
        <w:t>th</w:t>
      </w:r>
      <w:r>
        <w:rPr>
          <w:rFonts w:ascii="Arial" w:cs="Arial" w:eastAsia="Arial" w:hAnsi="Arial"/>
          <w:sz w:val="13"/>
          <w:szCs w:val="13"/>
          <w:color w:val="auto"/>
        </w:rPr>
        <w:t xml:space="preserve"> Street, New York, N.Y. 10001.</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Item 1A. Risk Factors</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Risks Related to Our Business and Industry</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inability to implement our long-range strategic plan may adversely affect our future results.</w:t>
      </w:r>
    </w:p>
    <w:p>
      <w:pPr>
        <w:spacing w:after="0" w:line="143" w:lineRule="exact"/>
        <w:rPr>
          <w:sz w:val="20"/>
          <w:szCs w:val="20"/>
          <w:color w:val="auto"/>
        </w:rPr>
      </w:pPr>
    </w:p>
    <w:p>
      <w:pPr>
        <w:jc w:val="both"/>
        <w:ind w:right="39"/>
        <w:spacing w:after="0" w:line="233" w:lineRule="auto"/>
        <w:rPr>
          <w:sz w:val="20"/>
          <w:szCs w:val="20"/>
          <w:color w:val="auto"/>
        </w:rPr>
      </w:pPr>
      <w:r>
        <w:rPr>
          <w:rFonts w:ascii="Arial" w:cs="Arial" w:eastAsia="Arial" w:hAnsi="Arial"/>
          <w:sz w:val="13"/>
          <w:szCs w:val="13"/>
          <w:color w:val="auto"/>
        </w:rPr>
        <w:t>Our ability to successfully implement and execute our long-range strategic plan is dependent on many factors. Our strategies may require significant capital investment and management attention. Additionally, any new initiative is subject to certain risks including customer acceptance of our products and renovated store designs, competition, product differentiation, the ability to attract and retain qualified personnel, and our ability to successfully implement technological initiatives. If we cannot successfully execute our strategic growth initiatives or if the long-range plan does not adequately address the challenges or opportunities we face, our financial condition and results of operations may be adversely affected. Additionally, failure to meet shareholder expectations, particularly with respect to sales, operating margins, and earnings per share, would likely result in volatility in the market value of our stock.</w:t>
      </w:r>
    </w:p>
    <w:p>
      <w:pPr>
        <w:spacing w:after="0" w:line="124" w:lineRule="exact"/>
        <w:rPr>
          <w:sz w:val="20"/>
          <w:szCs w:val="20"/>
          <w:color w:val="auto"/>
        </w:rPr>
      </w:pPr>
    </w:p>
    <w:p>
      <w:pPr>
        <w:ind w:left="7740"/>
        <w:spacing w:after="0"/>
        <w:rPr>
          <w:sz w:val="20"/>
          <w:szCs w:val="20"/>
          <w:color w:val="auto"/>
        </w:rPr>
      </w:pPr>
      <w:r>
        <w:rPr>
          <w:rFonts w:ascii="Arial" w:cs="Arial" w:eastAsia="Arial" w:hAnsi="Arial"/>
          <w:sz w:val="12"/>
          <w:szCs w:val="12"/>
          <w:color w:val="auto"/>
        </w:rPr>
        <w:t>2020 Form 10-K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365125</wp:posOffset>
            </wp:positionV>
            <wp:extent cx="5790565" cy="13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90565" cy="13335"/>
                    </a:xfrm>
                    <a:prstGeom prst="rect">
                      <a:avLst/>
                    </a:prstGeom>
                    <a:noFill/>
                  </pic:spPr>
                </pic:pic>
              </a:graphicData>
            </a:graphic>
          </wp:anchor>
        </w:drawing>
      </w:r>
    </w:p>
    <w:p>
      <w:pPr>
        <w:sectPr>
          <w:pgSz w:w="11900" w:h="16838" w:orient="portrait"/>
          <w:cols w:equalWidth="0" w:num="1">
            <w:col w:w="9159"/>
          </w:cols>
          <w:pgMar w:left="1300" w:top="678" w:right="1440" w:bottom="1440" w:gutter="0" w:footer="0" w:header="0"/>
        </w:sectPr>
      </w:pPr>
    </w:p>
    <w:bookmarkStart w:id="6" w:name="page7"/>
    <w:bookmarkEnd w:id="6"/>
    <w:p>
      <w:pPr>
        <w:spacing w:after="0"/>
        <w:rPr>
          <w:sz w:val="20"/>
          <w:szCs w:val="20"/>
          <w:color w:val="auto"/>
        </w:rPr>
      </w:pPr>
      <w:r>
        <w:rPr>
          <w:rFonts w:ascii="Arial" w:cs="Arial" w:eastAsia="Arial" w:hAnsi="Arial"/>
          <w:sz w:val="13"/>
          <w:szCs w:val="13"/>
          <w:b w:val="1"/>
          <w:bCs w:val="1"/>
          <w:color w:val="auto"/>
        </w:rPr>
        <w:t>The retail athletic footwear and apparel business is highly competitive.</w:t>
      </w:r>
    </w:p>
    <w:p>
      <w:pPr>
        <w:spacing w:after="0" w:line="133" w:lineRule="exact"/>
        <w:rPr>
          <w:sz w:val="20"/>
          <w:szCs w:val="20"/>
          <w:color w:val="auto"/>
        </w:rPr>
      </w:pPr>
    </w:p>
    <w:p>
      <w:pPr>
        <w:jc w:val="both"/>
        <w:ind w:right="39"/>
        <w:spacing w:after="0" w:line="233" w:lineRule="auto"/>
        <w:rPr>
          <w:sz w:val="20"/>
          <w:szCs w:val="20"/>
          <w:color w:val="auto"/>
        </w:rPr>
      </w:pPr>
      <w:r>
        <w:rPr>
          <w:rFonts w:ascii="Arial" w:cs="Arial" w:eastAsia="Arial" w:hAnsi="Arial"/>
          <w:sz w:val="13"/>
          <w:szCs w:val="13"/>
          <w:color w:val="auto"/>
        </w:rPr>
        <w:t>Our athletic footwear and apparel operations compete primarily with athletic footwear specialty stores, sporting goods stores, department stores, traditional shoe stores, mass merchandisers, and online retailers, many of which are units of national or regional chains that have significant financial and marketing resources. The principal competitive factors in our markets are selection of merchandise, customer experience, reputation, store location, advertising, and price. We cannot assure that we will continue to be able to compete successfully against existing or future competitors. Our expansion into markets served by our competitors, and entry of new competitors or expansion of existing competitors into our markets, could have a material adverse effect on our business, financial condition, and results of operations.</w:t>
      </w:r>
    </w:p>
    <w:p>
      <w:pPr>
        <w:spacing w:after="0" w:line="124" w:lineRule="exact"/>
        <w:rPr>
          <w:sz w:val="20"/>
          <w:szCs w:val="20"/>
          <w:color w:val="auto"/>
        </w:rPr>
      </w:pPr>
    </w:p>
    <w:p>
      <w:pPr>
        <w:jc w:val="both"/>
        <w:ind w:right="39"/>
        <w:spacing w:after="0" w:line="235" w:lineRule="auto"/>
        <w:rPr>
          <w:sz w:val="20"/>
          <w:szCs w:val="20"/>
          <w:color w:val="auto"/>
        </w:rPr>
      </w:pPr>
      <w:r>
        <w:rPr>
          <w:rFonts w:ascii="Arial" w:cs="Arial" w:eastAsia="Arial" w:hAnsi="Arial"/>
          <w:sz w:val="13"/>
          <w:szCs w:val="13"/>
          <w:color w:val="auto"/>
        </w:rPr>
        <w:t>Although we sell an increasing proportion of our merchandise online, a significantly faster shift in customer buying patterns to purchasing athletic footwear, athletic apparel, and sporting goods online could have a material adverse effect on our business results. In addition, all of our significant suppliers operate retail stores and distribute products directly through the internet and others may follow. Should this continue to occur or accelerate, and if our customers decide to purchase directly from our suppliers, it could have a material adverse effect on our business, financial condition, and results of operations.</w:t>
      </w:r>
    </w:p>
    <w:p>
      <w:pPr>
        <w:spacing w:after="0" w:line="106" w:lineRule="exact"/>
        <w:rPr>
          <w:sz w:val="20"/>
          <w:szCs w:val="20"/>
          <w:color w:val="auto"/>
        </w:rPr>
      </w:pPr>
    </w:p>
    <w:p>
      <w:pPr>
        <w:jc w:val="both"/>
        <w:ind w:right="59"/>
        <w:spacing w:after="0" w:line="265" w:lineRule="auto"/>
        <w:rPr>
          <w:sz w:val="20"/>
          <w:szCs w:val="20"/>
          <w:color w:val="auto"/>
        </w:rPr>
      </w:pPr>
      <w:r>
        <w:rPr>
          <w:rFonts w:ascii="Arial" w:cs="Arial" w:eastAsia="Arial" w:hAnsi="Arial"/>
          <w:sz w:val="13"/>
          <w:szCs w:val="13"/>
          <w:b w:val="1"/>
          <w:bCs w:val="1"/>
          <w:color w:val="auto"/>
        </w:rPr>
        <w:t>A change in the relationship with any of our key suppliers or the unavailability of key products at competitive prices could affect our financial health.</w:t>
      </w:r>
    </w:p>
    <w:p>
      <w:pPr>
        <w:spacing w:after="0" w:line="96" w:lineRule="exact"/>
        <w:rPr>
          <w:sz w:val="20"/>
          <w:szCs w:val="20"/>
          <w:color w:val="auto"/>
        </w:rPr>
      </w:pPr>
    </w:p>
    <w:p>
      <w:pPr>
        <w:jc w:val="both"/>
        <w:ind w:right="39"/>
        <w:spacing w:after="0" w:line="235" w:lineRule="auto"/>
        <w:rPr>
          <w:sz w:val="20"/>
          <w:szCs w:val="20"/>
          <w:color w:val="auto"/>
        </w:rPr>
      </w:pPr>
      <w:r>
        <w:rPr>
          <w:rFonts w:ascii="Arial" w:cs="Arial" w:eastAsia="Arial" w:hAnsi="Arial"/>
          <w:sz w:val="13"/>
          <w:szCs w:val="13"/>
          <w:color w:val="auto"/>
        </w:rPr>
        <w:t>Our business is dependent to a significant degree upon our ability to obtain premium product and the ability to purchase brand-name merchandise at competitive prices from a limited number of suppliers. In addition, we have negotiated volume discounts, cooperative advertising, and markdown allowances with our suppliers, as well as the ability to cancel orders and return excess or unneeded merchandise. We cannot be certain that such terms with our suppliers will continue in the future.</w:t>
      </w:r>
    </w:p>
    <w:p>
      <w:pPr>
        <w:spacing w:after="0" w:line="122" w:lineRule="exact"/>
        <w:rPr>
          <w:sz w:val="20"/>
          <w:szCs w:val="20"/>
          <w:color w:val="auto"/>
        </w:rPr>
      </w:pPr>
    </w:p>
    <w:p>
      <w:pPr>
        <w:jc w:val="both"/>
        <w:ind w:right="39"/>
        <w:spacing w:after="0" w:line="232" w:lineRule="auto"/>
        <w:rPr>
          <w:sz w:val="20"/>
          <w:szCs w:val="20"/>
          <w:color w:val="auto"/>
        </w:rPr>
      </w:pPr>
      <w:r>
        <w:rPr>
          <w:rFonts w:ascii="Arial" w:cs="Arial" w:eastAsia="Arial" w:hAnsi="Arial"/>
          <w:sz w:val="13"/>
          <w:szCs w:val="13"/>
          <w:color w:val="auto"/>
        </w:rPr>
        <w:t>We purchased approximately 91 percent of our merchandise in 2020 from our top five suppliers and we expect to continue to obtain a significant percentage of our athletic product from these suppliers in future periods. Approximately 75 percent of all merchandise purchased in 2020 was purchased from one supplier — Nike, Inc. (“Nike”). Each of our operating divisions is highly dependent on Nike. Individually they purchased between 47 to 82 percent of their merchandise from Nike during the year. Merchandise that is high profile and in high demand is allocated by our suppliers based upon their internal criteria. Although we have generally been able to purchase sufficient quantities of this merchandise in the past, we cannot be certain that our suppliers will continue to allocate sufficient amounts to us in the future or whether our suppliers will choose to sell such merchandise in their online business. Our inability to obtain merchandise in a timely manner from major suppliers as a result of business decisions by our suppliers, or any disruption in the supply chain, could have a material adverse effect on our business, financial condition, and results of operations. Because of the high proportion of purchases from Nike, any adverse development in Nike’s reputation, financial condition or results of operations or the inability of Nike to develop and manufacture products that appeal to our target customers could also have an adverse effect on our business, financial condition, and results of operations. We cannot be certain that we will be able to acquire merchandise at competitive prices or on competitive terms in the future. These risks could have a material adverse effect on our business, financial condition, and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industry in which we operate is dependent upon fashion trends, customer preferences, product innovations, and other fashion-related factors.</w:t>
      </w:r>
    </w:p>
    <w:p>
      <w:pPr>
        <w:spacing w:after="0" w:line="133" w:lineRule="exact"/>
        <w:rPr>
          <w:sz w:val="20"/>
          <w:szCs w:val="20"/>
          <w:color w:val="auto"/>
        </w:rPr>
      </w:pPr>
    </w:p>
    <w:p>
      <w:pPr>
        <w:jc w:val="both"/>
        <w:ind w:right="39"/>
        <w:spacing w:after="0" w:line="233" w:lineRule="auto"/>
        <w:rPr>
          <w:sz w:val="20"/>
          <w:szCs w:val="20"/>
          <w:color w:val="auto"/>
        </w:rPr>
      </w:pPr>
      <w:r>
        <w:rPr>
          <w:rFonts w:ascii="Arial" w:cs="Arial" w:eastAsia="Arial" w:hAnsi="Arial"/>
          <w:sz w:val="13"/>
          <w:szCs w:val="13"/>
          <w:color w:val="auto"/>
        </w:rPr>
        <w:t>The athletic footwear and apparel industry, especially at the premium end of the price spectrum, in which we operate, is subject to changing fashion trends and customer preferences. In addition, retailers in the athletic industry rely on their suppliers to maintain innovation in the products they develop. We cannot guarantee that our merchandise selection will accurately reflect customer preferences when it is offered for sale or that we will be able to identify and respond quickly to fashion changes, particularly given the long lead times for ordering much of our merchandise from suppliers. A substantial portion of our highest margin sales are to young males (ages 12–25), many of whom we believe purchase athletic footwear and athletic apparel as a fashion statement and are frequent purchasers. Our failure to anticipate, identify or react appropriately in a timely manner to changes in fashion trends that would make athletic footwear or athletic apparel less attractive to our customers could have a material adverse effect on our business, financial condition, and results of operations.</w:t>
      </w:r>
    </w:p>
    <w:p>
      <w:pPr>
        <w:spacing w:after="0" w:line="400" w:lineRule="exact"/>
        <w:rPr>
          <w:sz w:val="20"/>
          <w:szCs w:val="20"/>
          <w:color w:val="auto"/>
        </w:rPr>
      </w:pPr>
    </w:p>
    <w:p>
      <w:pPr>
        <w:jc w:val="right"/>
        <w:ind w:right="39"/>
        <w:spacing w:after="0"/>
        <w:rPr>
          <w:sz w:val="20"/>
          <w:szCs w:val="20"/>
          <w:color w:val="auto"/>
        </w:rPr>
      </w:pPr>
      <w:r>
        <w:rPr>
          <w:rFonts w:ascii="Arial" w:cs="Arial" w:eastAsia="Arial" w:hAnsi="Arial"/>
          <w:sz w:val="13"/>
          <w:szCs w:val="13"/>
          <w:color w:val="auto"/>
        </w:rPr>
        <w:t>2020 Form 10-K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357505</wp:posOffset>
            </wp:positionV>
            <wp:extent cx="5790565" cy="13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90565" cy="13335"/>
                    </a:xfrm>
                    <a:prstGeom prst="rect">
                      <a:avLst/>
                    </a:prstGeom>
                    <a:noFill/>
                  </pic:spPr>
                </pic:pic>
              </a:graphicData>
            </a:graphic>
          </wp:anchor>
        </w:drawing>
      </w:r>
    </w:p>
    <w:p>
      <w:pPr>
        <w:sectPr>
          <w:pgSz w:w="11900" w:h="16838" w:orient="portrait"/>
          <w:cols w:equalWidth="0" w:num="1">
            <w:col w:w="9159"/>
          </w:cols>
          <w:pgMar w:left="1300" w:top="662" w:right="1440" w:bottom="1440" w:gutter="0" w:footer="0" w:header="0"/>
        </w:sectPr>
      </w:pPr>
    </w:p>
    <w:bookmarkStart w:id="7" w:name="page8"/>
    <w:bookmarkEnd w:id="7"/>
    <w:p>
      <w:pPr>
        <w:spacing w:after="0"/>
        <w:rPr>
          <w:sz w:val="20"/>
          <w:szCs w:val="20"/>
          <w:color w:val="auto"/>
        </w:rPr>
      </w:pPr>
      <w:r>
        <w:rPr>
          <w:rFonts w:ascii="Arial" w:cs="Arial" w:eastAsia="Arial" w:hAnsi="Arial"/>
          <w:sz w:val="13"/>
          <w:szCs w:val="13"/>
          <w:b w:val="1"/>
          <w:bCs w:val="1"/>
          <w:color w:val="auto"/>
        </w:rPr>
        <w:t>If we do not successfully manage our inventory levels, our operating results will be adversely affected.</w:t>
      </w:r>
    </w:p>
    <w:p>
      <w:pPr>
        <w:spacing w:after="0" w:line="133" w:lineRule="exact"/>
        <w:rPr>
          <w:sz w:val="20"/>
          <w:szCs w:val="20"/>
          <w:color w:val="auto"/>
        </w:rPr>
      </w:pPr>
    </w:p>
    <w:p>
      <w:pPr>
        <w:jc w:val="both"/>
        <w:ind w:right="39"/>
        <w:spacing w:after="0" w:line="235" w:lineRule="auto"/>
        <w:rPr>
          <w:sz w:val="20"/>
          <w:szCs w:val="20"/>
          <w:color w:val="auto"/>
        </w:rPr>
      </w:pPr>
      <w:r>
        <w:rPr>
          <w:rFonts w:ascii="Arial" w:cs="Arial" w:eastAsia="Arial" w:hAnsi="Arial"/>
          <w:sz w:val="13"/>
          <w:szCs w:val="13"/>
          <w:color w:val="auto"/>
        </w:rPr>
        <w:t>We must maintain sufficient inventory levels to operate our business successfully. However, we also must guard against accumulating excess inventory. For example, we order most of our athletic footwear four to six months prior to delivery to us. If we fail to anticipate accurately either the market for the merchandise or our customers’ purchasing habits, we may be forced to rely on markdowns or promotional sales to dispose of excess or slow-moving inventory, which could have a material adverse effect on our business, financial condition, and results of operations.</w:t>
      </w:r>
    </w:p>
    <w:p>
      <w:pPr>
        <w:spacing w:after="0" w:line="106" w:lineRule="exact"/>
        <w:rPr>
          <w:sz w:val="20"/>
          <w:szCs w:val="20"/>
          <w:color w:val="auto"/>
        </w:rPr>
      </w:pPr>
    </w:p>
    <w:p>
      <w:pPr>
        <w:jc w:val="both"/>
        <w:ind w:right="39"/>
        <w:spacing w:after="0" w:line="265" w:lineRule="auto"/>
        <w:rPr>
          <w:sz w:val="20"/>
          <w:szCs w:val="20"/>
          <w:color w:val="auto"/>
        </w:rPr>
      </w:pPr>
      <w:r>
        <w:rPr>
          <w:rFonts w:ascii="Arial" w:cs="Arial" w:eastAsia="Arial" w:hAnsi="Arial"/>
          <w:sz w:val="13"/>
          <w:szCs w:val="13"/>
          <w:b w:val="1"/>
          <w:bCs w:val="1"/>
          <w:color w:val="auto"/>
        </w:rPr>
        <w:t>The COVID-19 pandemic has disrupted and is expected to continue to disrupt our business, which could have a material adverse effect on our results of operations, liquidity, and financial condition for an extended period of time.</w:t>
      </w:r>
    </w:p>
    <w:p>
      <w:pPr>
        <w:spacing w:after="0" w:line="106" w:lineRule="exact"/>
        <w:rPr>
          <w:sz w:val="20"/>
          <w:szCs w:val="20"/>
          <w:color w:val="auto"/>
        </w:rPr>
      </w:pPr>
    </w:p>
    <w:p>
      <w:pPr>
        <w:jc w:val="both"/>
        <w:ind w:right="39"/>
        <w:spacing w:after="0" w:line="233" w:lineRule="auto"/>
        <w:rPr>
          <w:sz w:val="20"/>
          <w:szCs w:val="20"/>
          <w:color w:val="auto"/>
        </w:rPr>
      </w:pPr>
      <w:r>
        <w:rPr>
          <w:rFonts w:ascii="Arial" w:cs="Arial" w:eastAsia="Arial" w:hAnsi="Arial"/>
          <w:sz w:val="13"/>
          <w:szCs w:val="13"/>
          <w:color w:val="auto"/>
        </w:rPr>
        <w:t>In December 2019, a novel strain of coronavirus (COVID-19) was reported to have surfaced in Wuhan, China. In March 2020, the World Health Organization designated COVID-19 a pandemic. As a result of COVID-19, we temporarily closed all of our stores across all of our brands in North America, Europe Middle East and Africa (“EMEA”), and Asia Pacific for various periods throughout the year. We continue to monitor COVID-19, as well as new strains of the virus, and other closures, capacity limitations, social distancing requirements, and reduced operating hours may be required to help ensure the health and safety of our team members and our customers. We are also continuing to communicate with our suppliers regarding the flow of product. To the extent one or more of our suppliers is negatively affected by COVID-19, including due to the closure of their distribution centers or manufacturing facilities, we may be unable to maintain adequate inventory in our stores or distribution centers. COVID-19 has also caused disruption in transportation, such as shipping port congestion, which has adversely affected our ability to receive merchandise on a timely basis. Given the dynamic nature of these circumstances, the duration of business disruption, reduced customer traffic, and related financial affects cannot be reasonably estimated at this time but are expected to materially affect our business for 2021. The extent to which COVID-19 affects our results, or those of our suppliers, will depend on future developments, which are highly uncertain and cannot be predicted, including new information which may emerge concerning the severity of COVID-19 and the actions and related costs to contain or treat it, among others.</w:t>
      </w: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We are affected by mall traffic and our ability to secure suitable store locations.</w:t>
      </w:r>
    </w:p>
    <w:p>
      <w:pPr>
        <w:spacing w:after="0" w:line="143" w:lineRule="exact"/>
        <w:rPr>
          <w:sz w:val="20"/>
          <w:szCs w:val="20"/>
          <w:color w:val="auto"/>
        </w:rPr>
      </w:pPr>
    </w:p>
    <w:p>
      <w:pPr>
        <w:jc w:val="both"/>
        <w:ind w:right="39"/>
        <w:spacing w:after="0" w:line="234" w:lineRule="auto"/>
        <w:rPr>
          <w:sz w:val="20"/>
          <w:szCs w:val="20"/>
          <w:color w:val="auto"/>
        </w:rPr>
      </w:pPr>
      <w:r>
        <w:rPr>
          <w:rFonts w:ascii="Arial" w:cs="Arial" w:eastAsia="Arial" w:hAnsi="Arial"/>
          <w:sz w:val="13"/>
          <w:szCs w:val="13"/>
          <w:color w:val="auto"/>
        </w:rPr>
        <w:t>Many of our stores, especially in North America, are located primarily in enclosed regional and neighborhood malls. Our sales are affected, in part, by the volume of mall traffic. Mall traffic may be adversely affected by, among other factors, economic downturns, the closing or continued decline of anchor department stores and/or specialty stores, and a decline in the popularity of mall shopping among our target customers. Further, any terrorist act, natural disaster, public health issue, such as COVID-19, flu or other pandemics, or safety concern that decreases the level of mall traffic, or that affects our ability to open and operate stores in such locations, could have a material adverse effect on our business.</w:t>
      </w:r>
    </w:p>
    <w:p>
      <w:pPr>
        <w:spacing w:after="0" w:line="123" w:lineRule="exact"/>
        <w:rPr>
          <w:sz w:val="20"/>
          <w:szCs w:val="20"/>
          <w:color w:val="auto"/>
        </w:rPr>
      </w:pPr>
    </w:p>
    <w:p>
      <w:pPr>
        <w:jc w:val="both"/>
        <w:ind w:right="39"/>
        <w:spacing w:after="0" w:line="233" w:lineRule="auto"/>
        <w:rPr>
          <w:sz w:val="20"/>
          <w:szCs w:val="20"/>
          <w:color w:val="auto"/>
        </w:rPr>
      </w:pPr>
      <w:r>
        <w:rPr>
          <w:rFonts w:ascii="Arial" w:cs="Arial" w:eastAsia="Arial" w:hAnsi="Arial"/>
          <w:sz w:val="13"/>
          <w:szCs w:val="13"/>
          <w:color w:val="auto"/>
        </w:rPr>
        <w:t>To take advantage of customer traffic and the shopping preferences of our customers, we need to maintain or acquire stores in desirable locations such as in regional and neighborhood malls, as well as high-traffic urban retail areas and high streets. We cannot be certain that desirable locations will continue to be available at favorable rates. Some traditional enclosed malls are experiencing significantly lower levels of customer traffic, driven by economic conditions, public health issues, the closure of certain mall anchor tenants, and changes in customer shopping preferences, such as online shopping. Further, some malls have closed, and others may close in the future. While we seek to obtain suitable locations off-mall there is no guarantee that we will be able to secure such locations.</w:t>
      </w:r>
    </w:p>
    <w:p>
      <w:pPr>
        <w:spacing w:after="0" w:line="114" w:lineRule="exact"/>
        <w:rPr>
          <w:sz w:val="20"/>
          <w:szCs w:val="20"/>
          <w:color w:val="auto"/>
        </w:rPr>
      </w:pPr>
    </w:p>
    <w:p>
      <w:pPr>
        <w:jc w:val="both"/>
        <w:ind w:right="39"/>
        <w:spacing w:after="0" w:line="236" w:lineRule="auto"/>
        <w:rPr>
          <w:sz w:val="20"/>
          <w:szCs w:val="20"/>
          <w:color w:val="auto"/>
        </w:rPr>
      </w:pPr>
      <w:r>
        <w:rPr>
          <w:rFonts w:ascii="Arial" w:cs="Arial" w:eastAsia="Arial" w:hAnsi="Arial"/>
          <w:sz w:val="13"/>
          <w:szCs w:val="13"/>
          <w:color w:val="auto"/>
        </w:rPr>
        <w:t>Several large landlords dominate the ownership of prime malls and because of our dependence upon these landlords for a substantial number of our locations, any significant erosion of their financial condition or our relationships with them could negatively affect our ability to obtain and retain store locations. Additionally, further landlord consolidation may negatively affect our ability to negotiate favorable lease terms.</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future growth may depend on our ability to expand operations in international markets.</w:t>
      </w:r>
    </w:p>
    <w:p>
      <w:pPr>
        <w:spacing w:after="0" w:line="143" w:lineRule="exact"/>
        <w:rPr>
          <w:sz w:val="20"/>
          <w:szCs w:val="20"/>
          <w:color w:val="auto"/>
        </w:rPr>
      </w:pPr>
    </w:p>
    <w:p>
      <w:pPr>
        <w:jc w:val="both"/>
        <w:ind w:right="39"/>
        <w:spacing w:after="0" w:line="234" w:lineRule="auto"/>
        <w:rPr>
          <w:sz w:val="20"/>
          <w:szCs w:val="20"/>
          <w:color w:val="auto"/>
        </w:rPr>
      </w:pPr>
      <w:r>
        <w:rPr>
          <w:rFonts w:ascii="Arial" w:cs="Arial" w:eastAsia="Arial" w:hAnsi="Arial"/>
          <w:sz w:val="13"/>
          <w:szCs w:val="13"/>
          <w:color w:val="auto"/>
        </w:rPr>
        <w:t>Our future growth will depend, in part, on our ability to expand our business in additional international markets. As we expand into new international markets, we may have only limited experience in operating our business in such markets. In other instances, we may have to rely on the efforts and abilities of foreign business partners in such markets. In addition, business practices in these new international markets may be unlike those in the other markets we serve, and we may face increased exposure to certain risks. Our future growth may be materially adversely affected if we are unsuccessful in our international expansion efforts. Our inability to expand in international markets could have a material adverse effect on our business.</w:t>
      </w:r>
    </w:p>
    <w:p>
      <w:pPr>
        <w:spacing w:after="0" w:line="112" w:lineRule="exact"/>
        <w:rPr>
          <w:sz w:val="20"/>
          <w:szCs w:val="20"/>
          <w:color w:val="auto"/>
        </w:rPr>
      </w:pPr>
    </w:p>
    <w:p>
      <w:pPr>
        <w:ind w:left="7740"/>
        <w:spacing w:after="0"/>
        <w:rPr>
          <w:sz w:val="20"/>
          <w:szCs w:val="20"/>
          <w:color w:val="auto"/>
        </w:rPr>
      </w:pPr>
      <w:r>
        <w:rPr>
          <w:rFonts w:ascii="Arial" w:cs="Arial" w:eastAsia="Arial" w:hAnsi="Arial"/>
          <w:sz w:val="12"/>
          <w:szCs w:val="12"/>
          <w:color w:val="auto"/>
        </w:rPr>
        <w:t>2020 Form 10-K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365125</wp:posOffset>
            </wp:positionV>
            <wp:extent cx="5790565" cy="19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0565" cy="19685"/>
                    </a:xfrm>
                    <a:prstGeom prst="rect">
                      <a:avLst/>
                    </a:prstGeom>
                    <a:noFill/>
                  </pic:spPr>
                </pic:pic>
              </a:graphicData>
            </a:graphic>
          </wp:anchor>
        </w:drawing>
      </w:r>
    </w:p>
    <w:p>
      <w:pPr>
        <w:sectPr>
          <w:pgSz w:w="11900" w:h="16838" w:orient="portrait"/>
          <w:cols w:equalWidth="0" w:num="1">
            <w:col w:w="9159"/>
          </w:cols>
          <w:pgMar w:left="1300" w:top="662" w:right="1440" w:bottom="1440" w:gutter="0" w:footer="0" w:header="0"/>
        </w:sectPr>
      </w:pPr>
    </w:p>
    <w:bookmarkStart w:id="8" w:name="page9"/>
    <w:bookmarkEnd w:id="8"/>
    <w:p>
      <w:pPr>
        <w:spacing w:after="0"/>
        <w:rPr>
          <w:sz w:val="20"/>
          <w:szCs w:val="20"/>
          <w:color w:val="auto"/>
        </w:rPr>
      </w:pPr>
      <w:r>
        <w:rPr>
          <w:rFonts w:ascii="Arial" w:cs="Arial" w:eastAsia="Arial" w:hAnsi="Arial"/>
          <w:sz w:val="13"/>
          <w:szCs w:val="13"/>
          <w:b w:val="1"/>
          <w:bCs w:val="1"/>
          <w:color w:val="auto"/>
        </w:rPr>
        <w:t>We may experience fluctuations in, and cyclicality of, our comparable-store sales results.</w:t>
      </w:r>
    </w:p>
    <w:p>
      <w:pPr>
        <w:spacing w:after="0" w:line="133" w:lineRule="exact"/>
        <w:rPr>
          <w:sz w:val="20"/>
          <w:szCs w:val="20"/>
          <w:color w:val="auto"/>
        </w:rPr>
      </w:pPr>
    </w:p>
    <w:p>
      <w:pPr>
        <w:jc w:val="both"/>
        <w:ind w:right="39"/>
        <w:spacing w:after="0" w:line="235" w:lineRule="auto"/>
        <w:rPr>
          <w:sz w:val="20"/>
          <w:szCs w:val="20"/>
          <w:color w:val="auto"/>
        </w:rPr>
      </w:pPr>
      <w:r>
        <w:rPr>
          <w:rFonts w:ascii="Arial" w:cs="Arial" w:eastAsia="Arial" w:hAnsi="Arial"/>
          <w:sz w:val="13"/>
          <w:szCs w:val="13"/>
          <w:color w:val="auto"/>
        </w:rPr>
        <w:t>Our comparable-store sales have fluctuated significantly in the past, on both an annual and a quarterly basis, and we expect them to continue to fluctuate in the future. A variety of factors affect our comparable-store sales results, including, among others, fashion trends, product innovation, promotional events, the highly competitive retail sales environment, economic conditions, timing of income tax refunds, changes in our merchandise mix, calendar shifts of holiday periods, declines in foot traffic, supply chain disruptions, and weather conditions.</w:t>
      </w:r>
    </w:p>
    <w:p>
      <w:pPr>
        <w:spacing w:after="0" w:line="122" w:lineRule="exact"/>
        <w:rPr>
          <w:sz w:val="20"/>
          <w:szCs w:val="20"/>
          <w:color w:val="auto"/>
        </w:rPr>
      </w:pPr>
    </w:p>
    <w:p>
      <w:pPr>
        <w:jc w:val="both"/>
        <w:ind w:right="39"/>
        <w:spacing w:after="0" w:line="236" w:lineRule="auto"/>
        <w:rPr>
          <w:sz w:val="20"/>
          <w:szCs w:val="20"/>
          <w:color w:val="auto"/>
        </w:rPr>
      </w:pPr>
      <w:r>
        <w:rPr>
          <w:rFonts w:ascii="Arial" w:cs="Arial" w:eastAsia="Arial" w:hAnsi="Arial"/>
          <w:sz w:val="13"/>
          <w:szCs w:val="13"/>
          <w:color w:val="auto"/>
        </w:rPr>
        <w:t>Many of our products represent discretionary purchases. Accordingly, customer demand for these products could decline in an economic downturn or if our customers develop other priorities for their discretionary spending. These risks could have a material adverse effect on our business, financial condition, and results of operations.</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effects of natural disasters, terrorism, acts of war, acts of violence, and public health issues may adversely affect our business.</w:t>
      </w:r>
    </w:p>
    <w:p>
      <w:pPr>
        <w:spacing w:after="0" w:line="133" w:lineRule="exact"/>
        <w:rPr>
          <w:sz w:val="20"/>
          <w:szCs w:val="20"/>
          <w:color w:val="auto"/>
        </w:rPr>
      </w:pPr>
    </w:p>
    <w:p>
      <w:pPr>
        <w:jc w:val="both"/>
        <w:ind w:right="39"/>
        <w:spacing w:after="0" w:line="234" w:lineRule="auto"/>
        <w:rPr>
          <w:sz w:val="20"/>
          <w:szCs w:val="20"/>
          <w:color w:val="auto"/>
        </w:rPr>
      </w:pPr>
      <w:r>
        <w:rPr>
          <w:rFonts w:ascii="Arial" w:cs="Arial" w:eastAsia="Arial" w:hAnsi="Arial"/>
          <w:sz w:val="13"/>
          <w:szCs w:val="13"/>
          <w:color w:val="auto"/>
        </w:rPr>
        <w:t>Natural disasters, including earthquakes, hurricanes, floods, and tornadoes may affect store and distribution center operations. In addition, acts of terrorism, acts of war, and military action both in the United States and abroad can have a significant effect on economic conditions and may negatively affect our ability to purchase merchandise from suppliers for sale to our customers. Any act of violence, including active shooter situations and terrorist activities, that are targeted at or threatened against shopping malls, our stores, offices or distribution centers, could result in restricted access to our stores and/or store closures in the short-term and, in the long-term, may cause our customers and employees to avoid visiting our stores.</w:t>
      </w:r>
    </w:p>
    <w:p>
      <w:pPr>
        <w:spacing w:after="0" w:line="123" w:lineRule="exact"/>
        <w:rPr>
          <w:sz w:val="20"/>
          <w:szCs w:val="20"/>
          <w:color w:val="auto"/>
        </w:rPr>
      </w:pPr>
    </w:p>
    <w:p>
      <w:pPr>
        <w:jc w:val="both"/>
        <w:ind w:right="39"/>
        <w:spacing w:after="0" w:line="235" w:lineRule="auto"/>
        <w:rPr>
          <w:sz w:val="20"/>
          <w:szCs w:val="20"/>
          <w:color w:val="auto"/>
        </w:rPr>
      </w:pPr>
      <w:r>
        <w:rPr>
          <w:rFonts w:ascii="Arial" w:cs="Arial" w:eastAsia="Arial" w:hAnsi="Arial"/>
          <w:sz w:val="13"/>
          <w:szCs w:val="13"/>
          <w:color w:val="auto"/>
        </w:rPr>
        <w:t>Public health issues, such as COVID-19, flu or other pandemics, whether occurring in the United States or abroad, could disrupt our operations and result in a significant part of our workforce being unable to operate or maintain our infrastructure or perform other tasks necessary to conduct our business. Additionally, public health issues may disrupt, or have an adverse effect on, our suppliers’ operations, our operations, our customers, or result in significantly lower traffic to or closure of our stores, or customer demand.</w:t>
      </w:r>
    </w:p>
    <w:p>
      <w:pPr>
        <w:spacing w:after="0" w:line="122" w:lineRule="exact"/>
        <w:rPr>
          <w:sz w:val="20"/>
          <w:szCs w:val="20"/>
          <w:color w:val="auto"/>
        </w:rPr>
      </w:pPr>
    </w:p>
    <w:p>
      <w:pPr>
        <w:jc w:val="both"/>
        <w:ind w:right="59"/>
        <w:spacing w:after="0"/>
        <w:rPr>
          <w:sz w:val="20"/>
          <w:szCs w:val="20"/>
          <w:color w:val="auto"/>
        </w:rPr>
      </w:pPr>
      <w:r>
        <w:rPr>
          <w:rFonts w:ascii="Arial" w:cs="Arial" w:eastAsia="Arial" w:hAnsi="Arial"/>
          <w:sz w:val="13"/>
          <w:szCs w:val="13"/>
          <w:color w:val="auto"/>
        </w:rPr>
        <w:t>Our ability to mitigate the adverse effect of these events depends, in part, upon the effectiveness of our disaster preparedness and response planning as well as business continuity planning. However, we cannot be certain that our plans will be adequate or implemented properly in the event of an actual disaster.</w:t>
      </w:r>
    </w:p>
    <w:p>
      <w:pPr>
        <w:spacing w:after="0" w:line="111" w:lineRule="exact"/>
        <w:rPr>
          <w:sz w:val="20"/>
          <w:szCs w:val="20"/>
          <w:color w:val="auto"/>
        </w:rPr>
      </w:pPr>
    </w:p>
    <w:p>
      <w:pPr>
        <w:jc w:val="both"/>
        <w:ind w:right="39"/>
        <w:spacing w:after="0" w:line="236" w:lineRule="auto"/>
        <w:rPr>
          <w:sz w:val="20"/>
          <w:szCs w:val="20"/>
          <w:color w:val="auto"/>
        </w:rPr>
      </w:pPr>
      <w:r>
        <w:rPr>
          <w:rFonts w:ascii="Arial" w:cs="Arial" w:eastAsia="Arial" w:hAnsi="Arial"/>
          <w:sz w:val="13"/>
          <w:szCs w:val="13"/>
          <w:color w:val="auto"/>
        </w:rPr>
        <w:t>Any significant declines in public safety or uncertainties regarding future economic prospects that affect customer spending habits could have a material adverse effect on customer purchases of our products. We may be required to suspend operations in some or all of our locations and incur significant costs to remediate concerns which could have a material adverse effect on our business, financial condition, and results of operations.</w:t>
      </w:r>
    </w:p>
    <w:p>
      <w:pPr>
        <w:spacing w:after="0" w:line="107" w:lineRule="exact"/>
        <w:rPr>
          <w:sz w:val="20"/>
          <w:szCs w:val="20"/>
          <w:color w:val="auto"/>
        </w:rPr>
      </w:pPr>
    </w:p>
    <w:p>
      <w:pPr>
        <w:jc w:val="both"/>
        <w:ind w:right="39"/>
        <w:spacing w:after="0" w:line="265" w:lineRule="auto"/>
        <w:rPr>
          <w:sz w:val="20"/>
          <w:szCs w:val="20"/>
          <w:color w:val="auto"/>
        </w:rPr>
      </w:pPr>
      <w:r>
        <w:rPr>
          <w:rFonts w:ascii="Arial" w:cs="Arial" w:eastAsia="Arial" w:hAnsi="Arial"/>
          <w:sz w:val="13"/>
          <w:szCs w:val="13"/>
          <w:b w:val="1"/>
          <w:bCs w:val="1"/>
          <w:color w:val="auto"/>
        </w:rPr>
        <w:t>Riots, vandalism, and other crimes and acts of violence may affect the markets in which we operate, our customers, delivery of our products and customer service, and could have a material adverse effect on our business, results of operations, or financial condition.</w:t>
      </w:r>
    </w:p>
    <w:p>
      <w:pPr>
        <w:spacing w:after="0" w:line="106" w:lineRule="exact"/>
        <w:rPr>
          <w:sz w:val="20"/>
          <w:szCs w:val="20"/>
          <w:color w:val="auto"/>
        </w:rPr>
      </w:pPr>
    </w:p>
    <w:p>
      <w:pPr>
        <w:jc w:val="both"/>
        <w:ind w:right="39"/>
        <w:spacing w:after="0" w:line="235" w:lineRule="auto"/>
        <w:rPr>
          <w:sz w:val="20"/>
          <w:szCs w:val="20"/>
          <w:color w:val="auto"/>
        </w:rPr>
      </w:pPr>
      <w:r>
        <w:rPr>
          <w:rFonts w:ascii="Arial" w:cs="Arial" w:eastAsia="Arial" w:hAnsi="Arial"/>
          <w:sz w:val="13"/>
          <w:szCs w:val="13"/>
          <w:color w:val="auto"/>
        </w:rPr>
        <w:t>Our business may be adversely affected by instability, disruption, or destruction, regardless of cause, including riots, civil insurrection or social unrest, and manmade disasters or crimes. Such events may result in property damage and loss and may also cause customers to suspend their decisions to shop in our stores, interrupt our supply chain, and cause restrictions, postponements, and cancellations of events that attract large crowds and public gatherings, such as store marketing events.</w:t>
      </w:r>
    </w:p>
    <w:p>
      <w:pPr>
        <w:spacing w:after="0" w:line="112" w:lineRule="exact"/>
        <w:rPr>
          <w:sz w:val="20"/>
          <w:szCs w:val="20"/>
          <w:color w:val="auto"/>
        </w:rPr>
      </w:pPr>
    </w:p>
    <w:p>
      <w:pPr>
        <w:jc w:val="both"/>
        <w:ind w:right="39"/>
        <w:spacing w:after="0"/>
        <w:rPr>
          <w:sz w:val="20"/>
          <w:szCs w:val="20"/>
          <w:color w:val="auto"/>
        </w:rPr>
      </w:pPr>
      <w:r>
        <w:rPr>
          <w:rFonts w:ascii="Arial" w:cs="Arial" w:eastAsia="Arial" w:hAnsi="Arial"/>
          <w:sz w:val="13"/>
          <w:szCs w:val="13"/>
          <w:color w:val="auto"/>
        </w:rPr>
        <w:t>Additional risks and uncertainties not currently known to us or that we currently deem to be immaterial also may adversely affect our business, financial condition or operating results.</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Risks Related to Technology, Data Security, and Privacy</w:t>
      </w:r>
    </w:p>
    <w:p>
      <w:pPr>
        <w:spacing w:after="0" w:line="127" w:lineRule="exact"/>
        <w:rPr>
          <w:sz w:val="20"/>
          <w:szCs w:val="20"/>
          <w:color w:val="auto"/>
        </w:rPr>
      </w:pPr>
    </w:p>
    <w:p>
      <w:pPr>
        <w:jc w:val="both"/>
        <w:ind w:right="39"/>
        <w:spacing w:after="0" w:line="265" w:lineRule="auto"/>
        <w:rPr>
          <w:sz w:val="20"/>
          <w:szCs w:val="20"/>
          <w:color w:val="auto"/>
        </w:rPr>
      </w:pPr>
      <w:r>
        <w:rPr>
          <w:rFonts w:ascii="Arial" w:cs="Arial" w:eastAsia="Arial" w:hAnsi="Arial"/>
          <w:sz w:val="13"/>
          <w:szCs w:val="13"/>
          <w:b w:val="1"/>
          <w:bCs w:val="1"/>
          <w:color w:val="auto"/>
        </w:rPr>
        <w:t>We are subject to technology risks including failures, security breaches, and cybersecurity risks that could harm our business, damage our reputation, and increase our costs in an effort to protect against these risks.</w:t>
      </w:r>
    </w:p>
    <w:p>
      <w:pPr>
        <w:spacing w:after="0" w:line="96" w:lineRule="exact"/>
        <w:rPr>
          <w:sz w:val="20"/>
          <w:szCs w:val="20"/>
          <w:color w:val="auto"/>
        </w:rPr>
      </w:pPr>
    </w:p>
    <w:p>
      <w:pPr>
        <w:jc w:val="both"/>
        <w:ind w:right="39"/>
        <w:spacing w:after="0" w:line="235" w:lineRule="auto"/>
        <w:rPr>
          <w:sz w:val="20"/>
          <w:szCs w:val="20"/>
          <w:color w:val="auto"/>
        </w:rPr>
      </w:pPr>
      <w:r>
        <w:rPr>
          <w:rFonts w:ascii="Arial" w:cs="Arial" w:eastAsia="Arial" w:hAnsi="Arial"/>
          <w:sz w:val="13"/>
          <w:szCs w:val="13"/>
          <w:color w:val="auto"/>
        </w:rPr>
        <w:t>Information technology is a critical part of our business operations. We depend on information systems to process transactions, make operational decisions, manage inventory, operate our websites, purchase, sell and ship goods on a timely basis, and maintain cost-efficient operations. There is a risk that we could experience a business interruption, theft of information, or reputational damage as a result of a cyber-attack, such as an infiltration of a data center or data leakage of confidential information, either internally or at our third-party providers.</w:t>
      </w:r>
    </w:p>
    <w:p>
      <w:pPr>
        <w:spacing w:after="0" w:line="122" w:lineRule="exact"/>
        <w:rPr>
          <w:sz w:val="20"/>
          <w:szCs w:val="20"/>
          <w:color w:val="auto"/>
        </w:rPr>
      </w:pPr>
    </w:p>
    <w:p>
      <w:pPr>
        <w:ind w:left="7740"/>
        <w:spacing w:after="0"/>
        <w:rPr>
          <w:sz w:val="20"/>
          <w:szCs w:val="20"/>
          <w:color w:val="auto"/>
        </w:rPr>
      </w:pPr>
      <w:r>
        <w:rPr>
          <w:rFonts w:ascii="Arial" w:cs="Arial" w:eastAsia="Arial" w:hAnsi="Arial"/>
          <w:sz w:val="12"/>
          <w:szCs w:val="12"/>
          <w:color w:val="auto"/>
        </w:rPr>
        <w:t>2020 Form 10-K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365125</wp:posOffset>
            </wp:positionV>
            <wp:extent cx="5790565" cy="196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0565" cy="19685"/>
                    </a:xfrm>
                    <a:prstGeom prst="rect">
                      <a:avLst/>
                    </a:prstGeom>
                    <a:noFill/>
                  </pic:spPr>
                </pic:pic>
              </a:graphicData>
            </a:graphic>
          </wp:anchor>
        </w:drawing>
      </w:r>
    </w:p>
    <w:p>
      <w:pPr>
        <w:sectPr>
          <w:pgSz w:w="11900" w:h="16838" w:orient="portrait"/>
          <w:cols w:equalWidth="0" w:num="1">
            <w:col w:w="9159"/>
          </w:cols>
          <w:pgMar w:left="1300" w:top="662" w:right="1440" w:bottom="1440" w:gutter="0" w:footer="0" w:header="0"/>
        </w:sectPr>
      </w:pPr>
    </w:p>
    <w:bookmarkStart w:id="9" w:name="page10"/>
    <w:bookmarkEnd w:id="9"/>
    <w:p>
      <w:pPr>
        <w:jc w:val="both"/>
        <w:ind w:right="39"/>
        <w:spacing w:after="0" w:line="233" w:lineRule="auto"/>
        <w:rPr>
          <w:sz w:val="20"/>
          <w:szCs w:val="20"/>
          <w:color w:val="auto"/>
        </w:rPr>
      </w:pPr>
      <w:r>
        <w:rPr>
          <w:rFonts w:ascii="Arial" w:cs="Arial" w:eastAsia="Arial" w:hAnsi="Arial"/>
          <w:sz w:val="13"/>
          <w:szCs w:val="13"/>
          <w:color w:val="auto"/>
        </w:rPr>
        <w:t>We may experience operational problems with our information systems as a result of system failures, system implementation issues, viruses, malicious hackers, sabotage, or other causes. We invest in security technology to protect the data stored by us, including our data and business processes, against the risk of data security breaches and cyber-attacks. Our data security management program includes enforcement of standard data protection policies such as Payment Card Industry compliance. Additionally, we evaluate our major technology suppliers and any outsourced services through accepted security assessment measures. We maintain and routinely test backup systems and disaster recovery, along with external network security penetration testing by an independent third party as part of our business continuity preparedness.</w:t>
      </w:r>
    </w:p>
    <w:p>
      <w:pPr>
        <w:spacing w:after="0" w:line="114" w:lineRule="exact"/>
        <w:rPr>
          <w:sz w:val="20"/>
          <w:szCs w:val="20"/>
          <w:color w:val="auto"/>
        </w:rPr>
      </w:pPr>
    </w:p>
    <w:p>
      <w:pPr>
        <w:jc w:val="both"/>
        <w:ind w:right="39"/>
        <w:spacing w:after="0" w:line="236" w:lineRule="auto"/>
        <w:rPr>
          <w:sz w:val="20"/>
          <w:szCs w:val="20"/>
          <w:color w:val="auto"/>
        </w:rPr>
      </w:pPr>
      <w:r>
        <w:rPr>
          <w:rFonts w:ascii="Arial" w:cs="Arial" w:eastAsia="Arial" w:hAnsi="Arial"/>
          <w:sz w:val="13"/>
          <w:szCs w:val="13"/>
          <w:color w:val="auto"/>
        </w:rPr>
        <w:t>While we believe that our security technology and processes follow appropriate practices in the prevention of security breaches and the mitigation of cybersecurity risks, given the ever-increasing abilities of those intent on breaching cybersecurity measures and given the necessity of our reliance on the security procedures of third-party vendors, the total security effort at any point in time may not be completely effective.</w:t>
      </w:r>
    </w:p>
    <w:p>
      <w:pPr>
        <w:spacing w:after="0" w:line="123" w:lineRule="exact"/>
        <w:rPr>
          <w:sz w:val="20"/>
          <w:szCs w:val="20"/>
          <w:color w:val="auto"/>
        </w:rPr>
      </w:pPr>
    </w:p>
    <w:p>
      <w:pPr>
        <w:jc w:val="both"/>
        <w:ind w:right="39"/>
        <w:spacing w:after="0" w:line="233" w:lineRule="auto"/>
        <w:rPr>
          <w:sz w:val="20"/>
          <w:szCs w:val="20"/>
          <w:color w:val="auto"/>
        </w:rPr>
      </w:pPr>
      <w:r>
        <w:rPr>
          <w:rFonts w:ascii="Arial" w:cs="Arial" w:eastAsia="Arial" w:hAnsi="Arial"/>
          <w:sz w:val="13"/>
          <w:szCs w:val="13"/>
          <w:color w:val="auto"/>
        </w:rPr>
        <w:t>Any security breaches and cyber incidents could adversely affect our business. Failure of our systems, either internally or at our third-party providers, including failures due to cyber-attacks that would prevent the ability of systems to function as intended, could cause transaction errors, loss of customers and sales, and negative consequences to us, our employees, and those with whom we do business. Any security breach involving the misappropriation, loss, or other unauthorized disclosure of confidential information by us could also severely damage our reputation, expose us to the risks of litigation and liability, increase operating costs associated with remediation, and harm our business. While we carry insurance that would mitigate the losses, insurance may be insufficient to compensate us fully for potentially significant losses.</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associated with digital operations.</w:t>
      </w:r>
    </w:p>
    <w:p>
      <w:pPr>
        <w:spacing w:after="0" w:line="133" w:lineRule="exact"/>
        <w:rPr>
          <w:sz w:val="20"/>
          <w:szCs w:val="20"/>
          <w:color w:val="auto"/>
        </w:rPr>
      </w:pPr>
    </w:p>
    <w:p>
      <w:pPr>
        <w:jc w:val="both"/>
        <w:ind w:right="39"/>
        <w:spacing w:after="0" w:line="234" w:lineRule="auto"/>
        <w:rPr>
          <w:sz w:val="20"/>
          <w:szCs w:val="20"/>
          <w:color w:val="auto"/>
        </w:rPr>
      </w:pPr>
      <w:r>
        <w:rPr>
          <w:rFonts w:ascii="Arial" w:cs="Arial" w:eastAsia="Arial" w:hAnsi="Arial"/>
          <w:sz w:val="13"/>
          <w:szCs w:val="13"/>
          <w:color w:val="auto"/>
        </w:rPr>
        <w:t>Our digital operations are subject to numerous risks, including risks related to the failure of the computer systems that operate our websites, mobile sites, and apps and their related support systems, computer viruses, cybersecurity risks, telecommunications failures, denial of service attacks, bot attacks, and similar disruptions. Also, to sustain, keep current, or grow our digital commerce business we will need to make additional investments. Risks related to digital commerce include those associated with credit card fraud, the need to keep pace with rapid technological change, governmental regulation, and legal uncertainties with respect to internet regulatory compliance. If any of these risks materialize, it could have a material adverse effect on our business.</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Privacy and data security concerns and regulation could result in additional costs and liabilities.</w:t>
      </w:r>
    </w:p>
    <w:p>
      <w:pPr>
        <w:spacing w:after="0" w:line="143" w:lineRule="exact"/>
        <w:rPr>
          <w:sz w:val="20"/>
          <w:szCs w:val="20"/>
          <w:color w:val="auto"/>
        </w:rPr>
      </w:pPr>
    </w:p>
    <w:p>
      <w:pPr>
        <w:jc w:val="both"/>
        <w:ind w:right="39"/>
        <w:spacing w:after="0" w:line="234" w:lineRule="auto"/>
        <w:rPr>
          <w:sz w:val="20"/>
          <w:szCs w:val="20"/>
          <w:color w:val="auto"/>
        </w:rPr>
      </w:pPr>
      <w:r>
        <w:rPr>
          <w:rFonts w:ascii="Arial" w:cs="Arial" w:eastAsia="Arial" w:hAnsi="Arial"/>
          <w:sz w:val="13"/>
          <w:szCs w:val="13"/>
          <w:color w:val="auto"/>
        </w:rPr>
        <w:t>The protection of customer, employee, and Company data is critical. The regulatory environment surrounding information security and privacy is demanding, with the frequent imposition of new and changing requirements. In addition, customers appear increasingly to have a high expectation that we will adequately protect their personal information. Any actual or perceived misappropriation or breach involving this data could attract negative media attention, cause harm to our reputation or result in liability (including but not limited to fines, penalties or lawsuits), any of which could have a material adverse effect on our business, operational results, financial position, and cash flows.</w:t>
      </w:r>
    </w:p>
    <w:p>
      <w:pPr>
        <w:spacing w:after="0" w:line="112" w:lineRule="exact"/>
        <w:rPr>
          <w:sz w:val="20"/>
          <w:szCs w:val="20"/>
          <w:color w:val="auto"/>
        </w:rPr>
      </w:pPr>
    </w:p>
    <w:p>
      <w:pPr>
        <w:jc w:val="both"/>
        <w:ind w:right="39"/>
        <w:spacing w:after="0" w:line="232" w:lineRule="auto"/>
        <w:rPr>
          <w:sz w:val="20"/>
          <w:szCs w:val="20"/>
          <w:color w:val="auto"/>
        </w:rPr>
      </w:pPr>
      <w:r>
        <w:rPr>
          <w:rFonts w:ascii="Arial" w:cs="Arial" w:eastAsia="Arial" w:hAnsi="Arial"/>
          <w:sz w:val="13"/>
          <w:szCs w:val="13"/>
          <w:color w:val="auto"/>
        </w:rPr>
        <w:t>The European Union (“E.U.”) adopted a comprehensive General Data Privacy Regulation (the “GDPR”), which requires companies to satisfy new requirements regarding the handling of personal and sensitive data, including its use, protection, and the ability of persons whose data is stored to correct or delete data about themselves. Failure to comply with GDPR requirements could result in penalties of up to 4 percent of worldwide revenue. In addition, the State of California adopted the California Consumer Protection Act of 2018 ("CCPA"). The CCPA requires companies that process information on California residents to make new disclosures to consumers about their data collection, use and sharing practices, allows consumers to opt out of certain data sharing with third parties, and provides a new cause of action for data breaches. It remains unclear how the CCPA will be interpreted and the extent of its effect on our business. Some observers have noted that the CCPA could mark the beginning of a trend toward more stringent privacy legislation in the United States, which could increase our potential liability and adversely affect our business.</w:t>
      </w:r>
    </w:p>
    <w:p>
      <w:pPr>
        <w:spacing w:after="0" w:line="126" w:lineRule="exact"/>
        <w:rPr>
          <w:sz w:val="20"/>
          <w:szCs w:val="20"/>
          <w:color w:val="auto"/>
        </w:rPr>
      </w:pPr>
    </w:p>
    <w:p>
      <w:pPr>
        <w:jc w:val="both"/>
        <w:ind w:right="39"/>
        <w:spacing w:after="0" w:line="234" w:lineRule="auto"/>
        <w:rPr>
          <w:sz w:val="20"/>
          <w:szCs w:val="20"/>
          <w:color w:val="auto"/>
        </w:rPr>
      </w:pPr>
      <w:r>
        <w:rPr>
          <w:rFonts w:ascii="Arial" w:cs="Arial" w:eastAsia="Arial" w:hAnsi="Arial"/>
          <w:sz w:val="13"/>
          <w:szCs w:val="13"/>
          <w:color w:val="auto"/>
        </w:rPr>
        <w:t>GDPR, CCPA and other similar laws and regulations, as well as any associated inquiries or investigations or any other government actions, may be costly to comply with, result in negative publicity, increase our operating costs, require significant management time and attention, and subject us to remedies that may harm our business, including fines or demands or orders that we modify or cease existing business practices. The laws and regulations relating to privacy and data security are evolving, can be subject to significant change and may result in ever-increasing regulatory and public scrutiny and escalating levels of enforcement and sanctions.</w:t>
      </w:r>
    </w:p>
    <w:p>
      <w:pPr>
        <w:spacing w:after="0" w:line="123" w:lineRule="exact"/>
        <w:rPr>
          <w:sz w:val="20"/>
          <w:szCs w:val="20"/>
          <w:color w:val="auto"/>
        </w:rPr>
      </w:pPr>
    </w:p>
    <w:p>
      <w:pPr>
        <w:ind w:left="7740"/>
        <w:spacing w:after="0"/>
        <w:rPr>
          <w:sz w:val="20"/>
          <w:szCs w:val="20"/>
          <w:color w:val="auto"/>
        </w:rPr>
      </w:pPr>
      <w:r>
        <w:rPr>
          <w:rFonts w:ascii="Arial" w:cs="Arial" w:eastAsia="Arial" w:hAnsi="Arial"/>
          <w:sz w:val="12"/>
          <w:szCs w:val="12"/>
          <w:color w:val="auto"/>
        </w:rPr>
        <w:t>2020 Form 10-K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365125</wp:posOffset>
            </wp:positionV>
            <wp:extent cx="5790565" cy="13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90565" cy="13335"/>
                    </a:xfrm>
                    <a:prstGeom prst="rect">
                      <a:avLst/>
                    </a:prstGeom>
                    <a:noFill/>
                  </pic:spPr>
                </pic:pic>
              </a:graphicData>
            </a:graphic>
          </wp:anchor>
        </w:drawing>
      </w:r>
    </w:p>
    <w:p>
      <w:pPr>
        <w:sectPr>
          <w:pgSz w:w="11900" w:h="16838" w:orient="portrait"/>
          <w:cols w:equalWidth="0" w:num="1">
            <w:col w:w="9159"/>
          </w:cols>
          <w:pgMar w:left="1300" w:top="678" w:right="1440" w:bottom="1440" w:gutter="0" w:footer="0" w:header="0"/>
        </w:sectPr>
      </w:pPr>
    </w:p>
    <w:bookmarkStart w:id="10" w:name="page11"/>
    <w:bookmarkEnd w:id="10"/>
    <w:p>
      <w:pPr>
        <w:spacing w:after="0"/>
        <w:rPr>
          <w:sz w:val="20"/>
          <w:szCs w:val="20"/>
          <w:color w:val="auto"/>
        </w:rPr>
      </w:pPr>
      <w:r>
        <w:rPr>
          <w:rFonts w:ascii="Arial" w:cs="Arial" w:eastAsia="Arial" w:hAnsi="Arial"/>
          <w:sz w:val="13"/>
          <w:szCs w:val="13"/>
          <w:b w:val="1"/>
          <w:bCs w:val="1"/>
          <w:color w:val="auto"/>
        </w:rPr>
        <w:t>The technology enablement of omni-channel in our business is complex.</w:t>
      </w:r>
    </w:p>
    <w:p>
      <w:pPr>
        <w:spacing w:after="0" w:line="133" w:lineRule="exact"/>
        <w:rPr>
          <w:sz w:val="20"/>
          <w:szCs w:val="20"/>
          <w:color w:val="auto"/>
        </w:rPr>
      </w:pPr>
    </w:p>
    <w:p>
      <w:pPr>
        <w:jc w:val="both"/>
        <w:ind w:right="39"/>
        <w:spacing w:after="0" w:line="233" w:lineRule="auto"/>
        <w:rPr>
          <w:sz w:val="20"/>
          <w:szCs w:val="20"/>
          <w:color w:val="auto"/>
        </w:rPr>
      </w:pPr>
      <w:r>
        <w:rPr>
          <w:rFonts w:ascii="Arial" w:cs="Arial" w:eastAsia="Arial" w:hAnsi="Arial"/>
          <w:sz w:val="13"/>
          <w:szCs w:val="13"/>
          <w:color w:val="auto"/>
        </w:rPr>
        <w:t>We continue to invest in initiatives designed to deliver a high-quality, coordinated shopping experience online, in stores, and on mobile devices, which requires substantial investment in technology, information systems, and employee training, as well as significant management time and resources. Our omni-channel retailing efforts include the integration and implementation of new technology, software, and processes to be able to fulfill orders from any point within our system of stores and distribution centers, which is extremely complex and may not meet customer expectations for timely and accurate deliveries. These efforts involve substantial risk, including risk of implementation delays, cost overruns, technology interruptions, supply and distribution delays, and other issues that can affect the successful implementation and operation of our omni-channel initiatives. If our omni-channel initiatives are not successful, or we do not realize the return on our omni-channel investments that we anticipate, our financial performance and future growth could be materially adversely affected.</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Risks Related to our Operations and Supply Chain</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Complications in our distribution centers and other factors affecting the distribution of merchandise may affect our business.</w:t>
      </w:r>
    </w:p>
    <w:p>
      <w:pPr>
        <w:spacing w:after="0" w:line="133" w:lineRule="exact"/>
        <w:rPr>
          <w:sz w:val="20"/>
          <w:szCs w:val="20"/>
          <w:color w:val="auto"/>
        </w:rPr>
      </w:pPr>
    </w:p>
    <w:p>
      <w:pPr>
        <w:jc w:val="both"/>
        <w:ind w:right="39"/>
        <w:spacing w:after="0" w:line="233" w:lineRule="auto"/>
        <w:rPr>
          <w:sz w:val="20"/>
          <w:szCs w:val="20"/>
          <w:color w:val="auto"/>
        </w:rPr>
      </w:pPr>
      <w:r>
        <w:rPr>
          <w:rFonts w:ascii="Arial" w:cs="Arial" w:eastAsia="Arial" w:hAnsi="Arial"/>
          <w:sz w:val="13"/>
          <w:szCs w:val="13"/>
          <w:color w:val="auto"/>
        </w:rPr>
        <w:t>We operate multiple distribution centers worldwide to support our businesses. In addition to the distribution centers that we operate, we have third-party arrangements to support our operations in the United States, Canada, England, Australia, and New Zealand. If complications arise with any facility or third-party arrangements, or if any facility is severely damaged or destroyed, our other distribution centers may be unable to support the resulting additional distribution demands. We also may be affected by disruptions in the global transportation network caused by events including delays caused by the COVID-19 pandemic, port disruption, port strikes, weather conditions, work stoppages, or other labor unrest. These factors may adversely affect our ability to deliver inventory on a timely basis. We depend upon third-party carriers for shipment of merchandise. Any interruption in service by these carriers for any reason could cause disruptions in our business, a loss of sales and profits, and other material adverse effects.</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Manufacturer compliance with our social compliance program requirements.</w:t>
      </w:r>
    </w:p>
    <w:p>
      <w:pPr>
        <w:spacing w:after="0" w:line="143" w:lineRule="exact"/>
        <w:rPr>
          <w:sz w:val="20"/>
          <w:szCs w:val="20"/>
          <w:color w:val="auto"/>
        </w:rPr>
      </w:pPr>
    </w:p>
    <w:p>
      <w:pPr>
        <w:jc w:val="both"/>
        <w:ind w:right="39"/>
        <w:spacing w:after="0" w:line="234" w:lineRule="auto"/>
        <w:rPr>
          <w:sz w:val="20"/>
          <w:szCs w:val="20"/>
          <w:color w:val="auto"/>
        </w:rPr>
      </w:pPr>
      <w:r>
        <w:rPr>
          <w:rFonts w:ascii="Arial" w:cs="Arial" w:eastAsia="Arial" w:hAnsi="Arial"/>
          <w:sz w:val="13"/>
          <w:szCs w:val="13"/>
          <w:color w:val="auto"/>
        </w:rPr>
        <w:t>We require our independent manufacturers to comply with our policies and procedures, which cover many areas including human rights policy, labor, health and safety, and environmental standards. We monitor compliance with our policies and procedures using internal resources, as well as third-party monitoring firms. Although we monitor their compliance with these policies and procedures, we do not control the manufacturers or their practices. Any failure of our independent manufacturers to comply with our policies and procedures or local laws in the country of manufacture could disrupt the shipment of merchandise to us, force us to locate alternate manufacturing sources, reduce demand for our merchandise, or damage our reputation.</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reliance on key management.</w:t>
      </w:r>
    </w:p>
    <w:p>
      <w:pPr>
        <w:spacing w:after="0" w:line="133" w:lineRule="exact"/>
        <w:rPr>
          <w:sz w:val="20"/>
          <w:szCs w:val="20"/>
          <w:color w:val="auto"/>
        </w:rPr>
      </w:pPr>
    </w:p>
    <w:p>
      <w:pPr>
        <w:jc w:val="both"/>
        <w:ind w:right="39"/>
        <w:spacing w:after="0" w:line="233" w:lineRule="auto"/>
        <w:rPr>
          <w:sz w:val="20"/>
          <w:szCs w:val="20"/>
          <w:color w:val="auto"/>
        </w:rPr>
      </w:pPr>
      <w:r>
        <w:rPr>
          <w:rFonts w:ascii="Arial" w:cs="Arial" w:eastAsia="Arial" w:hAnsi="Arial"/>
          <w:sz w:val="13"/>
          <w:szCs w:val="13"/>
          <w:color w:val="auto"/>
        </w:rPr>
        <w:t>Future performance will depend upon our ability to attract, retain, and motivate our executive and senior management teams. Our executive and senior management teams have substantial experience and expertise in our business and have made significant contributions to our success. Our future performance depends, to a significant extent, both upon the continued services of our current executive and senior management teams, as well as our ability to attract, hire, motivate, and retain additional qualified management in the future. While we believe that we have adequate succession planning and executive development programs, competition for key executives in the retail industry is intense, and our operations could be adversely affected if we cannot retain and attract qualified executives.</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Risks associated with attracting and retaining store and field team members.</w:t>
      </w:r>
    </w:p>
    <w:p>
      <w:pPr>
        <w:spacing w:after="0" w:line="143" w:lineRule="exact"/>
        <w:rPr>
          <w:sz w:val="20"/>
          <w:szCs w:val="20"/>
          <w:color w:val="auto"/>
        </w:rPr>
      </w:pPr>
    </w:p>
    <w:p>
      <w:pPr>
        <w:jc w:val="both"/>
        <w:ind w:right="39"/>
        <w:spacing w:after="0" w:line="235" w:lineRule="auto"/>
        <w:rPr>
          <w:sz w:val="20"/>
          <w:szCs w:val="20"/>
          <w:color w:val="auto"/>
        </w:rPr>
      </w:pPr>
      <w:r>
        <w:rPr>
          <w:rFonts w:ascii="Arial" w:cs="Arial" w:eastAsia="Arial" w:hAnsi="Arial"/>
          <w:sz w:val="13"/>
          <w:szCs w:val="13"/>
          <w:color w:val="auto"/>
        </w:rPr>
        <w:t>Our success depends, in part, upon our ability to attract, develop, and retain a sufficient number of qualified store and field team members. The turnover rate in the retail industry is generally high. If we are unable to attract and retain quality team members, our ability to meet our growth goals or to sustain expected levels of profitability may be compromised. Our ability to meet our labor needs while controlling costs is subject to external factors such as unemployment levels, prevailing wage rates, minimum wage legislation, and overtime regulations.</w:t>
      </w:r>
    </w:p>
    <w:p>
      <w:pPr>
        <w:spacing w:after="0" w:line="153" w:lineRule="exact"/>
        <w:rPr>
          <w:sz w:val="20"/>
          <w:szCs w:val="20"/>
          <w:color w:val="auto"/>
        </w:rPr>
      </w:pPr>
    </w:p>
    <w:p>
      <w:pPr>
        <w:ind w:left="7740"/>
        <w:spacing w:after="0"/>
        <w:rPr>
          <w:sz w:val="20"/>
          <w:szCs w:val="20"/>
          <w:color w:val="auto"/>
        </w:rPr>
      </w:pPr>
      <w:r>
        <w:rPr>
          <w:rFonts w:ascii="Arial" w:cs="Arial" w:eastAsia="Arial" w:hAnsi="Arial"/>
          <w:sz w:val="12"/>
          <w:szCs w:val="12"/>
          <w:color w:val="auto"/>
        </w:rPr>
        <w:t>2020 Form 10-K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365125</wp:posOffset>
            </wp:positionV>
            <wp:extent cx="5790565" cy="13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0565" cy="13335"/>
                    </a:xfrm>
                    <a:prstGeom prst="rect">
                      <a:avLst/>
                    </a:prstGeom>
                    <a:noFill/>
                  </pic:spPr>
                </pic:pic>
              </a:graphicData>
            </a:graphic>
          </wp:anchor>
        </w:drawing>
      </w:r>
    </w:p>
    <w:p>
      <w:pPr>
        <w:sectPr>
          <w:pgSz w:w="11900" w:h="16838" w:orient="portrait"/>
          <w:cols w:equalWidth="0" w:num="1">
            <w:col w:w="9159"/>
          </w:cols>
          <w:pgMar w:left="1300" w:top="662" w:right="1440" w:bottom="1440" w:gutter="0" w:footer="0" w:header="0"/>
        </w:sectPr>
      </w:pPr>
    </w:p>
    <w:bookmarkStart w:id="11" w:name="page12"/>
    <w:bookmarkEnd w:id="11"/>
    <w:p>
      <w:pPr>
        <w:spacing w:after="0"/>
        <w:rPr>
          <w:sz w:val="20"/>
          <w:szCs w:val="20"/>
          <w:color w:val="auto"/>
        </w:rPr>
      </w:pPr>
      <w:r>
        <w:rPr>
          <w:rFonts w:ascii="Arial" w:cs="Arial" w:eastAsia="Arial" w:hAnsi="Arial"/>
          <w:sz w:val="13"/>
          <w:szCs w:val="13"/>
          <w:b w:val="1"/>
          <w:bCs w:val="1"/>
          <w:u w:val="single" w:color="auto"/>
          <w:color w:val="auto"/>
        </w:rPr>
        <w:t>Risks Related to our Investments</w:t>
      </w:r>
    </w:p>
    <w:p>
      <w:pPr>
        <w:spacing w:after="0" w:line="117" w:lineRule="exact"/>
        <w:rPr>
          <w:sz w:val="20"/>
          <w:szCs w:val="20"/>
          <w:color w:val="auto"/>
        </w:rPr>
      </w:pPr>
    </w:p>
    <w:p>
      <w:pPr>
        <w:jc w:val="both"/>
        <w:ind w:right="39"/>
        <w:spacing w:after="0" w:line="265" w:lineRule="auto"/>
        <w:rPr>
          <w:sz w:val="20"/>
          <w:szCs w:val="20"/>
          <w:color w:val="auto"/>
        </w:rPr>
      </w:pPr>
      <w:r>
        <w:rPr>
          <w:rFonts w:ascii="Arial" w:cs="Arial" w:eastAsia="Arial" w:hAnsi="Arial"/>
          <w:sz w:val="13"/>
          <w:szCs w:val="13"/>
          <w:b w:val="1"/>
          <w:bCs w:val="1"/>
          <w:color w:val="auto"/>
        </w:rPr>
        <w:t>If our long-lived tangible assets and operating lease right-of-use assets, or goodwill become impaired, we may need to record significant non-cash impairment charges.</w:t>
      </w:r>
    </w:p>
    <w:p>
      <w:pPr>
        <w:spacing w:after="0" w:line="106" w:lineRule="exact"/>
        <w:rPr>
          <w:sz w:val="20"/>
          <w:szCs w:val="20"/>
          <w:color w:val="auto"/>
        </w:rPr>
      </w:pPr>
    </w:p>
    <w:p>
      <w:pPr>
        <w:jc w:val="both"/>
        <w:ind w:right="39"/>
        <w:spacing w:after="0" w:line="232" w:lineRule="auto"/>
        <w:rPr>
          <w:sz w:val="20"/>
          <w:szCs w:val="20"/>
          <w:color w:val="auto"/>
        </w:rPr>
      </w:pPr>
      <w:r>
        <w:rPr>
          <w:rFonts w:ascii="Arial" w:cs="Arial" w:eastAsia="Arial" w:hAnsi="Arial"/>
          <w:sz w:val="13"/>
          <w:szCs w:val="13"/>
          <w:color w:val="auto"/>
        </w:rPr>
        <w:t>We review our long-lived tangible assets and operating lease right-of-use assets, and goodwill when events indicate that the carrying value of such assets may be impaired. Goodwill is reviewed for impairment if impairment indicators arise and, at a minimum, annually. Goodwill is not amortized but is subject to an impairment test, which consists of either a qualitative assessment on a reporting unit level, or a quantitative impairment test, if necessary. The determination of impairment charges is significantly affected by estimates of future operating cash flows and estimates of fair value. Our estimates of future operating cash flows are identified from our long-range strategic plans, which are based upon our experience, knowledge, and expectations; however, these estimates can be affected by factors such as our future operating results, future store profitability, and future economic conditions, all of which are difficult to predict accurately. Any significant deterioration in macroeconomic conditions could affect the fair value of our long-lived assets, including our operating lease right-of-use assets, and goodwill and could result in future impairment charges, which would adversely affect our results of operations.</w:t>
      </w:r>
    </w:p>
    <w:p>
      <w:pPr>
        <w:spacing w:after="0" w:line="110" w:lineRule="exact"/>
        <w:rPr>
          <w:sz w:val="20"/>
          <w:szCs w:val="20"/>
          <w:color w:val="auto"/>
        </w:rPr>
      </w:pPr>
    </w:p>
    <w:p>
      <w:pPr>
        <w:jc w:val="both"/>
        <w:ind w:right="39"/>
        <w:spacing w:after="0" w:line="265" w:lineRule="auto"/>
        <w:rPr>
          <w:sz w:val="20"/>
          <w:szCs w:val="20"/>
          <w:color w:val="auto"/>
        </w:rPr>
      </w:pPr>
      <w:r>
        <w:rPr>
          <w:rFonts w:ascii="Arial" w:cs="Arial" w:eastAsia="Arial" w:hAnsi="Arial"/>
          <w:sz w:val="13"/>
          <w:szCs w:val="13"/>
          <w:b w:val="1"/>
          <w:bCs w:val="1"/>
          <w:color w:val="auto"/>
        </w:rPr>
        <w:t>We do not have the ability to exert control over our minority investments, and therefore, we are dependent on others in order to realize their potential benefits.</w:t>
      </w:r>
    </w:p>
    <w:p>
      <w:pPr>
        <w:spacing w:after="0" w:line="96" w:lineRule="exact"/>
        <w:rPr>
          <w:sz w:val="20"/>
          <w:szCs w:val="20"/>
          <w:color w:val="auto"/>
        </w:rPr>
      </w:pPr>
    </w:p>
    <w:p>
      <w:pPr>
        <w:jc w:val="both"/>
        <w:ind w:right="39"/>
        <w:spacing w:after="0" w:line="234" w:lineRule="auto"/>
        <w:rPr>
          <w:sz w:val="20"/>
          <w:szCs w:val="20"/>
          <w:color w:val="auto"/>
        </w:rPr>
      </w:pPr>
      <w:r>
        <w:rPr>
          <w:rFonts w:ascii="Arial" w:cs="Arial" w:eastAsia="Arial" w:hAnsi="Arial"/>
          <w:sz w:val="13"/>
          <w:szCs w:val="13"/>
          <w:color w:val="auto"/>
        </w:rPr>
        <w:t>We currently hold $337 million of non-controlling minority investments in various entities and we may make additional strategic minority investments in the future. Such minority investments inherently involve a lesser degree of control over business operations, thereby potentially increasing the financial, legal, operational, and compliance risks associated with the investments. Other investors in these entities may have business goals and interests that are not aligned with ours or may exercise their rights in a manner in which we do not approve. These circumstances could lead to delayed decisions or disputes and litigation with those other investors, all of which could have a material adverse impact on our reputation, business, financial condition, and results of operations.</w:t>
      </w:r>
    </w:p>
    <w:p>
      <w:pPr>
        <w:spacing w:after="0" w:line="123" w:lineRule="exact"/>
        <w:rPr>
          <w:sz w:val="20"/>
          <w:szCs w:val="20"/>
          <w:color w:val="auto"/>
        </w:rPr>
      </w:pPr>
    </w:p>
    <w:p>
      <w:pPr>
        <w:jc w:val="both"/>
        <w:ind w:right="39"/>
        <w:spacing w:after="0" w:line="234" w:lineRule="auto"/>
        <w:rPr>
          <w:sz w:val="20"/>
          <w:szCs w:val="20"/>
          <w:color w:val="auto"/>
        </w:rPr>
      </w:pPr>
      <w:r>
        <w:rPr>
          <w:rFonts w:ascii="Arial" w:cs="Arial" w:eastAsia="Arial" w:hAnsi="Arial"/>
          <w:sz w:val="13"/>
          <w:szCs w:val="13"/>
          <w:color w:val="auto"/>
        </w:rPr>
        <w:t>If our investees seek additional financing to fund their growth strategies, these financing transactions may result in further dilution of our ownership stakes and these transactions may occur at lower valuations than the investment transactions through which we acquired such interests, which could significantly decrease the fair values of our investments in those entities. Additionally, if our investees are unable to obtain additional financing, those entities could need to significantly reduce their spending in order to fund their operations or result in their insolvency. These actions likely would result in reduced growth forecasts, which also could significantly decrease the fair values of our investments in those entities.</w:t>
      </w:r>
    </w:p>
    <w:p>
      <w:pPr>
        <w:spacing w:after="0" w:line="107" w:lineRule="exact"/>
        <w:rPr>
          <w:sz w:val="20"/>
          <w:szCs w:val="20"/>
          <w:color w:val="auto"/>
        </w:rPr>
      </w:pPr>
    </w:p>
    <w:p>
      <w:pPr>
        <w:ind w:right="3579"/>
        <w:spacing w:after="0" w:line="449" w:lineRule="auto"/>
        <w:rPr>
          <w:sz w:val="20"/>
          <w:szCs w:val="20"/>
          <w:color w:val="auto"/>
        </w:rPr>
      </w:pPr>
      <w:r>
        <w:rPr>
          <w:rFonts w:ascii="Arial" w:cs="Arial" w:eastAsia="Arial" w:hAnsi="Arial"/>
          <w:sz w:val="13"/>
          <w:szCs w:val="13"/>
          <w:b w:val="1"/>
          <w:bCs w:val="1"/>
          <w:u w:val="single" w:color="auto"/>
          <w:color w:val="auto"/>
        </w:rPr>
        <w:t xml:space="preserve">Risks Related to Shareholder Activism, Geopolitics, Regulations, and Other External Risks </w:t>
      </w:r>
      <w:r>
        <w:rPr>
          <w:rFonts w:ascii="Arial" w:cs="Arial" w:eastAsia="Arial" w:hAnsi="Arial"/>
          <w:sz w:val="13"/>
          <w:szCs w:val="13"/>
          <w:b w:val="1"/>
          <w:bCs w:val="1"/>
          <w:color w:val="auto"/>
        </w:rPr>
        <w:t>We may face risks associated with shareholder activism.</w:t>
      </w:r>
    </w:p>
    <w:p>
      <w:pPr>
        <w:jc w:val="both"/>
        <w:ind w:right="39"/>
        <w:spacing w:after="0" w:line="235" w:lineRule="auto"/>
        <w:rPr>
          <w:sz w:val="20"/>
          <w:szCs w:val="20"/>
          <w:color w:val="auto"/>
        </w:rPr>
      </w:pPr>
      <w:r>
        <w:rPr>
          <w:rFonts w:ascii="Arial" w:cs="Arial" w:eastAsia="Arial" w:hAnsi="Arial"/>
          <w:sz w:val="13"/>
          <w:szCs w:val="13"/>
          <w:color w:val="auto"/>
        </w:rPr>
        <w:t>Publicly traded companies are subject to campaigns by shareholders advocating corporate actions related to matters such as corporate governance, operational practices, and strategic direction. We may become subject in the future to such shareholder activity and demands. Such activities could interfere with our ability to execute our business plans, be costly and time-consuming, disrupt our operations, and divert the attention of management, any of which could have an adverse effect on our business or stock price.</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shareholder rights plan could impede or discourage a takeover or change of control.</w:t>
      </w:r>
    </w:p>
    <w:p>
      <w:pPr>
        <w:spacing w:after="0" w:line="133" w:lineRule="exact"/>
        <w:rPr>
          <w:sz w:val="20"/>
          <w:szCs w:val="20"/>
          <w:color w:val="auto"/>
        </w:rPr>
      </w:pPr>
    </w:p>
    <w:p>
      <w:pPr>
        <w:jc w:val="both"/>
        <w:ind w:right="39"/>
        <w:spacing w:after="0" w:line="233" w:lineRule="auto"/>
        <w:rPr>
          <w:sz w:val="20"/>
          <w:szCs w:val="20"/>
          <w:color w:val="auto"/>
        </w:rPr>
      </w:pPr>
      <w:r>
        <w:rPr>
          <w:rFonts w:ascii="Arial" w:cs="Arial" w:eastAsia="Arial" w:hAnsi="Arial"/>
          <w:sz w:val="13"/>
          <w:szCs w:val="13"/>
          <w:color w:val="auto"/>
        </w:rPr>
        <w:t>In December 2020, our Board of Directors adopted a short-term rights plan. The rights plan is intended to protect the interests of all the Company’s shareholders by reducing the likelihood that any person would gain control of the Company through open market accumulation or other tactics without appropriately compensating the Company's shareholders for such control. The rights plan is not intended to prevent or deter any action or offer that the Board of Directors determines to be in the best interests of shareholders. However, the overall effect of the rights plan may render it more difficult or discourage a merger, tender offer or other business combination involving the Company that may be considered beneficial by some shareholders but is not supported by our Board of Directors.</w:t>
      </w:r>
    </w:p>
    <w:p>
      <w:pPr>
        <w:spacing w:after="0" w:line="200" w:lineRule="exact"/>
        <w:rPr>
          <w:sz w:val="20"/>
          <w:szCs w:val="20"/>
          <w:color w:val="auto"/>
        </w:rPr>
      </w:pPr>
    </w:p>
    <w:p>
      <w:pPr>
        <w:spacing w:after="0" w:line="201" w:lineRule="exact"/>
        <w:rPr>
          <w:sz w:val="20"/>
          <w:szCs w:val="20"/>
          <w:color w:val="auto"/>
        </w:rPr>
      </w:pPr>
    </w:p>
    <w:p>
      <w:pPr>
        <w:ind w:left="7740"/>
        <w:spacing w:after="0"/>
        <w:rPr>
          <w:sz w:val="20"/>
          <w:szCs w:val="20"/>
          <w:color w:val="auto"/>
        </w:rPr>
      </w:pPr>
      <w:r>
        <w:rPr>
          <w:rFonts w:ascii="Arial" w:cs="Arial" w:eastAsia="Arial" w:hAnsi="Arial"/>
          <w:sz w:val="12"/>
          <w:szCs w:val="12"/>
          <w:color w:val="auto"/>
        </w:rPr>
        <w:t>2020 Form 10-K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365125</wp:posOffset>
            </wp:positionV>
            <wp:extent cx="5790565" cy="13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90565" cy="13335"/>
                    </a:xfrm>
                    <a:prstGeom prst="rect">
                      <a:avLst/>
                    </a:prstGeom>
                    <a:noFill/>
                  </pic:spPr>
                </pic:pic>
              </a:graphicData>
            </a:graphic>
          </wp:anchor>
        </w:drawing>
      </w:r>
    </w:p>
    <w:p>
      <w:pPr>
        <w:sectPr>
          <w:pgSz w:w="11900" w:h="16838" w:orient="portrait"/>
          <w:cols w:equalWidth="0" w:num="1">
            <w:col w:w="9159"/>
          </w:cols>
          <w:pgMar w:left="1300" w:top="663" w:right="1440" w:bottom="1440" w:gutter="0" w:footer="0" w:header="0"/>
        </w:sectPr>
      </w:pPr>
    </w:p>
    <w:bookmarkStart w:id="12" w:name="page13"/>
    <w:bookmarkEnd w:id="12"/>
    <w:p>
      <w:pPr>
        <w:jc w:val="both"/>
        <w:ind w:right="39"/>
        <w:spacing w:after="0" w:line="265" w:lineRule="auto"/>
        <w:rPr>
          <w:sz w:val="20"/>
          <w:szCs w:val="20"/>
          <w:color w:val="auto"/>
        </w:rPr>
      </w:pPr>
      <w:r>
        <w:rPr>
          <w:rFonts w:ascii="Arial" w:cs="Arial" w:eastAsia="Arial" w:hAnsi="Arial"/>
          <w:sz w:val="13"/>
          <w:szCs w:val="13"/>
          <w:b w:val="1"/>
          <w:bCs w:val="1"/>
          <w:color w:val="auto"/>
        </w:rPr>
        <w:t>Economic or political conditions in other countries, including fluctuations in foreign currency exchange rates and tax rates may adversely affect our operations.</w:t>
      </w:r>
    </w:p>
    <w:p>
      <w:pPr>
        <w:spacing w:after="0" w:line="96" w:lineRule="exact"/>
        <w:rPr>
          <w:sz w:val="20"/>
          <w:szCs w:val="20"/>
          <w:color w:val="auto"/>
        </w:rPr>
      </w:pPr>
    </w:p>
    <w:p>
      <w:pPr>
        <w:jc w:val="both"/>
        <w:ind w:right="39"/>
        <w:spacing w:after="0" w:line="233" w:lineRule="auto"/>
        <w:rPr>
          <w:sz w:val="20"/>
          <w:szCs w:val="20"/>
          <w:color w:val="auto"/>
        </w:rPr>
      </w:pPr>
      <w:r>
        <w:rPr>
          <w:rFonts w:ascii="Arial" w:cs="Arial" w:eastAsia="Arial" w:hAnsi="Arial"/>
          <w:sz w:val="13"/>
          <w:szCs w:val="13"/>
          <w:color w:val="auto"/>
        </w:rPr>
        <w:t>A significant portion of our sales and operating income for 2020 was attributable to our operations outside of the United States. As a result, our business is subject to the risks associated with doing business outside of the United States such as local customer product preferences, political unrest, disruptions or delays in shipments, changes in economic conditions in countries in which we operate, foreign currency fluctuations, real estate costs, and labor and employment practices in non-U.S. jurisdictions that may differ significantly from those that prevail in the United States. In addition, because our suppliers manufacture a substantial amount of our products in foreign countries, our ability to obtain sufficient quantities of merchandise on favorable terms may be affected by governmental regulations, trade restrictions, labor, and other conditions in the countries from which our suppliers obtain their product.</w:t>
      </w:r>
    </w:p>
    <w:p>
      <w:pPr>
        <w:spacing w:after="0" w:line="124" w:lineRule="exact"/>
        <w:rPr>
          <w:sz w:val="20"/>
          <w:szCs w:val="20"/>
          <w:color w:val="auto"/>
        </w:rPr>
      </w:pPr>
    </w:p>
    <w:p>
      <w:pPr>
        <w:jc w:val="both"/>
        <w:ind w:right="39"/>
        <w:spacing w:after="0"/>
        <w:rPr>
          <w:sz w:val="20"/>
          <w:szCs w:val="20"/>
          <w:color w:val="auto"/>
        </w:rPr>
      </w:pPr>
      <w:r>
        <w:rPr>
          <w:rFonts w:ascii="Arial" w:cs="Arial" w:eastAsia="Arial" w:hAnsi="Arial"/>
          <w:sz w:val="13"/>
          <w:szCs w:val="13"/>
          <w:color w:val="auto"/>
        </w:rPr>
        <w:t>Fluctuations in the value of the euro and the British Pound may affect the value of our European earnings when translated into U.S. dollars. Similarly, our earnings in other jurisdictions may be affected by the value of currencies when translated into U.S. dollars.</w:t>
      </w:r>
    </w:p>
    <w:p>
      <w:pPr>
        <w:spacing w:after="0" w:line="122" w:lineRule="exact"/>
        <w:rPr>
          <w:sz w:val="20"/>
          <w:szCs w:val="20"/>
          <w:color w:val="auto"/>
        </w:rPr>
      </w:pPr>
    </w:p>
    <w:p>
      <w:pPr>
        <w:jc w:val="both"/>
        <w:ind w:right="59"/>
        <w:spacing w:after="0"/>
        <w:rPr>
          <w:sz w:val="20"/>
          <w:szCs w:val="20"/>
          <w:color w:val="auto"/>
        </w:rPr>
      </w:pPr>
      <w:r>
        <w:rPr>
          <w:rFonts w:ascii="Arial" w:cs="Arial" w:eastAsia="Arial" w:hAnsi="Arial"/>
          <w:sz w:val="13"/>
          <w:szCs w:val="13"/>
          <w:color w:val="auto"/>
        </w:rPr>
        <w:t>Except for our business in the United Kingdom (the “U.K.”), our international subsidiaries conduct most of their business in their local currency. Inventory purchases for our U.K. business are generally denominated in euros, which could result in foreign currency transaction gains or losses.</w:t>
      </w:r>
    </w:p>
    <w:p>
      <w:pPr>
        <w:spacing w:after="0" w:line="111" w:lineRule="exact"/>
        <w:rPr>
          <w:sz w:val="20"/>
          <w:szCs w:val="20"/>
          <w:color w:val="auto"/>
        </w:rPr>
      </w:pPr>
    </w:p>
    <w:p>
      <w:pPr>
        <w:jc w:val="both"/>
        <w:ind w:right="39"/>
        <w:spacing w:after="0"/>
        <w:rPr>
          <w:sz w:val="20"/>
          <w:szCs w:val="20"/>
          <w:color w:val="auto"/>
        </w:rPr>
      </w:pPr>
      <w:r>
        <w:rPr>
          <w:rFonts w:ascii="Arial" w:cs="Arial" w:eastAsia="Arial" w:hAnsi="Arial"/>
          <w:sz w:val="13"/>
          <w:szCs w:val="13"/>
          <w:color w:val="auto"/>
        </w:rPr>
        <w:t>Our products are subject to import and excise duties and/or sales or value-added taxes in many jurisdictions. Fluctuations in tax rates and duties and changes in tax legislation or regulation could have a material adverse effect on our results of operations and financial condition.</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Significant developments stemming from the U.K.’s withdrawal from the E.U. could have a material adverse effect on the Company.</w:t>
      </w:r>
    </w:p>
    <w:p>
      <w:pPr>
        <w:spacing w:after="0" w:line="143" w:lineRule="exact"/>
        <w:rPr>
          <w:sz w:val="20"/>
          <w:szCs w:val="20"/>
          <w:color w:val="auto"/>
        </w:rPr>
      </w:pPr>
    </w:p>
    <w:p>
      <w:pPr>
        <w:jc w:val="both"/>
        <w:ind w:right="39"/>
        <w:spacing w:after="0" w:line="251" w:lineRule="auto"/>
        <w:rPr>
          <w:sz w:val="20"/>
          <w:szCs w:val="20"/>
          <w:color w:val="auto"/>
        </w:rPr>
      </w:pPr>
      <w:r>
        <w:rPr>
          <w:rFonts w:ascii="Arial" w:cs="Arial" w:eastAsia="Arial" w:hAnsi="Arial"/>
          <w:sz w:val="13"/>
          <w:szCs w:val="13"/>
          <w:color w:val="auto"/>
        </w:rPr>
        <w:t>The U.K. formally exited the European Union on January 31, 2020 (commonly referred to as “Brexit”) and entered into a new trade agreement with the European Union on December 24, 2020. Despite the U.K.’s December 2020 trade agreement, many potential future effects of Brexit remain unclear and could adversely affect certain areas of our business, including, but not limited to, an increase in duties and delays in the delivery of products, and adverse effects to our suppliers</w:t>
      </w:r>
      <w:r>
        <w:rPr>
          <w:rFonts w:ascii="Arial" w:cs="Arial" w:eastAsia="Arial" w:hAnsi="Arial"/>
          <w:sz w:val="12"/>
          <w:szCs w:val="12"/>
          <w:color w:val="auto"/>
        </w:rPr>
        <w:t>.</w:t>
      </w:r>
    </w:p>
    <w:p>
      <w:pPr>
        <w:spacing w:after="0" w:line="123" w:lineRule="exact"/>
        <w:rPr>
          <w:sz w:val="20"/>
          <w:szCs w:val="20"/>
          <w:color w:val="auto"/>
        </w:rPr>
      </w:pPr>
    </w:p>
    <w:p>
      <w:pPr>
        <w:jc w:val="both"/>
        <w:ind w:right="39"/>
        <w:spacing w:after="0" w:line="234" w:lineRule="auto"/>
        <w:rPr>
          <w:sz w:val="20"/>
          <w:szCs w:val="20"/>
          <w:color w:val="auto"/>
        </w:rPr>
      </w:pPr>
      <w:r>
        <w:rPr>
          <w:rFonts w:ascii="Arial" w:cs="Arial" w:eastAsia="Arial" w:hAnsi="Arial"/>
          <w:sz w:val="13"/>
          <w:szCs w:val="13"/>
          <w:color w:val="auto"/>
        </w:rPr>
        <w:t>We have significant operations in both the U.K. and the E.U., and we are highly dependent on the free flow of labor and goods in those regions. In response to Brexit, in February 2020 we engaged with a third-party logistics provider within England to mitigate supply chain risks. Uncertainty surrounding Brexit could cause a slowdown in economic activity in the U.K., Europe or globally, which could adversely affect our operating results and growth prospects. In addition, Brexit could lead to legal uncertainty and potentially divergent national laws and regulations as the U.K. determines which E.U. laws to replace or replicate, including data protection regulation. Compliance with any new laws and regulations may be cumbersome, difficult, or costly.</w:t>
      </w:r>
    </w:p>
    <w:p>
      <w:pPr>
        <w:spacing w:after="0" w:line="133" w:lineRule="exact"/>
        <w:rPr>
          <w:sz w:val="20"/>
          <w:szCs w:val="20"/>
          <w:color w:val="auto"/>
        </w:rPr>
      </w:pPr>
    </w:p>
    <w:p>
      <w:pPr>
        <w:jc w:val="both"/>
        <w:ind w:right="39"/>
        <w:spacing w:after="0" w:line="236" w:lineRule="auto"/>
        <w:rPr>
          <w:sz w:val="20"/>
          <w:szCs w:val="20"/>
          <w:color w:val="auto"/>
        </w:rPr>
      </w:pPr>
      <w:r>
        <w:rPr>
          <w:rFonts w:ascii="Arial" w:cs="Arial" w:eastAsia="Arial" w:hAnsi="Arial"/>
          <w:sz w:val="13"/>
          <w:szCs w:val="13"/>
          <w:color w:val="auto"/>
        </w:rPr>
        <w:t>There remains substantial uncertainty surrounding the ultimate effect of Brexit and outcomes could disrupt the markets we serve and the tax jurisdictions in which we operate. This uncertainty creates challenges (particularly in the near term) with respect to trading relationships between our U.K. subsidiary and other E.U. nations. These possible effects of Brexit could adversely affect our business, results of operations, and financial condition.</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Imposition of tariffs and export controls on the products we buy may have a material adverse effect on our business.</w:t>
      </w:r>
    </w:p>
    <w:p>
      <w:pPr>
        <w:spacing w:after="0" w:line="133" w:lineRule="exact"/>
        <w:rPr>
          <w:sz w:val="20"/>
          <w:szCs w:val="20"/>
          <w:color w:val="auto"/>
        </w:rPr>
      </w:pPr>
    </w:p>
    <w:p>
      <w:pPr>
        <w:jc w:val="both"/>
        <w:ind w:right="39"/>
        <w:spacing w:after="0" w:line="233" w:lineRule="auto"/>
        <w:rPr>
          <w:sz w:val="20"/>
          <w:szCs w:val="20"/>
          <w:color w:val="auto"/>
        </w:rPr>
      </w:pPr>
      <w:r>
        <w:rPr>
          <w:rFonts w:ascii="Arial" w:cs="Arial" w:eastAsia="Arial" w:hAnsi="Arial"/>
          <w:sz w:val="13"/>
          <w:szCs w:val="13"/>
          <w:color w:val="auto"/>
        </w:rPr>
        <w:t>A significant portion of the products that we purchase, including the portion purchased from U.S.-based suppliers, as well as most of our private brand merchandise, is manufactured abroad. We may be affected by potential changes in international trade agreements or tariffs, such as new tariffs imposed on certain Chinese-made goods imported into the U.S. Furthermore, China or other countries may institute retaliatory trade measures in response to existing or future tariffs imposed by the U.S. that could have a negative effect on our business. If any of these events occur as described, we may be obligated to seek alternative suppliers for our private brand merchandise, raise prices, or make changes to our operations, any of which could have a material adverse effect on our sales and profitability, results of operations and financial condition.</w:t>
      </w:r>
    </w:p>
    <w:p>
      <w:pPr>
        <w:spacing w:after="0" w:line="200" w:lineRule="exact"/>
        <w:rPr>
          <w:sz w:val="20"/>
          <w:szCs w:val="20"/>
          <w:color w:val="auto"/>
        </w:rPr>
      </w:pPr>
    </w:p>
    <w:p>
      <w:pPr>
        <w:spacing w:after="0" w:line="201" w:lineRule="exact"/>
        <w:rPr>
          <w:sz w:val="20"/>
          <w:szCs w:val="20"/>
          <w:color w:val="auto"/>
        </w:rPr>
      </w:pPr>
    </w:p>
    <w:p>
      <w:pPr>
        <w:ind w:left="7660"/>
        <w:spacing w:after="0"/>
        <w:rPr>
          <w:sz w:val="20"/>
          <w:szCs w:val="20"/>
          <w:color w:val="auto"/>
        </w:rPr>
      </w:pPr>
      <w:r>
        <w:rPr>
          <w:rFonts w:ascii="Arial" w:cs="Arial" w:eastAsia="Arial" w:hAnsi="Arial"/>
          <w:sz w:val="12"/>
          <w:szCs w:val="12"/>
          <w:color w:val="auto"/>
        </w:rPr>
        <w:t>2020 Form 10-K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365125</wp:posOffset>
            </wp:positionV>
            <wp:extent cx="5790565" cy="13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90565" cy="13335"/>
                    </a:xfrm>
                    <a:prstGeom prst="rect">
                      <a:avLst/>
                    </a:prstGeom>
                    <a:noFill/>
                  </pic:spPr>
                </pic:pic>
              </a:graphicData>
            </a:graphic>
          </wp:anchor>
        </w:drawing>
      </w:r>
    </w:p>
    <w:p>
      <w:pPr>
        <w:sectPr>
          <w:pgSz w:w="11900" w:h="16838" w:orient="portrait"/>
          <w:cols w:equalWidth="0" w:num="1">
            <w:col w:w="9159"/>
          </w:cols>
          <w:pgMar w:left="1300" w:top="662" w:right="1440" w:bottom="1440" w:gutter="0" w:footer="0" w:header="0"/>
        </w:sectPr>
      </w:pPr>
    </w:p>
    <w:bookmarkStart w:id="13" w:name="page14"/>
    <w:bookmarkEnd w:id="13"/>
    <w:p>
      <w:pPr>
        <w:spacing w:after="0"/>
        <w:rPr>
          <w:sz w:val="20"/>
          <w:szCs w:val="20"/>
          <w:color w:val="auto"/>
        </w:rPr>
      </w:pPr>
      <w:r>
        <w:rPr>
          <w:rFonts w:ascii="Arial" w:cs="Arial" w:eastAsia="Arial" w:hAnsi="Arial"/>
          <w:sz w:val="13"/>
          <w:szCs w:val="13"/>
          <w:b w:val="1"/>
          <w:bCs w:val="1"/>
          <w:color w:val="auto"/>
        </w:rPr>
        <w:t>Macroeconomic developments may adversely affect our business.</w:t>
      </w:r>
    </w:p>
    <w:p>
      <w:pPr>
        <w:spacing w:after="0" w:line="133" w:lineRule="exact"/>
        <w:rPr>
          <w:sz w:val="20"/>
          <w:szCs w:val="20"/>
          <w:color w:val="auto"/>
        </w:rPr>
      </w:pPr>
    </w:p>
    <w:p>
      <w:pPr>
        <w:jc w:val="both"/>
        <w:ind w:right="39"/>
        <w:spacing w:after="0" w:line="236" w:lineRule="auto"/>
        <w:rPr>
          <w:sz w:val="20"/>
          <w:szCs w:val="20"/>
          <w:color w:val="auto"/>
        </w:rPr>
      </w:pPr>
      <w:r>
        <w:rPr>
          <w:rFonts w:ascii="Arial" w:cs="Arial" w:eastAsia="Arial" w:hAnsi="Arial"/>
          <w:sz w:val="13"/>
          <w:szCs w:val="13"/>
          <w:color w:val="auto"/>
        </w:rPr>
        <w:t>Our performance is subject to global economic conditions and the related effects on consumer spending levels. Continued uncertainty about global economic conditions, including the COVID-19 pandemic, poses a risk as consumers and businesses may postpone spending in response to tighter credit, unemployment, negative financial news, and/or declines in income or asset values, which could have a material negative effect on demand for our products.</w:t>
      </w:r>
    </w:p>
    <w:p>
      <w:pPr>
        <w:spacing w:after="0" w:line="123" w:lineRule="exact"/>
        <w:rPr>
          <w:sz w:val="20"/>
          <w:szCs w:val="20"/>
          <w:color w:val="auto"/>
        </w:rPr>
      </w:pPr>
    </w:p>
    <w:p>
      <w:pPr>
        <w:jc w:val="both"/>
        <w:ind w:right="39"/>
        <w:spacing w:after="0" w:line="235" w:lineRule="auto"/>
        <w:rPr>
          <w:sz w:val="20"/>
          <w:szCs w:val="20"/>
          <w:color w:val="auto"/>
        </w:rPr>
      </w:pPr>
      <w:r>
        <w:rPr>
          <w:rFonts w:ascii="Arial" w:cs="Arial" w:eastAsia="Arial" w:hAnsi="Arial"/>
          <w:sz w:val="13"/>
          <w:szCs w:val="13"/>
          <w:color w:val="auto"/>
        </w:rPr>
        <w:t>As a retailer that is dependent upon consumer discretionary spending, our results of operations are sensitive to changes in macroeconomic conditions. Our customers may have less money for discretionary purchases as a result of job losses, foreclosures, bankruptcies, increased fuel and energy costs, higher interest rates, higher taxes, reduced access to credit, and lower home values. These and other economic factors could adversely affect demand for our products, which could adversely affect our financial condition and operating results.</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Instability in the financial markets may adversely affect our business.</w:t>
      </w:r>
    </w:p>
    <w:p>
      <w:pPr>
        <w:spacing w:after="0" w:line="133" w:lineRule="exact"/>
        <w:rPr>
          <w:sz w:val="20"/>
          <w:szCs w:val="20"/>
          <w:color w:val="auto"/>
        </w:rPr>
      </w:pPr>
    </w:p>
    <w:p>
      <w:pPr>
        <w:jc w:val="both"/>
        <w:ind w:right="39"/>
        <w:spacing w:after="0" w:line="236" w:lineRule="auto"/>
        <w:rPr>
          <w:sz w:val="20"/>
          <w:szCs w:val="20"/>
          <w:color w:val="auto"/>
        </w:rPr>
      </w:pPr>
      <w:r>
        <w:rPr>
          <w:rFonts w:ascii="Arial" w:cs="Arial" w:eastAsia="Arial" w:hAnsi="Arial"/>
          <w:sz w:val="13"/>
          <w:szCs w:val="13"/>
          <w:color w:val="auto"/>
        </w:rPr>
        <w:t>During 2020, uncertainty surrounding the potential effects of the COVID-19 pandemic helped create volatility in financial markets around the world. This volatility may affect our future access to the credit and debt security markets, leading to higher borrowing costs, or, in some cases, the inability to obtain additional financing.</w:t>
      </w:r>
    </w:p>
    <w:p>
      <w:pPr>
        <w:spacing w:after="0" w:line="133" w:lineRule="exact"/>
        <w:rPr>
          <w:sz w:val="20"/>
          <w:szCs w:val="20"/>
          <w:color w:val="auto"/>
        </w:rPr>
      </w:pPr>
    </w:p>
    <w:p>
      <w:pPr>
        <w:jc w:val="both"/>
        <w:ind w:right="39"/>
        <w:spacing w:after="0" w:line="233" w:lineRule="auto"/>
        <w:rPr>
          <w:sz w:val="20"/>
          <w:szCs w:val="20"/>
          <w:color w:val="auto"/>
        </w:rPr>
      </w:pPr>
      <w:r>
        <w:rPr>
          <w:rFonts w:ascii="Arial" w:cs="Arial" w:eastAsia="Arial" w:hAnsi="Arial"/>
          <w:sz w:val="13"/>
          <w:szCs w:val="13"/>
          <w:color w:val="auto"/>
        </w:rPr>
        <w:t>On November 30, 2020, ICE Benchmark Administration (“IBA”), the administrator of LIBOR, with the support of the United States Federal Reserve and the United Kingdom’s Financial Conduct Authority, announced plans to consult on ceasing publication of USD LIBOR on December 31, 2021, for only the one week and two month USD LIBOR tenors, and on June 30, 2023, for all other USD Libor tenors. While this announcement extends the transition period to June 2023, the United States Federal Reserve concurrently issued a statement advising banks to stop new USD LIBOR issuances by the end of 2021. In light of these recent announcements, the future of LIBOR at this time is uncertain and any changes in the methods by which LIBOR is determined or regulatory activity related to LIBOR’s phaseout could cause LIBOR to perform differently than in the past or cease to exist. Our 2020 Credit Agreement provides for alternative methods of calculating the interest rate payable on indebtedness thereunder.</w:t>
      </w:r>
    </w:p>
    <w:p>
      <w:pPr>
        <w:spacing w:after="0" w:line="153" w:lineRule="exact"/>
        <w:rPr>
          <w:sz w:val="20"/>
          <w:szCs w:val="20"/>
          <w:color w:val="auto"/>
        </w:rPr>
      </w:pPr>
    </w:p>
    <w:p>
      <w:pPr>
        <w:jc w:val="both"/>
        <w:ind w:right="39"/>
        <w:spacing w:after="0" w:line="236" w:lineRule="auto"/>
        <w:rPr>
          <w:sz w:val="20"/>
          <w:szCs w:val="20"/>
          <w:color w:val="auto"/>
        </w:rPr>
      </w:pPr>
      <w:r>
        <w:rPr>
          <w:rFonts w:ascii="Arial" w:cs="Arial" w:eastAsia="Arial" w:hAnsi="Arial"/>
          <w:sz w:val="13"/>
          <w:szCs w:val="13"/>
          <w:color w:val="auto"/>
        </w:rPr>
        <w:t>Instability in the global financial markets could reduce availability of credit to our business. Although we currently have a revolving credit agreement in place until July 14, 2025, tightening of credit markets could make it more difficult for us to access funds, refinance our existing indebtedness, enter into agreements for new indebtedness, or obtain funding through the issuance of the Company’s securities.</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Material changes in the market value of the securities we hold may adversely affect our results of operations and financial condition.</w:t>
      </w:r>
    </w:p>
    <w:p>
      <w:pPr>
        <w:spacing w:after="0" w:line="143" w:lineRule="exact"/>
        <w:rPr>
          <w:sz w:val="20"/>
          <w:szCs w:val="20"/>
          <w:color w:val="auto"/>
        </w:rPr>
      </w:pPr>
    </w:p>
    <w:p>
      <w:pPr>
        <w:jc w:val="both"/>
        <w:ind w:right="39"/>
        <w:spacing w:after="0" w:line="234" w:lineRule="auto"/>
        <w:rPr>
          <w:sz w:val="20"/>
          <w:szCs w:val="20"/>
          <w:color w:val="auto"/>
        </w:rPr>
      </w:pPr>
      <w:r>
        <w:rPr>
          <w:rFonts w:ascii="Arial" w:cs="Arial" w:eastAsia="Arial" w:hAnsi="Arial"/>
          <w:sz w:val="13"/>
          <w:szCs w:val="13"/>
          <w:color w:val="auto"/>
        </w:rPr>
        <w:t>At January 30, 2021 our cash and cash equivalents totaled $1,680 million. The majority of our investments were short-term deposits in highly-rated banking institutions. We regularly monitor our counterparty credit risk and mitigate our exposure by making short-term investments only in highly-rated institutions and by limiting the amount we invest in any one institution. We continually monitor the creditworthiness of our counterparties. At January 30, 2021, all investments were in investment grade institutions. Despite an investment grade rating, it is possible that the value or liquidity of our investments may decline due to any number of factors, including general market conditions and bank-specific credit issues.</w:t>
      </w:r>
    </w:p>
    <w:p>
      <w:pPr>
        <w:spacing w:after="0" w:line="112" w:lineRule="exact"/>
        <w:rPr>
          <w:sz w:val="20"/>
          <w:szCs w:val="20"/>
          <w:color w:val="auto"/>
        </w:rPr>
      </w:pPr>
    </w:p>
    <w:p>
      <w:pPr>
        <w:jc w:val="both"/>
        <w:ind w:right="39"/>
        <w:spacing w:after="0" w:line="234" w:lineRule="auto"/>
        <w:rPr>
          <w:sz w:val="20"/>
          <w:szCs w:val="20"/>
          <w:color w:val="auto"/>
        </w:rPr>
      </w:pPr>
      <w:r>
        <w:rPr>
          <w:rFonts w:ascii="Arial" w:cs="Arial" w:eastAsia="Arial" w:hAnsi="Arial"/>
          <w:sz w:val="13"/>
          <w:szCs w:val="13"/>
          <w:color w:val="auto"/>
        </w:rPr>
        <w:t>Our U.S. pension plan trust holds assets totaling $666 million at January 30, 2021. The fair values of these assets held in the trust are compared to the plan’s projected benefit obligation to determine the pension funding liability. We attempt to mitigate funding risk through asset diversification, and we regularly monitor investment risk of our portfolio through quarterly investment portfolio reviews and periodic asset and liability studies. Despite these measures, it is possible that the value of our portfolio may decline in the future due to any number of factors, including general market conditions and credit issues. Such declines could affect the funded status of our pension plan and future funding requirements.</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Our financial results may be adversely affected by tax rates or exposure to additional tax liabilities.</w:t>
      </w:r>
    </w:p>
    <w:p>
      <w:pPr>
        <w:spacing w:after="0" w:line="143" w:lineRule="exact"/>
        <w:rPr>
          <w:sz w:val="20"/>
          <w:szCs w:val="20"/>
          <w:color w:val="auto"/>
        </w:rPr>
      </w:pPr>
    </w:p>
    <w:p>
      <w:pPr>
        <w:jc w:val="both"/>
        <w:ind w:right="39"/>
        <w:spacing w:after="0" w:line="233" w:lineRule="auto"/>
        <w:rPr>
          <w:sz w:val="20"/>
          <w:szCs w:val="20"/>
          <w:color w:val="auto"/>
        </w:rPr>
      </w:pPr>
      <w:r>
        <w:rPr>
          <w:rFonts w:ascii="Arial" w:cs="Arial" w:eastAsia="Arial" w:hAnsi="Arial"/>
          <w:sz w:val="13"/>
          <w:szCs w:val="13"/>
          <w:color w:val="auto"/>
        </w:rPr>
        <w:t>We are a U.S. based multinational company subject to tax in multiple U.S. and foreign tax jurisdictions. Our provision for income taxes is based on a jurisdictional mix of earnings, statutory rates, and enacted tax rules, including transfer pricing. Significant judgment is required in determining our provision for income taxes and in evaluating our tax positions on a worldwide basis. President Biden has proposed raising the highest U.S. federal income tax rate applicable to corporations. Our effective tax rate could be adversely affected by a number of factors, including shifts in the mix of pretax results by tax jurisdiction, changes in tax laws or related interpretations in the jurisdictions in which we operate, and tax assessments and related interest and penalties resulting from income tax audits.</w:t>
      </w:r>
    </w:p>
    <w:p>
      <w:pPr>
        <w:spacing w:after="0" w:line="114" w:lineRule="exact"/>
        <w:rPr>
          <w:sz w:val="20"/>
          <w:szCs w:val="20"/>
          <w:color w:val="auto"/>
        </w:rPr>
      </w:pPr>
    </w:p>
    <w:p>
      <w:pPr>
        <w:ind w:left="7660"/>
        <w:spacing w:after="0"/>
        <w:rPr>
          <w:sz w:val="20"/>
          <w:szCs w:val="20"/>
          <w:color w:val="auto"/>
        </w:rPr>
      </w:pPr>
      <w:r>
        <w:rPr>
          <w:rFonts w:ascii="Arial" w:cs="Arial" w:eastAsia="Arial" w:hAnsi="Arial"/>
          <w:sz w:val="12"/>
          <w:szCs w:val="12"/>
          <w:color w:val="auto"/>
        </w:rPr>
        <w:t>2020 Form 10-K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365125</wp:posOffset>
            </wp:positionV>
            <wp:extent cx="5790565" cy="19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90565" cy="19685"/>
                    </a:xfrm>
                    <a:prstGeom prst="rect">
                      <a:avLst/>
                    </a:prstGeom>
                    <a:noFill/>
                  </pic:spPr>
                </pic:pic>
              </a:graphicData>
            </a:graphic>
          </wp:anchor>
        </w:drawing>
      </w:r>
    </w:p>
    <w:p>
      <w:pPr>
        <w:sectPr>
          <w:pgSz w:w="11900" w:h="16838" w:orient="portrait"/>
          <w:cols w:equalWidth="0" w:num="1">
            <w:col w:w="9159"/>
          </w:cols>
          <w:pgMar w:left="1300" w:top="662" w:right="1440" w:bottom="1440" w:gutter="0" w:footer="0" w:header="0"/>
        </w:sectPr>
      </w:pPr>
    </w:p>
    <w:bookmarkStart w:id="14" w:name="page15"/>
    <w:bookmarkEnd w:id="14"/>
    <w:p>
      <w:pPr>
        <w:spacing w:after="0"/>
        <w:rPr>
          <w:sz w:val="20"/>
          <w:szCs w:val="20"/>
          <w:color w:val="auto"/>
        </w:rPr>
      </w:pPr>
      <w:r>
        <w:rPr>
          <w:rFonts w:ascii="Arial" w:cs="Arial" w:eastAsia="Arial" w:hAnsi="Arial"/>
          <w:sz w:val="13"/>
          <w:szCs w:val="13"/>
          <w:b w:val="1"/>
          <w:bCs w:val="1"/>
          <w:color w:val="auto"/>
        </w:rPr>
        <w:t>Changes in employment laws or regulation could harm our performance.</w:t>
      </w:r>
    </w:p>
    <w:p>
      <w:pPr>
        <w:spacing w:after="0" w:line="133" w:lineRule="exact"/>
        <w:rPr>
          <w:sz w:val="20"/>
          <w:szCs w:val="20"/>
          <w:color w:val="auto"/>
        </w:rPr>
      </w:pPr>
    </w:p>
    <w:p>
      <w:pPr>
        <w:jc w:val="both"/>
        <w:ind w:right="39"/>
        <w:spacing w:after="0" w:line="236" w:lineRule="auto"/>
        <w:rPr>
          <w:sz w:val="20"/>
          <w:szCs w:val="20"/>
          <w:color w:val="auto"/>
        </w:rPr>
      </w:pPr>
      <w:r>
        <w:rPr>
          <w:rFonts w:ascii="Arial" w:cs="Arial" w:eastAsia="Arial" w:hAnsi="Arial"/>
          <w:sz w:val="13"/>
          <w:szCs w:val="13"/>
          <w:color w:val="auto"/>
        </w:rPr>
        <w:t>Various foreign and domestic labor laws govern our relationship with our employees and affect our operating costs. These laws include minimum wage requirements, overtime and sick pay, paid time off, work scheduling, healthcare reform and the Patient Protection and Affordable Care Act, unemployment tax rates, workers’ compensation rates, European works council requirements, and union organization.</w:t>
      </w:r>
    </w:p>
    <w:p>
      <w:pPr>
        <w:spacing w:after="0" w:line="123" w:lineRule="exact"/>
        <w:rPr>
          <w:sz w:val="20"/>
          <w:szCs w:val="20"/>
          <w:color w:val="auto"/>
        </w:rPr>
      </w:pPr>
    </w:p>
    <w:p>
      <w:pPr>
        <w:jc w:val="both"/>
        <w:ind w:right="39"/>
        <w:spacing w:after="0" w:line="236" w:lineRule="auto"/>
        <w:rPr>
          <w:sz w:val="20"/>
          <w:szCs w:val="20"/>
          <w:color w:val="auto"/>
        </w:rPr>
      </w:pPr>
      <w:r>
        <w:rPr>
          <w:rFonts w:ascii="Arial" w:cs="Arial" w:eastAsia="Arial" w:hAnsi="Arial"/>
          <w:sz w:val="13"/>
          <w:szCs w:val="13"/>
          <w:color w:val="auto"/>
        </w:rPr>
        <w:t>A number of factors could adversely affect our operating results, including additional government-imposed increases in minimum wages, overtime and sick pay, paid leaves of absence, mandated health benefits, and changing regulations from the National Labor Relations Board or other agencies. Complying with any new legislation or reversing changes implemented under existing law could be time-intensive and expensive and may affect our business.</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Legislative or regulatory initiatives related to climate change concerns may negatively affect our business.</w:t>
      </w:r>
    </w:p>
    <w:p>
      <w:pPr>
        <w:spacing w:after="0" w:line="133" w:lineRule="exact"/>
        <w:rPr>
          <w:sz w:val="20"/>
          <w:szCs w:val="20"/>
          <w:color w:val="auto"/>
        </w:rPr>
      </w:pPr>
    </w:p>
    <w:p>
      <w:pPr>
        <w:jc w:val="both"/>
        <w:ind w:right="39"/>
        <w:spacing w:after="0" w:line="232" w:lineRule="auto"/>
        <w:rPr>
          <w:sz w:val="20"/>
          <w:szCs w:val="20"/>
          <w:color w:val="auto"/>
        </w:rPr>
      </w:pPr>
      <w:r>
        <w:rPr>
          <w:rFonts w:ascii="Arial" w:cs="Arial" w:eastAsia="Arial" w:hAnsi="Arial"/>
          <w:sz w:val="13"/>
          <w:szCs w:val="13"/>
          <w:color w:val="auto"/>
        </w:rPr>
        <w:t>Greenhouse gases may have an adverse effect on global temperatures, weather patterns, and the frequency and severity of extreme weather and natural disasters. Global climate change could result in certain types of natural disasters occurring more frequently or with more intense effects. Such events could make it difficult or impossible for us to deliver products to our customers, create delays, and inefficiencies in our supply chain. Following an interruption to our business, we could require substantial recovery time, experience significant expenditures to resume operations, and lose significant sales. Concern over climate change may result in new or additional legal, legislative, and regulatory requirements to reduce or mitigate the effects of climate change on the environment, which could result in future tax, transportation, and utility increases, which could adversely affect our business. There is also increased focus, including by investors, customers, and other stakeholders, on these and other sustainability matters, such as worker safety, the use of plastic, energy consumption, and waste.</w:t>
      </w:r>
    </w:p>
    <w:p>
      <w:pPr>
        <w:spacing w:after="0" w:line="110" w:lineRule="exact"/>
        <w:rPr>
          <w:sz w:val="20"/>
          <w:szCs w:val="20"/>
          <w:color w:val="auto"/>
        </w:rPr>
      </w:pPr>
    </w:p>
    <w:p>
      <w:pPr>
        <w:jc w:val="both"/>
        <w:ind w:right="59"/>
        <w:spacing w:after="0" w:line="265" w:lineRule="auto"/>
        <w:rPr>
          <w:sz w:val="20"/>
          <w:szCs w:val="20"/>
          <w:color w:val="auto"/>
        </w:rPr>
      </w:pPr>
      <w:r>
        <w:rPr>
          <w:rFonts w:ascii="Arial" w:cs="Arial" w:eastAsia="Arial" w:hAnsi="Arial"/>
          <w:sz w:val="13"/>
          <w:szCs w:val="13"/>
          <w:b w:val="1"/>
          <w:bCs w:val="1"/>
          <w:color w:val="auto"/>
        </w:rPr>
        <w:t>Increasing scrutiny and changing expectations from investors and our customers with respect to our Corporate Social Responsibility (“CSR”) may impose additional costs on us or expose us to new or additional risks.</w:t>
      </w:r>
    </w:p>
    <w:p>
      <w:pPr>
        <w:spacing w:after="0" w:line="106" w:lineRule="exact"/>
        <w:rPr>
          <w:sz w:val="20"/>
          <w:szCs w:val="20"/>
          <w:color w:val="auto"/>
        </w:rPr>
      </w:pPr>
    </w:p>
    <w:p>
      <w:pPr>
        <w:jc w:val="both"/>
        <w:ind w:right="39"/>
        <w:spacing w:after="0" w:line="236" w:lineRule="auto"/>
        <w:rPr>
          <w:sz w:val="20"/>
          <w:szCs w:val="20"/>
          <w:color w:val="auto"/>
        </w:rPr>
      </w:pPr>
      <w:r>
        <w:rPr>
          <w:rFonts w:ascii="Arial" w:cs="Arial" w:eastAsia="Arial" w:hAnsi="Arial"/>
          <w:sz w:val="13"/>
          <w:szCs w:val="13"/>
          <w:color w:val="auto"/>
        </w:rPr>
        <w:t>Our reputation could be damaged if we do not (or are perceived not to) act responsibly with respect to sustainability matters, which could adversely affect our business, results of operations, cash flows, and financial condition. Increasing attention to CSR matters may affect our business and some institutional investors may be discouraged from investing in us.</w:t>
      </w:r>
    </w:p>
    <w:p>
      <w:pPr>
        <w:spacing w:after="0" w:line="113" w:lineRule="exact"/>
        <w:rPr>
          <w:sz w:val="20"/>
          <w:szCs w:val="20"/>
          <w:color w:val="auto"/>
        </w:rPr>
      </w:pPr>
    </w:p>
    <w:p>
      <w:pPr>
        <w:jc w:val="both"/>
        <w:ind w:right="39"/>
        <w:spacing w:after="0" w:line="233" w:lineRule="auto"/>
        <w:rPr>
          <w:sz w:val="20"/>
          <w:szCs w:val="20"/>
          <w:color w:val="auto"/>
        </w:rPr>
      </w:pPr>
      <w:r>
        <w:rPr>
          <w:rFonts w:ascii="Arial" w:cs="Arial" w:eastAsia="Arial" w:hAnsi="Arial"/>
          <w:sz w:val="13"/>
          <w:szCs w:val="13"/>
          <w:color w:val="auto"/>
        </w:rPr>
        <w:t>Companies across all industries are facing increasing scrutiny from stakeholders related to their CSR practices. Investor advocacy groups, certain institutional investors, investment funds, and other influential investors are also increasingly focused on CSR practices and in recent years have placed increasing importance on the implications and social cost of their investments. Regardless of the industry, investors’ increased focus and activism related to CSR and similar matters may hinder access to capital, as investors may decide to reallocate capital or to not commit capital as a result of their assessment of a company’s CSR practices. Companies which do not adapt to or comply with investor or stakeholder expectations and standards, which are evolving, or which are perceived to have not responded appropriately to the growing concern for CSR issues, regardless of whether there is a legal requirement to do so, may suffer from reputational damage and the business, financial condition, and/or stock price of such a company could be materially and adversely affected.</w:t>
      </w:r>
    </w:p>
    <w:p>
      <w:pPr>
        <w:spacing w:after="0" w:line="123" w:lineRule="exact"/>
        <w:rPr>
          <w:sz w:val="20"/>
          <w:szCs w:val="20"/>
          <w:color w:val="auto"/>
        </w:rPr>
      </w:pPr>
    </w:p>
    <w:p>
      <w:pPr>
        <w:jc w:val="both"/>
        <w:ind w:right="39"/>
        <w:spacing w:after="0" w:line="232" w:lineRule="auto"/>
        <w:rPr>
          <w:sz w:val="20"/>
          <w:szCs w:val="20"/>
          <w:color w:val="auto"/>
        </w:rPr>
      </w:pPr>
      <w:r>
        <w:rPr>
          <w:rFonts w:ascii="Arial" w:cs="Arial" w:eastAsia="Arial" w:hAnsi="Arial"/>
          <w:sz w:val="13"/>
          <w:szCs w:val="13"/>
          <w:color w:val="auto"/>
        </w:rPr>
        <w:t>In addition, the importance of CSR scoring evaluations is becoming more broadly accepted by shareholders. Certain organizations that provide corporate governance and other corporate risk information to shareholders have developed scores and ratings to evaluate companies based upon CSR metrics. Many shareholders focus on positive CSR business practices and scores when making investments and may consider a company’s score as a reputational or other factor in making an investment decision. In addition, investors, particularly institutional investors, use these scores to benchmark companies against their peers and if a company is perceived as lagging, these investors may engage with companies to require improved CSR disclosure or performance. We may face reputational damage in the event our CSR procedures or standards do not meet the standards set by various constituencies. A low score could result in a negative perception of us, or exclusion of our common stock from consideration by certain investors who may elect to invest with our competition instead. In addition, the cost of compliance to receive high CSR scores may be considerable.</w:t>
      </w:r>
    </w:p>
    <w:p>
      <w:pPr>
        <w:spacing w:after="0" w:line="393" w:lineRule="exact"/>
        <w:rPr>
          <w:sz w:val="20"/>
          <w:szCs w:val="20"/>
          <w:color w:val="auto"/>
        </w:rPr>
      </w:pPr>
    </w:p>
    <w:p>
      <w:pPr>
        <w:ind w:left="7660"/>
        <w:spacing w:after="0"/>
        <w:rPr>
          <w:sz w:val="20"/>
          <w:szCs w:val="20"/>
          <w:color w:val="auto"/>
        </w:rPr>
      </w:pPr>
      <w:r>
        <w:rPr>
          <w:rFonts w:ascii="Arial" w:cs="Arial" w:eastAsia="Arial" w:hAnsi="Arial"/>
          <w:sz w:val="12"/>
          <w:szCs w:val="12"/>
          <w:color w:val="auto"/>
        </w:rPr>
        <w:t>2020 Form 10-K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365125</wp:posOffset>
            </wp:positionV>
            <wp:extent cx="5790565" cy="19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90565" cy="19685"/>
                    </a:xfrm>
                    <a:prstGeom prst="rect">
                      <a:avLst/>
                    </a:prstGeom>
                    <a:noFill/>
                  </pic:spPr>
                </pic:pic>
              </a:graphicData>
            </a:graphic>
          </wp:anchor>
        </w:drawing>
      </w:r>
    </w:p>
    <w:p>
      <w:pPr>
        <w:sectPr>
          <w:pgSz w:w="11900" w:h="16838" w:orient="portrait"/>
          <w:cols w:equalWidth="0" w:num="1">
            <w:col w:w="9159"/>
          </w:cols>
          <w:pgMar w:left="1300" w:top="663" w:right="1440" w:bottom="1440" w:gutter="0" w:footer="0" w:header="0"/>
        </w:sectPr>
      </w:pPr>
    </w:p>
    <w:bookmarkStart w:id="15" w:name="page16"/>
    <w:bookmarkEnd w:id="15"/>
    <w:p>
      <w:pPr>
        <w:spacing w:after="0"/>
        <w:rPr>
          <w:sz w:val="20"/>
          <w:szCs w:val="20"/>
          <w:color w:val="auto"/>
        </w:rPr>
      </w:pPr>
      <w:r>
        <w:rPr>
          <w:rFonts w:ascii="Arial" w:cs="Arial" w:eastAsia="Arial" w:hAnsi="Arial"/>
          <w:sz w:val="13"/>
          <w:szCs w:val="13"/>
          <w:b w:val="1"/>
          <w:bCs w:val="1"/>
          <w:color w:val="auto"/>
        </w:rPr>
        <w:t>We may be adversely affected by regulatory and litigation developments.</w:t>
      </w:r>
    </w:p>
    <w:p>
      <w:pPr>
        <w:spacing w:after="0" w:line="133" w:lineRule="exact"/>
        <w:rPr>
          <w:sz w:val="20"/>
          <w:szCs w:val="20"/>
          <w:color w:val="auto"/>
        </w:rPr>
      </w:pPr>
    </w:p>
    <w:p>
      <w:pPr>
        <w:jc w:val="both"/>
        <w:ind w:right="39"/>
        <w:spacing w:after="0" w:line="233" w:lineRule="auto"/>
        <w:rPr>
          <w:sz w:val="20"/>
          <w:szCs w:val="20"/>
          <w:color w:val="auto"/>
        </w:rPr>
      </w:pPr>
      <w:r>
        <w:rPr>
          <w:rFonts w:ascii="Arial" w:cs="Arial" w:eastAsia="Arial" w:hAnsi="Arial"/>
          <w:sz w:val="13"/>
          <w:szCs w:val="13"/>
          <w:color w:val="auto"/>
        </w:rPr>
        <w:t>We are exposed to the risk that federal or state legislation may negatively affect our operations. Changes in federal or state wage requirements, employee rights, health care, social welfare or entitlement programs, including health insurance, paid leave programs, or other changes in workplace regulation could increase our cost of doing business or otherwise adversely affect our operations. Additionally, we are regularly involved in litigation, including commercial, tort, intellectual property, customer, employment, wage and hour, data privacy, anti-corruption, and other claims, including purported class action lawsuits. The cost of defending against these types of claims against us or the ultimate resolution of such claims, whether by settlement or adverse court decision, may harm our business.</w:t>
      </w:r>
    </w:p>
    <w:p>
      <w:pPr>
        <w:spacing w:after="0" w:line="108" w:lineRule="exact"/>
        <w:rPr>
          <w:sz w:val="20"/>
          <w:szCs w:val="20"/>
          <w:color w:val="auto"/>
        </w:rPr>
      </w:pPr>
    </w:p>
    <w:p>
      <w:pPr>
        <w:jc w:val="both"/>
        <w:ind w:right="39"/>
        <w:spacing w:after="0" w:line="265" w:lineRule="auto"/>
        <w:rPr>
          <w:sz w:val="20"/>
          <w:szCs w:val="20"/>
          <w:color w:val="auto"/>
        </w:rPr>
      </w:pPr>
      <w:r>
        <w:rPr>
          <w:rFonts w:ascii="Arial" w:cs="Arial" w:eastAsia="Arial" w:hAnsi="Arial"/>
          <w:sz w:val="13"/>
          <w:szCs w:val="13"/>
          <w:b w:val="1"/>
          <w:bCs w:val="1"/>
          <w:color w:val="auto"/>
        </w:rPr>
        <w:t>We operate in many different jurisdictions and we could be adversely affected by violations of the U.S. Foreign Corrupt Practices Act and similar worldwide anti-corruption laws.</w:t>
      </w:r>
    </w:p>
    <w:p>
      <w:pPr>
        <w:spacing w:after="0" w:line="106" w:lineRule="exact"/>
        <w:rPr>
          <w:sz w:val="20"/>
          <w:szCs w:val="20"/>
          <w:color w:val="auto"/>
        </w:rPr>
      </w:pPr>
    </w:p>
    <w:p>
      <w:pPr>
        <w:jc w:val="both"/>
        <w:ind w:right="39"/>
        <w:spacing w:after="0" w:line="233" w:lineRule="auto"/>
        <w:rPr>
          <w:sz w:val="20"/>
          <w:szCs w:val="20"/>
          <w:color w:val="auto"/>
        </w:rPr>
      </w:pPr>
      <w:r>
        <w:rPr>
          <w:rFonts w:ascii="Arial" w:cs="Arial" w:eastAsia="Arial" w:hAnsi="Arial"/>
          <w:sz w:val="13"/>
          <w:szCs w:val="13"/>
          <w:color w:val="auto"/>
        </w:rPr>
        <w:t>The U.S. Foreign Corrupt Practices Act (“FCPA”) and similar worldwide anti-corruption laws, including the U.K. Bribery Act of 2010, which is broader in scope than the FCPA, generally prohibit companies and their intermediaries from making improper payments to government officials for the purpose of obtaining or retaining business. Our internal policies mandate compliance with these anti-corruption laws. Despite our training and compliance programs, we cannot be assured that our internal control policies and procedures will always protect us from reckless or criminal acts committed by our employees or agents. Our continued expansion outside the United States, including in developing countries, could increase the risk of FCPA violations in the future. Violations of these laws, or allegations of such violations, could have a material adverse effect on our results of operations or financial condition.</w:t>
      </w:r>
    </w:p>
    <w:p>
      <w:pPr>
        <w:spacing w:after="0" w:line="98" w:lineRule="exact"/>
        <w:rPr>
          <w:sz w:val="20"/>
          <w:szCs w:val="20"/>
          <w:color w:val="auto"/>
        </w:rPr>
      </w:pPr>
    </w:p>
    <w:p>
      <w:pPr>
        <w:jc w:val="both"/>
        <w:ind w:right="39"/>
        <w:spacing w:after="0" w:line="265" w:lineRule="auto"/>
        <w:rPr>
          <w:sz w:val="20"/>
          <w:szCs w:val="20"/>
          <w:color w:val="auto"/>
        </w:rPr>
      </w:pPr>
      <w:r>
        <w:rPr>
          <w:rFonts w:ascii="Arial" w:cs="Arial" w:eastAsia="Arial" w:hAnsi="Arial"/>
          <w:sz w:val="13"/>
          <w:szCs w:val="13"/>
          <w:b w:val="1"/>
          <w:bCs w:val="1"/>
          <w:color w:val="auto"/>
        </w:rPr>
        <w:t>Failure to fully comply with Section 404 of the Sarbanes-Oxley Act of 2002 could negatively affect our business, market confidence in our reported financial information, and the price of our common stock.</w:t>
      </w:r>
    </w:p>
    <w:p>
      <w:pPr>
        <w:spacing w:after="0" w:line="106" w:lineRule="exact"/>
        <w:rPr>
          <w:sz w:val="20"/>
          <w:szCs w:val="20"/>
          <w:color w:val="auto"/>
        </w:rPr>
      </w:pPr>
    </w:p>
    <w:p>
      <w:pPr>
        <w:jc w:val="both"/>
        <w:ind w:right="39"/>
        <w:spacing w:after="0" w:line="235" w:lineRule="auto"/>
        <w:rPr>
          <w:sz w:val="20"/>
          <w:szCs w:val="20"/>
          <w:color w:val="auto"/>
        </w:rPr>
      </w:pPr>
      <w:r>
        <w:rPr>
          <w:rFonts w:ascii="Arial" w:cs="Arial" w:eastAsia="Arial" w:hAnsi="Arial"/>
          <w:sz w:val="13"/>
          <w:szCs w:val="13"/>
          <w:color w:val="auto"/>
        </w:rPr>
        <w:t>We continue to document, test, and monitor our internal control over financial reporting in order to satisfy the requirements of Section 404 of the Sarbanes-Oxley Act of 2002. However, we cannot be assured that our disclosure controls and procedures and our internal control over financial reporting will prove to be completely adequate in the future. Failure to fully comply with Section 404 of the Sarbanes-Oxley Act of 2002 could negatively affect our business, market confidence in our reported financial information, and the price of our common stock.</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International intellectual property protection can be uncertain and costly.</w:t>
      </w:r>
    </w:p>
    <w:p>
      <w:pPr>
        <w:spacing w:after="0" w:line="133" w:lineRule="exact"/>
        <w:rPr>
          <w:sz w:val="20"/>
          <w:szCs w:val="20"/>
          <w:color w:val="auto"/>
        </w:rPr>
      </w:pPr>
    </w:p>
    <w:p>
      <w:pPr>
        <w:jc w:val="both"/>
        <w:ind w:right="39"/>
        <w:spacing w:after="0" w:line="236" w:lineRule="auto"/>
        <w:rPr>
          <w:sz w:val="20"/>
          <w:szCs w:val="20"/>
          <w:color w:val="auto"/>
        </w:rPr>
      </w:pPr>
      <w:r>
        <w:rPr>
          <w:rFonts w:ascii="Arial" w:cs="Arial" w:eastAsia="Arial" w:hAnsi="Arial"/>
          <w:sz w:val="13"/>
          <w:szCs w:val="13"/>
          <w:color w:val="auto"/>
        </w:rPr>
        <w:t>Uncertainty in intellectual property protection can result from conducting business outside the United States, particularly in jurisdictions that do not have comparable levels of protection for our assets such as intellectual property, copyrights, and trademarks. Continuing to operate in such foreign jurisdictions where the ability to enforce intellectual property rights is limited increases our exposure to risk.</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Item 1B. Unresolved Staff Comments</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Item 2. Properties</w:t>
      </w:r>
    </w:p>
    <w:p>
      <w:pPr>
        <w:spacing w:after="0" w:line="143" w:lineRule="exact"/>
        <w:rPr>
          <w:sz w:val="20"/>
          <w:szCs w:val="20"/>
          <w:color w:val="auto"/>
        </w:rPr>
      </w:pPr>
    </w:p>
    <w:p>
      <w:pPr>
        <w:jc w:val="both"/>
        <w:ind w:right="39"/>
        <w:spacing w:after="0" w:line="236" w:lineRule="auto"/>
        <w:rPr>
          <w:sz w:val="20"/>
          <w:szCs w:val="20"/>
          <w:color w:val="auto"/>
        </w:rPr>
      </w:pPr>
      <w:r>
        <w:rPr>
          <w:rFonts w:ascii="Arial" w:cs="Arial" w:eastAsia="Arial" w:hAnsi="Arial"/>
          <w:sz w:val="13"/>
          <w:szCs w:val="13"/>
          <w:color w:val="auto"/>
        </w:rPr>
        <w:t>Our properties consist of land, leased stores, administrative facilities, and distribution centers. Gross square footage and total selling area for our store locations at the end of 2020 were approximately 12.98 and 7.50 million square feet, respectively. These properties, which are primarily leased, are located in the United States and its territories, Canada, various European countries, Asia, Australia, and New Zealand.</w:t>
      </w:r>
    </w:p>
    <w:p>
      <w:pPr>
        <w:spacing w:after="0" w:line="123" w:lineRule="exact"/>
        <w:rPr>
          <w:sz w:val="20"/>
          <w:szCs w:val="20"/>
          <w:color w:val="auto"/>
        </w:rPr>
      </w:pPr>
    </w:p>
    <w:p>
      <w:pPr>
        <w:jc w:val="both"/>
        <w:ind w:right="39"/>
        <w:spacing w:after="0" w:line="236" w:lineRule="auto"/>
        <w:rPr>
          <w:sz w:val="20"/>
          <w:szCs w:val="20"/>
          <w:color w:val="auto"/>
        </w:rPr>
      </w:pPr>
      <w:r>
        <w:rPr>
          <w:rFonts w:ascii="Arial" w:cs="Arial" w:eastAsia="Arial" w:hAnsi="Arial"/>
          <w:sz w:val="13"/>
          <w:szCs w:val="13"/>
          <w:color w:val="auto"/>
        </w:rPr>
        <w:t>We currently operate five distribution centers, of which two are owned and three are leased, occupying an aggregate of 3.0 million square feet. Three of these distribution centers are located in the United States, one in Canada, and one in the Netherlands. We also own a cross-dock and manufacturing facility, and operate a leased warehouse in the United States, both of which support our Team Edition apparel business.</w:t>
      </w:r>
    </w:p>
    <w:p>
      <w:pPr>
        <w:spacing w:after="0" w:line="113" w:lineRule="exact"/>
        <w:rPr>
          <w:sz w:val="20"/>
          <w:szCs w:val="20"/>
          <w:color w:val="auto"/>
        </w:rPr>
      </w:pPr>
    </w:p>
    <w:p>
      <w:pPr>
        <w:jc w:val="both"/>
        <w:ind w:right="39"/>
        <w:spacing w:after="0"/>
        <w:rPr>
          <w:sz w:val="20"/>
          <w:szCs w:val="20"/>
          <w:color w:val="auto"/>
        </w:rPr>
      </w:pPr>
      <w:r>
        <w:rPr>
          <w:rFonts w:ascii="Arial" w:cs="Arial" w:eastAsia="Arial" w:hAnsi="Arial"/>
          <w:sz w:val="13"/>
          <w:szCs w:val="13"/>
          <w:color w:val="auto"/>
        </w:rPr>
        <w:t>We believe that all leases of properties that are material to our operations may be renewed, or that alternative properties are available, on terms similar to existing leases.</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Item 3. Legal Proceedings</w:t>
      </w:r>
    </w:p>
    <w:p>
      <w:pPr>
        <w:spacing w:after="0" w:line="129" w:lineRule="exact"/>
        <w:rPr>
          <w:sz w:val="20"/>
          <w:szCs w:val="20"/>
          <w:color w:val="auto"/>
        </w:rPr>
      </w:pPr>
    </w:p>
    <w:p>
      <w:pPr>
        <w:jc w:val="both"/>
        <w:ind w:right="39"/>
        <w:spacing w:after="0" w:line="262" w:lineRule="auto"/>
        <w:rPr>
          <w:sz w:val="20"/>
          <w:szCs w:val="20"/>
          <w:color w:val="auto"/>
        </w:rPr>
      </w:pPr>
      <w:r>
        <w:rPr>
          <w:rFonts w:ascii="Arial" w:cs="Arial" w:eastAsia="Arial" w:hAnsi="Arial"/>
          <w:sz w:val="13"/>
          <w:szCs w:val="13"/>
          <w:color w:val="auto"/>
        </w:rPr>
        <w:t xml:space="preserve">Information regarding the Company’s legal proceedings is contained in the </w:t>
      </w:r>
      <w:r>
        <w:rPr>
          <w:rFonts w:ascii="Arial" w:cs="Arial" w:eastAsia="Arial" w:hAnsi="Arial"/>
          <w:sz w:val="13"/>
          <w:szCs w:val="13"/>
          <w:i w:val="1"/>
          <w:iCs w:val="1"/>
          <w:color w:val="auto"/>
        </w:rPr>
        <w:t>Legal Proceedings</w:t>
      </w:r>
      <w:r>
        <w:rPr>
          <w:rFonts w:ascii="Arial" w:cs="Arial" w:eastAsia="Arial" w:hAnsi="Arial"/>
          <w:sz w:val="13"/>
          <w:szCs w:val="13"/>
          <w:color w:val="auto"/>
        </w:rPr>
        <w:t xml:space="preserve"> note under “Item 8. Consolidated Financial Statements and Supplementary Data.”</w:t>
      </w:r>
    </w:p>
    <w:p>
      <w:pPr>
        <w:spacing w:after="0" w:line="98" w:lineRule="exact"/>
        <w:rPr>
          <w:sz w:val="20"/>
          <w:szCs w:val="20"/>
          <w:color w:val="auto"/>
        </w:rPr>
      </w:pPr>
    </w:p>
    <w:p>
      <w:pPr>
        <w:ind w:left="7660"/>
        <w:spacing w:after="0"/>
        <w:rPr>
          <w:sz w:val="20"/>
          <w:szCs w:val="20"/>
          <w:color w:val="auto"/>
        </w:rPr>
      </w:pPr>
      <w:r>
        <w:rPr>
          <w:rFonts w:ascii="Arial" w:cs="Arial" w:eastAsia="Arial" w:hAnsi="Arial"/>
          <w:sz w:val="12"/>
          <w:szCs w:val="12"/>
          <w:color w:val="auto"/>
        </w:rPr>
        <w:t>2020 Form 10-K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365125</wp:posOffset>
            </wp:positionV>
            <wp:extent cx="5790565" cy="19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90565" cy="19685"/>
                    </a:xfrm>
                    <a:prstGeom prst="rect">
                      <a:avLst/>
                    </a:prstGeom>
                    <a:noFill/>
                  </pic:spPr>
                </pic:pic>
              </a:graphicData>
            </a:graphic>
          </wp:anchor>
        </w:drawing>
      </w:r>
    </w:p>
    <w:p>
      <w:pPr>
        <w:sectPr>
          <w:pgSz w:w="11900" w:h="16838" w:orient="portrait"/>
          <w:cols w:equalWidth="0" w:num="1">
            <w:col w:w="9159"/>
          </w:cols>
          <w:pgMar w:left="1300" w:top="662" w:right="1440" w:bottom="1440" w:gutter="0" w:footer="0" w:header="0"/>
        </w:sectPr>
      </w:pPr>
    </w:p>
    <w:bookmarkStart w:id="16" w:name="page17"/>
    <w:bookmarkEnd w:id="16"/>
    <w:p>
      <w:pPr>
        <w:spacing w:after="0"/>
        <w:rPr>
          <w:sz w:val="20"/>
          <w:szCs w:val="20"/>
          <w:color w:val="auto"/>
        </w:rPr>
      </w:pPr>
      <w:r>
        <w:rPr>
          <w:rFonts w:ascii="Arial" w:cs="Arial" w:eastAsia="Arial" w:hAnsi="Arial"/>
          <w:sz w:val="13"/>
          <w:szCs w:val="13"/>
          <w:b w:val="1"/>
          <w:bCs w:val="1"/>
          <w:i w:val="1"/>
          <w:iCs w:val="1"/>
          <w:color w:val="auto"/>
        </w:rPr>
        <w:t>Item 4. Mine Safety Disclosures</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color w:val="auto"/>
        </w:rPr>
        <w:t>Not applicable.</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Item 4A. Information about our Executive Officers</w:t>
      </w:r>
    </w:p>
    <w:p>
      <w:pPr>
        <w:spacing w:after="0" w:line="154" w:lineRule="exact"/>
        <w:rPr>
          <w:sz w:val="20"/>
          <w:szCs w:val="20"/>
          <w:color w:val="auto"/>
        </w:rPr>
      </w:pPr>
    </w:p>
    <w:p>
      <w:pPr>
        <w:jc w:val="both"/>
        <w:ind w:right="39"/>
        <w:spacing w:after="0"/>
        <w:rPr>
          <w:sz w:val="20"/>
          <w:szCs w:val="20"/>
          <w:color w:val="auto"/>
        </w:rPr>
      </w:pPr>
      <w:r>
        <w:rPr>
          <w:rFonts w:ascii="Arial" w:cs="Arial" w:eastAsia="Arial" w:hAnsi="Arial"/>
          <w:sz w:val="13"/>
          <w:szCs w:val="13"/>
          <w:color w:val="auto"/>
        </w:rPr>
        <w:t>The following table provides information with respect to all persons serving as executive officers as of March 25, 2021, including business experience for the last five years.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4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3"/>
                <w:szCs w:val="13"/>
                <w:color w:val="auto"/>
              </w:rPr>
              <w:t>Chairman, President and Chief Executive Officer</w:t>
            </w:r>
          </w:p>
        </w:tc>
        <w:tc>
          <w:tcPr>
            <w:tcW w:w="264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3"/>
                <w:szCs w:val="13"/>
                <w:color w:val="auto"/>
              </w:rPr>
              <w:t>Richard A. Johnson</w:t>
            </w:r>
          </w:p>
        </w:tc>
      </w:tr>
      <w:tr>
        <w:trPr>
          <w:trHeight w:val="144"/>
        </w:trPr>
        <w:tc>
          <w:tcPr>
            <w:tcW w:w="6480" w:type="dxa"/>
            <w:vAlign w:val="bottom"/>
          </w:tcPr>
          <w:p>
            <w:pPr>
              <w:ind w:left="80"/>
              <w:spacing w:after="0" w:line="144" w:lineRule="exact"/>
              <w:rPr>
                <w:sz w:val="20"/>
                <w:szCs w:val="20"/>
                <w:color w:val="auto"/>
              </w:rPr>
            </w:pPr>
            <w:r>
              <w:rPr>
                <w:rFonts w:ascii="Arial" w:cs="Arial" w:eastAsia="Arial" w:hAnsi="Arial"/>
                <w:sz w:val="13"/>
                <w:szCs w:val="13"/>
                <w:color w:val="auto"/>
              </w:rPr>
              <w:t>Executive Vice President and Chief Executive Officer — North America</w:t>
            </w:r>
          </w:p>
        </w:tc>
        <w:tc>
          <w:tcPr>
            <w:tcW w:w="2640" w:type="dxa"/>
            <w:vAlign w:val="bottom"/>
          </w:tcPr>
          <w:p>
            <w:pPr>
              <w:ind w:left="920"/>
              <w:spacing w:after="0" w:line="144" w:lineRule="exact"/>
              <w:rPr>
                <w:sz w:val="20"/>
                <w:szCs w:val="20"/>
                <w:color w:val="auto"/>
              </w:rPr>
            </w:pPr>
            <w:r>
              <w:rPr>
                <w:rFonts w:ascii="Arial" w:cs="Arial" w:eastAsia="Arial" w:hAnsi="Arial"/>
                <w:sz w:val="13"/>
                <w:szCs w:val="13"/>
                <w:color w:val="auto"/>
              </w:rPr>
              <w:t>Frank Bracken</w:t>
            </w:r>
          </w:p>
        </w:tc>
      </w:tr>
      <w:tr>
        <w:trPr>
          <w:trHeight w:val="144"/>
        </w:trPr>
        <w:tc>
          <w:tcPr>
            <w:tcW w:w="6480" w:type="dxa"/>
            <w:vAlign w:val="bottom"/>
            <w:shd w:val="clear" w:color="auto" w:fill="CCEEFF"/>
          </w:tcPr>
          <w:p>
            <w:pPr>
              <w:ind w:left="80"/>
              <w:spacing w:after="0" w:line="144" w:lineRule="exact"/>
              <w:rPr>
                <w:sz w:val="20"/>
                <w:szCs w:val="20"/>
                <w:color w:val="auto"/>
              </w:rPr>
            </w:pPr>
            <w:r>
              <w:rPr>
                <w:rFonts w:ascii="Arial" w:cs="Arial" w:eastAsia="Arial" w:hAnsi="Arial"/>
                <w:sz w:val="13"/>
                <w:szCs w:val="13"/>
                <w:color w:val="auto"/>
              </w:rPr>
              <w:t>Executive Vice President and Chief Commercial Officer</w:t>
            </w:r>
          </w:p>
        </w:tc>
        <w:tc>
          <w:tcPr>
            <w:tcW w:w="2640" w:type="dxa"/>
            <w:vAlign w:val="bottom"/>
            <w:shd w:val="clear" w:color="auto" w:fill="CCEEFF"/>
          </w:tcPr>
          <w:p>
            <w:pPr>
              <w:ind w:left="920"/>
              <w:spacing w:after="0" w:line="144" w:lineRule="exact"/>
              <w:rPr>
                <w:sz w:val="20"/>
                <w:szCs w:val="20"/>
                <w:color w:val="auto"/>
              </w:rPr>
            </w:pPr>
            <w:r>
              <w:rPr>
                <w:rFonts w:ascii="Arial" w:cs="Arial" w:eastAsia="Arial" w:hAnsi="Arial"/>
                <w:sz w:val="13"/>
                <w:szCs w:val="13"/>
                <w:color w:val="auto"/>
              </w:rPr>
              <w:t>Andrew Gray</w:t>
            </w:r>
          </w:p>
        </w:tc>
      </w:tr>
      <w:tr>
        <w:trPr>
          <w:trHeight w:val="144"/>
        </w:trPr>
        <w:tc>
          <w:tcPr>
            <w:tcW w:w="6480" w:type="dxa"/>
            <w:vAlign w:val="bottom"/>
          </w:tcPr>
          <w:p>
            <w:pPr>
              <w:ind w:left="120"/>
              <w:spacing w:after="0" w:line="144" w:lineRule="exact"/>
              <w:rPr>
                <w:sz w:val="20"/>
                <w:szCs w:val="20"/>
                <w:color w:val="auto"/>
              </w:rPr>
            </w:pPr>
            <w:r>
              <w:rPr>
                <w:rFonts w:ascii="Arial" w:cs="Arial" w:eastAsia="Arial" w:hAnsi="Arial"/>
                <w:sz w:val="13"/>
                <w:szCs w:val="13"/>
                <w:color w:val="auto"/>
              </w:rPr>
              <w:t>Executive Vice President and Chief Executive Officer — Asia Pacific and Chief Strategy Officer</w:t>
            </w:r>
          </w:p>
        </w:tc>
        <w:tc>
          <w:tcPr>
            <w:tcW w:w="2640" w:type="dxa"/>
            <w:vAlign w:val="bottom"/>
          </w:tcPr>
          <w:p>
            <w:pPr>
              <w:ind w:left="920"/>
              <w:spacing w:after="0" w:line="144" w:lineRule="exact"/>
              <w:rPr>
                <w:sz w:val="20"/>
                <w:szCs w:val="20"/>
                <w:color w:val="auto"/>
              </w:rPr>
            </w:pPr>
            <w:r>
              <w:rPr>
                <w:rFonts w:ascii="Arial" w:cs="Arial" w:eastAsia="Arial" w:hAnsi="Arial"/>
                <w:sz w:val="13"/>
                <w:szCs w:val="13"/>
                <w:color w:val="auto"/>
              </w:rPr>
              <w:t>W. Scott Martin</w:t>
            </w:r>
          </w:p>
        </w:tc>
      </w:tr>
      <w:tr>
        <w:trPr>
          <w:trHeight w:val="144"/>
        </w:trPr>
        <w:tc>
          <w:tcPr>
            <w:tcW w:w="6480" w:type="dxa"/>
            <w:vAlign w:val="bottom"/>
            <w:shd w:val="clear" w:color="auto" w:fill="CCEEFF"/>
          </w:tcPr>
          <w:p>
            <w:pPr>
              <w:ind w:left="80"/>
              <w:spacing w:after="0" w:line="144" w:lineRule="exact"/>
              <w:rPr>
                <w:sz w:val="20"/>
                <w:szCs w:val="20"/>
                <w:color w:val="auto"/>
              </w:rPr>
            </w:pPr>
            <w:r>
              <w:rPr>
                <w:rFonts w:ascii="Arial" w:cs="Arial" w:eastAsia="Arial" w:hAnsi="Arial"/>
                <w:sz w:val="13"/>
                <w:szCs w:val="13"/>
                <w:color w:val="auto"/>
              </w:rPr>
              <w:t>Executive Vice President and Chief Financial Officer</w:t>
            </w:r>
          </w:p>
        </w:tc>
        <w:tc>
          <w:tcPr>
            <w:tcW w:w="2640" w:type="dxa"/>
            <w:vAlign w:val="bottom"/>
            <w:shd w:val="clear" w:color="auto" w:fill="CCEEFF"/>
          </w:tcPr>
          <w:p>
            <w:pPr>
              <w:ind w:left="920"/>
              <w:spacing w:after="0" w:line="144" w:lineRule="exact"/>
              <w:rPr>
                <w:sz w:val="20"/>
                <w:szCs w:val="20"/>
                <w:color w:val="auto"/>
              </w:rPr>
            </w:pPr>
            <w:r>
              <w:rPr>
                <w:rFonts w:ascii="Arial" w:cs="Arial" w:eastAsia="Arial" w:hAnsi="Arial"/>
                <w:sz w:val="13"/>
                <w:szCs w:val="13"/>
                <w:color w:val="auto"/>
              </w:rPr>
              <w:t>Lauren B. Peters</w:t>
            </w:r>
          </w:p>
        </w:tc>
      </w:tr>
      <w:tr>
        <w:trPr>
          <w:trHeight w:val="144"/>
        </w:trPr>
        <w:tc>
          <w:tcPr>
            <w:tcW w:w="6480" w:type="dxa"/>
            <w:vAlign w:val="bottom"/>
          </w:tcPr>
          <w:p>
            <w:pPr>
              <w:ind w:left="80"/>
              <w:spacing w:after="0" w:line="144" w:lineRule="exact"/>
              <w:rPr>
                <w:sz w:val="20"/>
                <w:szCs w:val="20"/>
                <w:color w:val="auto"/>
              </w:rPr>
            </w:pPr>
            <w:r>
              <w:rPr>
                <w:rFonts w:ascii="Arial" w:cs="Arial" w:eastAsia="Arial" w:hAnsi="Arial"/>
                <w:sz w:val="13"/>
                <w:szCs w:val="13"/>
                <w:color w:val="auto"/>
              </w:rPr>
              <w:t>Executive Vice President and Chief Executive Officer — EMEA</w:t>
            </w:r>
          </w:p>
        </w:tc>
        <w:tc>
          <w:tcPr>
            <w:tcW w:w="2640" w:type="dxa"/>
            <w:vAlign w:val="bottom"/>
          </w:tcPr>
          <w:p>
            <w:pPr>
              <w:ind w:left="920"/>
              <w:spacing w:after="0" w:line="144" w:lineRule="exact"/>
              <w:rPr>
                <w:sz w:val="20"/>
                <w:szCs w:val="20"/>
                <w:color w:val="auto"/>
              </w:rPr>
            </w:pPr>
            <w:r>
              <w:rPr>
                <w:rFonts w:ascii="Arial" w:cs="Arial" w:eastAsia="Arial" w:hAnsi="Arial"/>
                <w:sz w:val="13"/>
                <w:szCs w:val="13"/>
                <w:color w:val="auto"/>
              </w:rPr>
              <w:t>Vijay Talwar</w:t>
            </w:r>
          </w:p>
        </w:tc>
      </w:tr>
      <w:tr>
        <w:trPr>
          <w:trHeight w:val="144"/>
        </w:trPr>
        <w:tc>
          <w:tcPr>
            <w:tcW w:w="6480" w:type="dxa"/>
            <w:vAlign w:val="bottom"/>
            <w:shd w:val="clear" w:color="auto" w:fill="CCEEFF"/>
          </w:tcPr>
          <w:p>
            <w:pPr>
              <w:ind w:left="80"/>
              <w:spacing w:after="0" w:line="144" w:lineRule="exact"/>
              <w:rPr>
                <w:sz w:val="20"/>
                <w:szCs w:val="20"/>
                <w:color w:val="auto"/>
              </w:rPr>
            </w:pPr>
            <w:r>
              <w:rPr>
                <w:rFonts w:ascii="Arial" w:cs="Arial" w:eastAsia="Arial" w:hAnsi="Arial"/>
                <w:sz w:val="13"/>
                <w:szCs w:val="13"/>
                <w:color w:val="auto"/>
              </w:rPr>
              <w:t>Senior Vice President and Chief Accounting Officer</w:t>
            </w:r>
          </w:p>
        </w:tc>
        <w:tc>
          <w:tcPr>
            <w:tcW w:w="2640" w:type="dxa"/>
            <w:vAlign w:val="bottom"/>
            <w:shd w:val="clear" w:color="auto" w:fill="CCEEFF"/>
          </w:tcPr>
          <w:p>
            <w:pPr>
              <w:ind w:left="920"/>
              <w:spacing w:after="0" w:line="144" w:lineRule="exact"/>
              <w:rPr>
                <w:sz w:val="20"/>
                <w:szCs w:val="20"/>
                <w:color w:val="auto"/>
              </w:rPr>
            </w:pPr>
            <w:r>
              <w:rPr>
                <w:rFonts w:ascii="Arial" w:cs="Arial" w:eastAsia="Arial" w:hAnsi="Arial"/>
                <w:sz w:val="13"/>
                <w:szCs w:val="13"/>
                <w:color w:val="auto"/>
              </w:rPr>
              <w:t>Giovanna Cipriano</w:t>
            </w:r>
          </w:p>
        </w:tc>
      </w:tr>
      <w:tr>
        <w:trPr>
          <w:trHeight w:val="144"/>
        </w:trPr>
        <w:tc>
          <w:tcPr>
            <w:tcW w:w="6480" w:type="dxa"/>
            <w:vAlign w:val="bottom"/>
          </w:tcPr>
          <w:p>
            <w:pPr>
              <w:ind w:left="80"/>
              <w:spacing w:after="0" w:line="144" w:lineRule="exact"/>
              <w:rPr>
                <w:sz w:val="20"/>
                <w:szCs w:val="20"/>
                <w:color w:val="auto"/>
              </w:rPr>
            </w:pPr>
            <w:r>
              <w:rPr>
                <w:rFonts w:ascii="Arial" w:cs="Arial" w:eastAsia="Arial" w:hAnsi="Arial"/>
                <w:sz w:val="13"/>
                <w:szCs w:val="13"/>
                <w:color w:val="auto"/>
              </w:rPr>
              <w:t>Senior Vice President, General Counsel and Secretary</w:t>
            </w:r>
          </w:p>
        </w:tc>
        <w:tc>
          <w:tcPr>
            <w:tcW w:w="2640" w:type="dxa"/>
            <w:vAlign w:val="bottom"/>
          </w:tcPr>
          <w:p>
            <w:pPr>
              <w:ind w:left="920"/>
              <w:spacing w:after="0" w:line="144" w:lineRule="exact"/>
              <w:rPr>
                <w:sz w:val="20"/>
                <w:szCs w:val="20"/>
                <w:color w:val="auto"/>
              </w:rPr>
            </w:pPr>
            <w:r>
              <w:rPr>
                <w:rFonts w:ascii="Arial" w:cs="Arial" w:eastAsia="Arial" w:hAnsi="Arial"/>
                <w:sz w:val="13"/>
                <w:szCs w:val="13"/>
                <w:color w:val="auto"/>
              </w:rPr>
              <w:t>Sheilagh M. Clarke</w:t>
            </w:r>
          </w:p>
        </w:tc>
      </w:tr>
      <w:tr>
        <w:trPr>
          <w:trHeight w:val="144"/>
        </w:trPr>
        <w:tc>
          <w:tcPr>
            <w:tcW w:w="6480" w:type="dxa"/>
            <w:vAlign w:val="bottom"/>
            <w:shd w:val="clear" w:color="auto" w:fill="CCEEFF"/>
          </w:tcPr>
          <w:p>
            <w:pPr>
              <w:ind w:left="80"/>
              <w:spacing w:after="0" w:line="144" w:lineRule="exact"/>
              <w:rPr>
                <w:sz w:val="20"/>
                <w:szCs w:val="20"/>
                <w:color w:val="auto"/>
              </w:rPr>
            </w:pPr>
            <w:r>
              <w:rPr>
                <w:rFonts w:ascii="Arial" w:cs="Arial" w:eastAsia="Arial" w:hAnsi="Arial"/>
                <w:sz w:val="13"/>
                <w:szCs w:val="13"/>
                <w:color w:val="auto"/>
              </w:rPr>
              <w:t>Senior Vice President — Global Supply Chain</w:t>
            </w:r>
          </w:p>
        </w:tc>
        <w:tc>
          <w:tcPr>
            <w:tcW w:w="2640" w:type="dxa"/>
            <w:vAlign w:val="bottom"/>
            <w:shd w:val="clear" w:color="auto" w:fill="CCEEFF"/>
          </w:tcPr>
          <w:p>
            <w:pPr>
              <w:ind w:left="920"/>
              <w:spacing w:after="0" w:line="144" w:lineRule="exact"/>
              <w:rPr>
                <w:sz w:val="20"/>
                <w:szCs w:val="20"/>
                <w:color w:val="auto"/>
              </w:rPr>
            </w:pPr>
            <w:r>
              <w:rPr>
                <w:rFonts w:ascii="Arial" w:cs="Arial" w:eastAsia="Arial" w:hAnsi="Arial"/>
                <w:sz w:val="13"/>
                <w:szCs w:val="13"/>
                <w:color w:val="auto"/>
              </w:rPr>
              <w:t>Todd Greener</w:t>
            </w:r>
          </w:p>
        </w:tc>
      </w:tr>
      <w:tr>
        <w:trPr>
          <w:trHeight w:val="144"/>
        </w:trPr>
        <w:tc>
          <w:tcPr>
            <w:tcW w:w="6480" w:type="dxa"/>
            <w:vAlign w:val="bottom"/>
          </w:tcPr>
          <w:p>
            <w:pPr>
              <w:ind w:left="80"/>
              <w:spacing w:after="0" w:line="144" w:lineRule="exact"/>
              <w:rPr>
                <w:sz w:val="20"/>
                <w:szCs w:val="20"/>
                <w:color w:val="auto"/>
              </w:rPr>
            </w:pPr>
            <w:r>
              <w:rPr>
                <w:rFonts w:ascii="Arial" w:cs="Arial" w:eastAsia="Arial" w:hAnsi="Arial"/>
                <w:sz w:val="13"/>
                <w:szCs w:val="13"/>
                <w:color w:val="auto"/>
              </w:rPr>
              <w:t>Senior Vice President and Chief Human Resources Officer</w:t>
            </w:r>
          </w:p>
        </w:tc>
        <w:tc>
          <w:tcPr>
            <w:tcW w:w="2640" w:type="dxa"/>
            <w:vAlign w:val="bottom"/>
          </w:tcPr>
          <w:p>
            <w:pPr>
              <w:ind w:left="920"/>
              <w:spacing w:after="0" w:line="144" w:lineRule="exact"/>
              <w:rPr>
                <w:sz w:val="20"/>
                <w:szCs w:val="20"/>
                <w:color w:val="auto"/>
              </w:rPr>
            </w:pPr>
            <w:r>
              <w:rPr>
                <w:rFonts w:ascii="Arial" w:cs="Arial" w:eastAsia="Arial" w:hAnsi="Arial"/>
                <w:sz w:val="13"/>
                <w:szCs w:val="13"/>
                <w:color w:val="auto"/>
              </w:rPr>
              <w:t>Elizabeth S. Norberg</w:t>
            </w:r>
          </w:p>
        </w:tc>
      </w:tr>
      <w:tr>
        <w:trPr>
          <w:trHeight w:val="144"/>
        </w:trPr>
        <w:tc>
          <w:tcPr>
            <w:tcW w:w="6480" w:type="dxa"/>
            <w:vAlign w:val="bottom"/>
            <w:shd w:val="clear" w:color="auto" w:fill="CCEEFF"/>
          </w:tcPr>
          <w:p>
            <w:pPr>
              <w:ind w:left="80"/>
              <w:spacing w:after="0" w:line="144" w:lineRule="exact"/>
              <w:rPr>
                <w:sz w:val="20"/>
                <w:szCs w:val="20"/>
                <w:color w:val="auto"/>
              </w:rPr>
            </w:pPr>
            <w:r>
              <w:rPr>
                <w:rFonts w:ascii="Arial" w:cs="Arial" w:eastAsia="Arial" w:hAnsi="Arial"/>
                <w:sz w:val="13"/>
                <w:szCs w:val="13"/>
                <w:color w:val="auto"/>
              </w:rPr>
              <w:t>Senior Vice President and Chief Information Officer</w:t>
            </w:r>
          </w:p>
        </w:tc>
        <w:tc>
          <w:tcPr>
            <w:tcW w:w="2640" w:type="dxa"/>
            <w:vAlign w:val="bottom"/>
            <w:shd w:val="clear" w:color="auto" w:fill="CCEEFF"/>
          </w:tcPr>
          <w:p>
            <w:pPr>
              <w:ind w:left="920"/>
              <w:spacing w:after="0" w:line="144" w:lineRule="exact"/>
              <w:rPr>
                <w:sz w:val="20"/>
                <w:szCs w:val="20"/>
                <w:color w:val="auto"/>
              </w:rPr>
            </w:pPr>
            <w:r>
              <w:rPr>
                <w:rFonts w:ascii="Arial" w:cs="Arial" w:eastAsia="Arial" w:hAnsi="Arial"/>
                <w:sz w:val="13"/>
                <w:szCs w:val="13"/>
                <w:color w:val="auto"/>
              </w:rPr>
              <w:t>Himanshu Parikh</w:t>
            </w:r>
          </w:p>
        </w:tc>
      </w:tr>
      <w:tr>
        <w:trPr>
          <w:trHeight w:val="144"/>
        </w:trPr>
        <w:tc>
          <w:tcPr>
            <w:tcW w:w="6480" w:type="dxa"/>
            <w:vAlign w:val="bottom"/>
            <w:tcBorders>
              <w:bottom w:val="single" w:sz="8" w:color="auto"/>
            </w:tcBorders>
          </w:tcPr>
          <w:p>
            <w:pPr>
              <w:ind w:left="80"/>
              <w:spacing w:after="0" w:line="144" w:lineRule="exact"/>
              <w:rPr>
                <w:sz w:val="20"/>
                <w:szCs w:val="20"/>
                <w:color w:val="auto"/>
              </w:rPr>
            </w:pPr>
            <w:r>
              <w:rPr>
                <w:rFonts w:ascii="Arial" w:cs="Arial" w:eastAsia="Arial" w:hAnsi="Arial"/>
                <w:sz w:val="13"/>
                <w:szCs w:val="13"/>
                <w:color w:val="auto"/>
              </w:rPr>
              <w:t>Vice President, Treasurer</w:t>
            </w:r>
          </w:p>
        </w:tc>
        <w:tc>
          <w:tcPr>
            <w:tcW w:w="2640" w:type="dxa"/>
            <w:vAlign w:val="bottom"/>
            <w:tcBorders>
              <w:bottom w:val="single" w:sz="8" w:color="auto"/>
            </w:tcBorders>
          </w:tcPr>
          <w:p>
            <w:pPr>
              <w:ind w:left="920"/>
              <w:spacing w:after="0" w:line="144" w:lineRule="exact"/>
              <w:rPr>
                <w:sz w:val="20"/>
                <w:szCs w:val="20"/>
                <w:color w:val="auto"/>
              </w:rPr>
            </w:pPr>
            <w:r>
              <w:rPr>
                <w:rFonts w:ascii="Arial" w:cs="Arial" w:eastAsia="Arial" w:hAnsi="Arial"/>
                <w:sz w:val="13"/>
                <w:szCs w:val="13"/>
                <w:color w:val="auto"/>
              </w:rPr>
              <w:t>John A. Maurer</w:t>
            </w:r>
          </w:p>
        </w:tc>
      </w:tr>
    </w:tbl>
    <w:p>
      <w:pPr>
        <w:spacing w:after="0" w:line="12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Richard A. Johnson, </w:t>
      </w:r>
      <w:r>
        <w:rPr>
          <w:rFonts w:ascii="Arial" w:cs="Arial" w:eastAsia="Arial" w:hAnsi="Arial"/>
          <w:sz w:val="13"/>
          <w:szCs w:val="13"/>
          <w:color w:val="auto"/>
        </w:rPr>
        <w:t>age 63, has served as Chairman of the Board since May 2016 and President and Chief Executive Officer since December 2014.</w:t>
      </w:r>
    </w:p>
    <w:p>
      <w:pPr>
        <w:spacing w:after="0" w:line="97" w:lineRule="exact"/>
        <w:rPr>
          <w:sz w:val="20"/>
          <w:szCs w:val="20"/>
          <w:color w:val="auto"/>
        </w:rPr>
      </w:pPr>
    </w:p>
    <w:p>
      <w:pPr>
        <w:jc w:val="both"/>
        <w:ind w:right="39"/>
        <w:spacing w:after="0" w:line="241" w:lineRule="auto"/>
        <w:rPr>
          <w:sz w:val="20"/>
          <w:szCs w:val="20"/>
          <w:color w:val="auto"/>
        </w:rPr>
      </w:pPr>
      <w:r>
        <w:rPr>
          <w:rFonts w:ascii="Arial" w:cs="Arial" w:eastAsia="Arial" w:hAnsi="Arial"/>
          <w:sz w:val="13"/>
          <w:szCs w:val="13"/>
          <w:i w:val="1"/>
          <w:iCs w:val="1"/>
          <w:color w:val="auto"/>
        </w:rPr>
        <w:t xml:space="preserve">Frank Bracken, </w:t>
      </w:r>
      <w:r>
        <w:rPr>
          <w:rFonts w:ascii="Arial" w:cs="Arial" w:eastAsia="Arial" w:hAnsi="Arial"/>
          <w:sz w:val="13"/>
          <w:szCs w:val="13"/>
          <w:color w:val="auto"/>
        </w:rPr>
        <w:t>age 48, has served as Executive Vice President and Chief Executive Officer — North America since July 22, 2020. He previously served as</w:t>
      </w:r>
      <w:r>
        <w:rPr>
          <w:rFonts w:ascii="Arial" w:cs="Arial" w:eastAsia="Arial" w:hAnsi="Arial"/>
          <w:sz w:val="13"/>
          <w:szCs w:val="13"/>
          <w:i w:val="1"/>
          <w:iCs w:val="1"/>
          <w:color w:val="auto"/>
        </w:rPr>
        <w:t xml:space="preserve"> </w:t>
      </w:r>
      <w:r>
        <w:rPr>
          <w:rFonts w:ascii="Arial" w:cs="Arial" w:eastAsia="Arial" w:hAnsi="Arial"/>
          <w:sz w:val="13"/>
          <w:szCs w:val="13"/>
          <w:color w:val="auto"/>
        </w:rPr>
        <w:t>Senior Vice President and General Manager Foot Locker, Lady Foot Locker, and Kids Foot Locker from October 2017 through July 2020. Mr. Bracken previously served as the General Manager of Foot Locker Canada from February 2016 through October 2017. From January 2014 through February 2016, Mr. Bracken served as Vice President, Divisional Merchandise Manager of Footwear for Champs Sports.</w:t>
      </w:r>
    </w:p>
    <w:p>
      <w:pPr>
        <w:spacing w:after="0" w:line="107" w:lineRule="exact"/>
        <w:rPr>
          <w:sz w:val="20"/>
          <w:szCs w:val="20"/>
          <w:color w:val="auto"/>
        </w:rPr>
      </w:pPr>
    </w:p>
    <w:p>
      <w:pPr>
        <w:jc w:val="both"/>
        <w:ind w:right="39"/>
        <w:spacing w:after="0" w:line="241" w:lineRule="auto"/>
        <w:rPr>
          <w:sz w:val="20"/>
          <w:szCs w:val="20"/>
          <w:color w:val="auto"/>
        </w:rPr>
      </w:pPr>
      <w:r>
        <w:rPr>
          <w:rFonts w:ascii="Arial" w:cs="Arial" w:eastAsia="Arial" w:hAnsi="Arial"/>
          <w:sz w:val="13"/>
          <w:szCs w:val="13"/>
          <w:i w:val="1"/>
          <w:iCs w:val="1"/>
          <w:color w:val="auto"/>
        </w:rPr>
        <w:t xml:space="preserve">Andrew Gray, </w:t>
      </w:r>
      <w:r>
        <w:rPr>
          <w:rFonts w:ascii="Arial" w:cs="Arial" w:eastAsia="Arial" w:hAnsi="Arial"/>
          <w:sz w:val="13"/>
          <w:szCs w:val="13"/>
          <w:color w:val="auto"/>
        </w:rPr>
        <w:t>age 43, has served as Executive Vice President and Chief Commercial Officer since July 22, 2020. Mr. Gray previously served as Vice President</w:t>
      </w:r>
      <w:r>
        <w:rPr>
          <w:rFonts w:ascii="Arial" w:cs="Arial" w:eastAsia="Arial" w:hAnsi="Arial"/>
          <w:sz w:val="13"/>
          <w:szCs w:val="13"/>
          <w:i w:val="1"/>
          <w:iCs w:val="1"/>
          <w:color w:val="auto"/>
        </w:rPr>
        <w:t xml:space="preserve"> </w:t>
      </w:r>
      <w:r>
        <w:rPr>
          <w:rFonts w:ascii="Arial" w:cs="Arial" w:eastAsia="Arial" w:hAnsi="Arial"/>
          <w:sz w:val="13"/>
          <w:szCs w:val="13"/>
          <w:color w:val="auto"/>
        </w:rPr>
        <w:t>and Chief Merchandising Officer — North America from October 2017 through July 2020 and Vice President and General Manager of U.S. Foot Locker and Lady Foot Locker from April 2016 to October 2017. Mr. Gray previously served as Vice President and General Merchandising Manager from July 2013 to April 2016.</w:t>
      </w:r>
    </w:p>
    <w:p>
      <w:pPr>
        <w:spacing w:after="0" w:line="97" w:lineRule="exact"/>
        <w:rPr>
          <w:sz w:val="20"/>
          <w:szCs w:val="20"/>
          <w:color w:val="auto"/>
        </w:rPr>
      </w:pPr>
    </w:p>
    <w:p>
      <w:pPr>
        <w:jc w:val="both"/>
        <w:ind w:right="39"/>
        <w:spacing w:after="0" w:line="241" w:lineRule="auto"/>
        <w:rPr>
          <w:sz w:val="20"/>
          <w:szCs w:val="20"/>
          <w:color w:val="auto"/>
        </w:rPr>
      </w:pPr>
      <w:r>
        <w:rPr>
          <w:rFonts w:ascii="Arial" w:cs="Arial" w:eastAsia="Arial" w:hAnsi="Arial"/>
          <w:sz w:val="13"/>
          <w:szCs w:val="13"/>
          <w:i w:val="1"/>
          <w:iCs w:val="1"/>
          <w:color w:val="auto"/>
        </w:rPr>
        <w:t xml:space="preserve">W. Scott Martin, </w:t>
      </w:r>
      <w:r>
        <w:rPr>
          <w:rFonts w:ascii="Arial" w:cs="Arial" w:eastAsia="Arial" w:hAnsi="Arial"/>
          <w:sz w:val="13"/>
          <w:szCs w:val="13"/>
          <w:color w:val="auto"/>
        </w:rPr>
        <w:t>age 53, has served as Executive Vice President and Chief Executive Officer — Asia Pacific and Chief Strategy Officer since July 22, 2020. He</w:t>
      </w:r>
      <w:r>
        <w:rPr>
          <w:rFonts w:ascii="Arial" w:cs="Arial" w:eastAsia="Arial" w:hAnsi="Arial"/>
          <w:sz w:val="13"/>
          <w:szCs w:val="13"/>
          <w:i w:val="1"/>
          <w:iCs w:val="1"/>
          <w:color w:val="auto"/>
        </w:rPr>
        <w:t xml:space="preserve"> </w:t>
      </w:r>
      <w:r>
        <w:rPr>
          <w:rFonts w:ascii="Arial" w:cs="Arial" w:eastAsia="Arial" w:hAnsi="Arial"/>
          <w:sz w:val="13"/>
          <w:szCs w:val="13"/>
          <w:color w:val="auto"/>
        </w:rPr>
        <w:t>previously served as Senior Vice President, Chief Strategy and Development Officer from March 2019 to July 2020. Previously he served as Senior Vice President — Strategy and Store Development from October 2017 to March 2019 and as Senior Vice President — Real Estate from June 2016 to September 2017. Mr. Martin previously served as Vice President, Store Development – Asia Pacific with Gap Inc. from June 2014 to June 2016.</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Lauren B. Peters</w:t>
      </w:r>
      <w:r>
        <w:rPr>
          <w:rFonts w:ascii="Arial" w:cs="Arial" w:eastAsia="Arial" w:hAnsi="Arial"/>
          <w:sz w:val="13"/>
          <w:szCs w:val="13"/>
          <w:color w:val="auto"/>
        </w:rPr>
        <w:t>, age 59, has served as Executive Vice President and Chief Financial Officer since July 2011.</w:t>
      </w:r>
    </w:p>
    <w:p>
      <w:pPr>
        <w:spacing w:after="0" w:line="127" w:lineRule="exact"/>
        <w:rPr>
          <w:sz w:val="20"/>
          <w:szCs w:val="20"/>
          <w:color w:val="auto"/>
        </w:rPr>
      </w:pPr>
    </w:p>
    <w:p>
      <w:pPr>
        <w:jc w:val="both"/>
        <w:ind w:right="39"/>
        <w:spacing w:after="0" w:line="246" w:lineRule="auto"/>
        <w:rPr>
          <w:sz w:val="20"/>
          <w:szCs w:val="20"/>
          <w:color w:val="auto"/>
        </w:rPr>
      </w:pPr>
      <w:r>
        <w:rPr>
          <w:rFonts w:ascii="Arial" w:cs="Arial" w:eastAsia="Arial" w:hAnsi="Arial"/>
          <w:sz w:val="13"/>
          <w:szCs w:val="13"/>
          <w:i w:val="1"/>
          <w:iCs w:val="1"/>
          <w:color w:val="auto"/>
        </w:rPr>
        <w:t xml:space="preserve">Vijay Talwar, </w:t>
      </w:r>
      <w:r>
        <w:rPr>
          <w:rFonts w:ascii="Arial" w:cs="Arial" w:eastAsia="Arial" w:hAnsi="Arial"/>
          <w:sz w:val="13"/>
          <w:szCs w:val="13"/>
          <w:color w:val="auto"/>
        </w:rPr>
        <w:t>age 49, has served as Executive Vice President and Chief Executive Officer — EMEA since February 2019. Mr. Talwar previously served as</w:t>
      </w:r>
      <w:r>
        <w:rPr>
          <w:rFonts w:ascii="Arial" w:cs="Arial" w:eastAsia="Arial" w:hAnsi="Arial"/>
          <w:sz w:val="13"/>
          <w:szCs w:val="13"/>
          <w:i w:val="1"/>
          <w:iCs w:val="1"/>
          <w:color w:val="auto"/>
        </w:rPr>
        <w:t xml:space="preserve"> </w:t>
      </w:r>
      <w:r>
        <w:rPr>
          <w:rFonts w:ascii="Arial" w:cs="Arial" w:eastAsia="Arial" w:hAnsi="Arial"/>
          <w:sz w:val="13"/>
          <w:szCs w:val="13"/>
          <w:color w:val="auto"/>
        </w:rPr>
        <w:t>President — Digital from March 2018 to February 2019 and President — Digital/Footlocker.com/Eastbay from September 2016 to March 2018. Mr. Talwar served as President, Gifts and Special Occasions at Sears Holdings Corporation from 2014 to September 2016.</w:t>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Giovanna Cipriano, </w:t>
      </w:r>
      <w:r>
        <w:rPr>
          <w:rFonts w:ascii="Arial" w:cs="Arial" w:eastAsia="Arial" w:hAnsi="Arial"/>
          <w:sz w:val="13"/>
          <w:szCs w:val="13"/>
          <w:color w:val="auto"/>
        </w:rPr>
        <w:t>age 51, has served as Senior Vice President and Chief Accounting Officer since May 2009.</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 xml:space="preserve">Sheilagh M. Clarke, </w:t>
      </w:r>
      <w:r>
        <w:rPr>
          <w:rFonts w:ascii="Arial" w:cs="Arial" w:eastAsia="Arial" w:hAnsi="Arial"/>
          <w:sz w:val="13"/>
          <w:szCs w:val="13"/>
          <w:color w:val="auto"/>
        </w:rPr>
        <w:t>age 61, has served as Senior Vice President, General Counsel and Secretary since June 2014.</w:t>
      </w:r>
    </w:p>
    <w:p>
      <w:pPr>
        <w:spacing w:after="0" w:line="127" w:lineRule="exact"/>
        <w:rPr>
          <w:sz w:val="20"/>
          <w:szCs w:val="20"/>
          <w:color w:val="auto"/>
        </w:rPr>
      </w:pPr>
    </w:p>
    <w:p>
      <w:pPr>
        <w:jc w:val="both"/>
        <w:ind w:right="39"/>
        <w:spacing w:after="0" w:line="246" w:lineRule="auto"/>
        <w:rPr>
          <w:sz w:val="20"/>
          <w:szCs w:val="20"/>
          <w:color w:val="auto"/>
        </w:rPr>
      </w:pPr>
      <w:r>
        <w:rPr>
          <w:rFonts w:ascii="Arial" w:cs="Arial" w:eastAsia="Arial" w:hAnsi="Arial"/>
          <w:sz w:val="13"/>
          <w:szCs w:val="13"/>
          <w:i w:val="1"/>
          <w:iCs w:val="1"/>
          <w:color w:val="auto"/>
        </w:rPr>
        <w:t>Todd Greener</w:t>
      </w:r>
      <w:r>
        <w:rPr>
          <w:rFonts w:ascii="Arial" w:cs="Arial" w:eastAsia="Arial" w:hAnsi="Arial"/>
          <w:sz w:val="13"/>
          <w:szCs w:val="13"/>
          <w:color w:val="auto"/>
        </w:rPr>
        <w:t>, age 50, has served as Senior Vice President — Global Supply Chain since October 2018. Mr. Greener previously served as Senior Vice</w:t>
      </w:r>
      <w:r>
        <w:rPr>
          <w:rFonts w:ascii="Arial" w:cs="Arial" w:eastAsia="Arial" w:hAnsi="Arial"/>
          <w:sz w:val="13"/>
          <w:szCs w:val="13"/>
          <w:i w:val="1"/>
          <w:iCs w:val="1"/>
          <w:color w:val="auto"/>
        </w:rPr>
        <w:t xml:space="preserve"> </w:t>
      </w:r>
      <w:r>
        <w:rPr>
          <w:rFonts w:ascii="Arial" w:cs="Arial" w:eastAsia="Arial" w:hAnsi="Arial"/>
          <w:sz w:val="13"/>
          <w:szCs w:val="13"/>
          <w:color w:val="auto"/>
        </w:rPr>
        <w:t>President — Supply Chain at Advance Auto Parts from March 2015 to October 2018 and General Manager — Appliance Distribution Operations at General Electric Company from September 2012 to February 2015.</w:t>
      </w:r>
    </w:p>
    <w:p>
      <w:pPr>
        <w:spacing w:after="0" w:line="385" w:lineRule="exact"/>
        <w:rPr>
          <w:sz w:val="20"/>
          <w:szCs w:val="20"/>
          <w:color w:val="auto"/>
        </w:rPr>
      </w:pPr>
    </w:p>
    <w:p>
      <w:pPr>
        <w:ind w:left="7660"/>
        <w:spacing w:after="0"/>
        <w:rPr>
          <w:sz w:val="20"/>
          <w:szCs w:val="20"/>
          <w:color w:val="auto"/>
        </w:rPr>
      </w:pPr>
      <w:r>
        <w:rPr>
          <w:rFonts w:ascii="Arial" w:cs="Arial" w:eastAsia="Arial" w:hAnsi="Arial"/>
          <w:sz w:val="12"/>
          <w:szCs w:val="12"/>
          <w:color w:val="auto"/>
        </w:rPr>
        <w:t>2020 Form 10-K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365125</wp:posOffset>
            </wp:positionV>
            <wp:extent cx="5790565" cy="19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90565" cy="19685"/>
                    </a:xfrm>
                    <a:prstGeom prst="rect">
                      <a:avLst/>
                    </a:prstGeom>
                    <a:noFill/>
                  </pic:spPr>
                </pic:pic>
              </a:graphicData>
            </a:graphic>
          </wp:anchor>
        </w:drawing>
      </w:r>
    </w:p>
    <w:p>
      <w:pPr>
        <w:sectPr>
          <w:pgSz w:w="11900" w:h="16838" w:orient="portrait"/>
          <w:cols w:equalWidth="0" w:num="1">
            <w:col w:w="9159"/>
          </w:cols>
          <w:pgMar w:left="1300" w:top="662" w:right="1440" w:bottom="1440" w:gutter="0" w:footer="0" w:header="0"/>
        </w:sectPr>
      </w:pPr>
    </w:p>
    <w:bookmarkStart w:id="17" w:name="page18"/>
    <w:bookmarkEnd w:id="17"/>
    <w:p>
      <w:pPr>
        <w:jc w:val="both"/>
        <w:ind w:left="3" w:right="39"/>
        <w:spacing w:after="0" w:line="241" w:lineRule="auto"/>
        <w:rPr>
          <w:sz w:val="20"/>
          <w:szCs w:val="20"/>
          <w:color w:val="auto"/>
        </w:rPr>
      </w:pPr>
      <w:r>
        <w:rPr>
          <w:rFonts w:ascii="Arial" w:cs="Arial" w:eastAsia="Arial" w:hAnsi="Arial"/>
          <w:sz w:val="13"/>
          <w:szCs w:val="13"/>
          <w:i w:val="1"/>
          <w:iCs w:val="1"/>
          <w:color w:val="auto"/>
        </w:rPr>
        <w:t>Elizabeth S. Norberg</w:t>
      </w:r>
      <w:r>
        <w:rPr>
          <w:rFonts w:ascii="Arial" w:cs="Arial" w:eastAsia="Arial" w:hAnsi="Arial"/>
          <w:sz w:val="13"/>
          <w:szCs w:val="13"/>
          <w:color w:val="auto"/>
        </w:rPr>
        <w:t>, age 54, has served as Senior Vice President and Chief Human Resources Officer since September 2018. Ms. Norberg previously served</w:t>
      </w:r>
      <w:r>
        <w:rPr>
          <w:rFonts w:ascii="Arial" w:cs="Arial" w:eastAsia="Arial" w:hAnsi="Arial"/>
          <w:sz w:val="13"/>
          <w:szCs w:val="13"/>
          <w:i w:val="1"/>
          <w:iCs w:val="1"/>
          <w:color w:val="auto"/>
        </w:rPr>
        <w:t xml:space="preserve"> </w:t>
      </w:r>
      <w:r>
        <w:rPr>
          <w:rFonts w:ascii="Arial" w:cs="Arial" w:eastAsia="Arial" w:hAnsi="Arial"/>
          <w:sz w:val="13"/>
          <w:szCs w:val="13"/>
          <w:color w:val="auto"/>
        </w:rPr>
        <w:t>as Executive Vice President, Chief Human Resources Officer at Loews Hotels &amp; Co. (a subsidiary of Loews Corporation) from August 2017 to September 2018, Executive Vice President, Chief Human Resources Officer at Red Lion Hotels Corporation from June 2016 to August 2017, and Vice President and Chief of Human Resources Operations, Health System at Northwell Health from January 2015 to June 2016.</w:t>
      </w:r>
    </w:p>
    <w:p>
      <w:pPr>
        <w:spacing w:after="0" w:line="97" w:lineRule="exact"/>
        <w:rPr>
          <w:sz w:val="20"/>
          <w:szCs w:val="20"/>
          <w:color w:val="auto"/>
        </w:rPr>
      </w:pPr>
    </w:p>
    <w:p>
      <w:pPr>
        <w:jc w:val="both"/>
        <w:ind w:left="3" w:right="39"/>
        <w:spacing w:after="0" w:line="246" w:lineRule="auto"/>
        <w:rPr>
          <w:sz w:val="20"/>
          <w:szCs w:val="20"/>
          <w:color w:val="auto"/>
        </w:rPr>
      </w:pPr>
      <w:r>
        <w:rPr>
          <w:rFonts w:ascii="Arial" w:cs="Arial" w:eastAsia="Arial" w:hAnsi="Arial"/>
          <w:sz w:val="13"/>
          <w:szCs w:val="13"/>
          <w:i w:val="1"/>
          <w:iCs w:val="1"/>
          <w:color w:val="auto"/>
        </w:rPr>
        <w:t>Himanshu Parikh</w:t>
      </w:r>
      <w:r>
        <w:rPr>
          <w:rFonts w:ascii="Arial" w:cs="Arial" w:eastAsia="Arial" w:hAnsi="Arial"/>
          <w:sz w:val="13"/>
          <w:szCs w:val="13"/>
          <w:color w:val="auto"/>
        </w:rPr>
        <w:t>, age 48, has served as Senior Vice President, Chief Information Officer since December 18, 2020. From January 2015 to November 2020,</w:t>
      </w:r>
      <w:r>
        <w:rPr>
          <w:rFonts w:ascii="Arial" w:cs="Arial" w:eastAsia="Arial" w:hAnsi="Arial"/>
          <w:sz w:val="13"/>
          <w:szCs w:val="13"/>
          <w:i w:val="1"/>
          <w:iCs w:val="1"/>
          <w:color w:val="auto"/>
        </w:rPr>
        <w:t xml:space="preserve"> </w:t>
      </w:r>
      <w:r>
        <w:rPr>
          <w:rFonts w:ascii="Arial" w:cs="Arial" w:eastAsia="Arial" w:hAnsi="Arial"/>
          <w:sz w:val="13"/>
          <w:szCs w:val="13"/>
          <w:color w:val="auto"/>
        </w:rPr>
        <w:t>Mr. Parikh served in various technology leadership roles at Michaels Corporation with his most recent role as Senior Vice President — Chief Technology Officer.</w:t>
      </w:r>
    </w:p>
    <w:p>
      <w:pPr>
        <w:spacing w:after="0" w:line="104" w:lineRule="exact"/>
        <w:rPr>
          <w:sz w:val="20"/>
          <w:szCs w:val="20"/>
          <w:color w:val="auto"/>
        </w:rPr>
      </w:pPr>
    </w:p>
    <w:p>
      <w:pPr>
        <w:jc w:val="both"/>
        <w:ind w:left="3" w:right="39"/>
        <w:spacing w:after="0" w:line="262" w:lineRule="auto"/>
        <w:rPr>
          <w:sz w:val="20"/>
          <w:szCs w:val="20"/>
          <w:color w:val="auto"/>
        </w:rPr>
      </w:pPr>
      <w:r>
        <w:rPr>
          <w:rFonts w:ascii="Arial" w:cs="Arial" w:eastAsia="Arial" w:hAnsi="Arial"/>
          <w:sz w:val="13"/>
          <w:szCs w:val="13"/>
          <w:i w:val="1"/>
          <w:iCs w:val="1"/>
          <w:color w:val="auto"/>
        </w:rPr>
        <w:t xml:space="preserve">John A. Maurer, </w:t>
      </w:r>
      <w:r>
        <w:rPr>
          <w:rFonts w:ascii="Arial" w:cs="Arial" w:eastAsia="Arial" w:hAnsi="Arial"/>
          <w:sz w:val="13"/>
          <w:szCs w:val="13"/>
          <w:color w:val="auto"/>
        </w:rPr>
        <w:t>age 61, has served as Vice President, Treasurer since September 2006. In addition to this role, he also served as the Vice President of</w:t>
      </w:r>
      <w:r>
        <w:rPr>
          <w:rFonts w:ascii="Arial" w:cs="Arial" w:eastAsia="Arial" w:hAnsi="Arial"/>
          <w:sz w:val="13"/>
          <w:szCs w:val="13"/>
          <w:i w:val="1"/>
          <w:iCs w:val="1"/>
          <w:color w:val="auto"/>
        </w:rPr>
        <w:t xml:space="preserve"> </w:t>
      </w:r>
      <w:r>
        <w:rPr>
          <w:rFonts w:ascii="Arial" w:cs="Arial" w:eastAsia="Arial" w:hAnsi="Arial"/>
          <w:sz w:val="13"/>
          <w:szCs w:val="13"/>
          <w:color w:val="auto"/>
        </w:rPr>
        <w:t>Investor Relations from February 2011 through March 2018.</w:t>
      </w:r>
    </w:p>
    <w:p>
      <w:pPr>
        <w:spacing w:after="0" w:line="108" w:lineRule="exact"/>
        <w:rPr>
          <w:sz w:val="20"/>
          <w:szCs w:val="20"/>
          <w:color w:val="auto"/>
        </w:rPr>
      </w:pPr>
    </w:p>
    <w:p>
      <w:pPr>
        <w:ind w:left="3"/>
        <w:spacing w:after="0"/>
        <w:rPr>
          <w:sz w:val="20"/>
          <w:szCs w:val="20"/>
          <w:color w:val="auto"/>
        </w:rPr>
      </w:pPr>
      <w:r>
        <w:rPr>
          <w:rFonts w:ascii="Arial" w:cs="Arial" w:eastAsia="Arial" w:hAnsi="Arial"/>
          <w:sz w:val="13"/>
          <w:szCs w:val="13"/>
          <w:color w:val="auto"/>
        </w:rPr>
        <w:t>There are no family relationships among the executive officers or directors of the Company.</w:t>
      </w:r>
    </w:p>
    <w:p>
      <w:pPr>
        <w:spacing w:after="0" w:line="214"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PART II</w:t>
      </w:r>
    </w:p>
    <w:p>
      <w:pPr>
        <w:spacing w:after="0" w:line="127" w:lineRule="exact"/>
        <w:rPr>
          <w:sz w:val="20"/>
          <w:szCs w:val="20"/>
          <w:color w:val="auto"/>
        </w:rPr>
      </w:pPr>
    </w:p>
    <w:p>
      <w:pPr>
        <w:ind w:left="3"/>
        <w:spacing w:after="0"/>
        <w:rPr>
          <w:sz w:val="20"/>
          <w:szCs w:val="20"/>
          <w:color w:val="auto"/>
        </w:rPr>
      </w:pPr>
      <w:r>
        <w:rPr>
          <w:rFonts w:ascii="Arial" w:cs="Arial" w:eastAsia="Arial" w:hAnsi="Arial"/>
          <w:sz w:val="13"/>
          <w:szCs w:val="13"/>
          <w:b w:val="1"/>
          <w:bCs w:val="1"/>
          <w:i w:val="1"/>
          <w:iCs w:val="1"/>
          <w:color w:val="auto"/>
        </w:rPr>
        <w:t>Item 5. Market for the Company’s Common Equity, Related Stockholder Matters and Issuer Purchases of Equity Securities</w:t>
      </w:r>
    </w:p>
    <w:p>
      <w:pPr>
        <w:spacing w:after="0" w:line="143" w:lineRule="exact"/>
        <w:rPr>
          <w:sz w:val="20"/>
          <w:szCs w:val="20"/>
          <w:color w:val="auto"/>
        </w:rPr>
      </w:pPr>
    </w:p>
    <w:p>
      <w:pPr>
        <w:ind w:left="3"/>
        <w:spacing w:after="0"/>
        <w:rPr>
          <w:sz w:val="20"/>
          <w:szCs w:val="20"/>
          <w:color w:val="auto"/>
        </w:rPr>
      </w:pPr>
      <w:r>
        <w:rPr>
          <w:rFonts w:ascii="Arial" w:cs="Arial" w:eastAsia="Arial" w:hAnsi="Arial"/>
          <w:sz w:val="13"/>
          <w:szCs w:val="13"/>
          <w:color w:val="auto"/>
        </w:rPr>
        <w:t>Foot Locker, Inc. common stock (ticker symbol “FL”) is listed on the New York Stock Exchange as well as on the Börse Stuttgart stock exchange in Germany.</w:t>
      </w:r>
    </w:p>
    <w:p>
      <w:pPr>
        <w:spacing w:after="0" w:line="127" w:lineRule="exact"/>
        <w:rPr>
          <w:sz w:val="20"/>
          <w:szCs w:val="20"/>
          <w:color w:val="auto"/>
        </w:rPr>
      </w:pPr>
    </w:p>
    <w:p>
      <w:pPr>
        <w:ind w:left="3"/>
        <w:spacing w:after="0"/>
        <w:rPr>
          <w:sz w:val="20"/>
          <w:szCs w:val="20"/>
          <w:color w:val="auto"/>
        </w:rPr>
      </w:pPr>
      <w:r>
        <w:rPr>
          <w:rFonts w:ascii="Arial" w:cs="Arial" w:eastAsia="Arial" w:hAnsi="Arial"/>
          <w:sz w:val="13"/>
          <w:szCs w:val="13"/>
          <w:color w:val="auto"/>
        </w:rPr>
        <w:t>As of January 30, 2021, we had 11,957 shareholders of record owning 103,619,123 common shares.</w:t>
      </w:r>
    </w:p>
    <w:p>
      <w:pPr>
        <w:spacing w:after="0" w:line="117" w:lineRule="exact"/>
        <w:rPr>
          <w:sz w:val="20"/>
          <w:szCs w:val="20"/>
          <w:color w:val="auto"/>
        </w:rPr>
      </w:pPr>
    </w:p>
    <w:p>
      <w:pPr>
        <w:jc w:val="both"/>
        <w:ind w:left="3" w:right="39"/>
        <w:spacing w:after="0" w:line="236" w:lineRule="auto"/>
        <w:rPr>
          <w:sz w:val="20"/>
          <w:szCs w:val="20"/>
          <w:color w:val="auto"/>
        </w:rPr>
      </w:pPr>
      <w:r>
        <w:rPr>
          <w:rFonts w:ascii="Arial" w:cs="Arial" w:eastAsia="Arial" w:hAnsi="Arial"/>
          <w:sz w:val="13"/>
          <w:szCs w:val="13"/>
          <w:color w:val="auto"/>
        </w:rPr>
        <w:t>We declared a dividend of $0.40 per share in the first quarter of 2020. During the first quarter, we suspended our second quarter dividend as a result of the economic uncertainty as a result of the COVID-19 pandemic. On August 20, 2020, our Board of Directors approved the reinstatement of our quarterly dividend program at a rate of $0.15 per share. We also paid a dividend of $0.15 during the fourth quarter.</w:t>
      </w:r>
    </w:p>
    <w:p>
      <w:pPr>
        <w:spacing w:after="0" w:line="123" w:lineRule="exact"/>
        <w:rPr>
          <w:sz w:val="20"/>
          <w:szCs w:val="20"/>
          <w:color w:val="auto"/>
        </w:rPr>
      </w:pPr>
    </w:p>
    <w:p>
      <w:pPr>
        <w:jc w:val="both"/>
        <w:ind w:left="3" w:right="39"/>
        <w:spacing w:after="0" w:line="236" w:lineRule="auto"/>
        <w:rPr>
          <w:sz w:val="20"/>
          <w:szCs w:val="20"/>
          <w:color w:val="auto"/>
        </w:rPr>
      </w:pPr>
      <w:r>
        <w:rPr>
          <w:rFonts w:ascii="Arial" w:cs="Arial" w:eastAsia="Arial" w:hAnsi="Arial"/>
          <w:sz w:val="13"/>
          <w:szCs w:val="13"/>
          <w:color w:val="auto"/>
        </w:rPr>
        <w:t>On February 17, 2021, the Board of Directors declared a quarterly dividend of $0.20 per share to be paid on April 30, 2021. This dividend represents a 33 percent increase from the previous quarterly per share amount of $0.15 per share. The Board of Directors regularly reviews the dividend policy and rate, taking into consideration the overall financial and strategic outlook for our earnings, liquidity, and cash flow.</w:t>
      </w:r>
    </w:p>
    <w:p>
      <w:pPr>
        <w:spacing w:after="0" w:line="123" w:lineRule="exact"/>
        <w:rPr>
          <w:sz w:val="20"/>
          <w:szCs w:val="20"/>
          <w:color w:val="auto"/>
        </w:rPr>
      </w:pPr>
    </w:p>
    <w:p>
      <w:pPr>
        <w:ind w:left="3"/>
        <w:spacing w:after="0"/>
        <w:rPr>
          <w:sz w:val="20"/>
          <w:szCs w:val="20"/>
          <w:color w:val="auto"/>
        </w:rPr>
      </w:pPr>
      <w:r>
        <w:rPr>
          <w:rFonts w:ascii="Arial" w:cs="Arial" w:eastAsia="Arial" w:hAnsi="Arial"/>
          <w:sz w:val="13"/>
          <w:szCs w:val="13"/>
          <w:color w:val="auto"/>
        </w:rPr>
        <w:t>The following table is a summary of our fourth quarter share repurchases:</w:t>
      </w:r>
    </w:p>
    <w:tbl>
      <w:tblPr>
        <w:tblLayout w:type="fixed"/>
        <w:tblInd w:w="3" w:type="dxa"/>
        <w:tblCellMar>
          <w:top w:w="0" w:type="dxa"/>
          <w:left w:w="0" w:type="dxa"/>
          <w:bottom w:w="0" w:type="dxa"/>
          <w:right w:w="0" w:type="dxa"/>
        </w:tblCellMar>
      </w:tblPr>
      <w:tr>
        <w:trPr>
          <w:trHeight w:val="132"/>
        </w:trPr>
        <w:tc>
          <w:tcPr>
            <w:tcW w:w="28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6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rPr>
              <w:t>Total Number of</w:t>
            </w:r>
          </w:p>
        </w:tc>
        <w:tc>
          <w:tcPr>
            <w:tcW w:w="260" w:type="dxa"/>
            <w:vAlign w:val="bottom"/>
          </w:tcPr>
          <w:p>
            <w:pPr>
              <w:spacing w:after="0"/>
              <w:rPr>
                <w:sz w:val="11"/>
                <w:szCs w:val="11"/>
                <w:color w:val="auto"/>
              </w:rPr>
            </w:pPr>
          </w:p>
        </w:tc>
        <w:tc>
          <w:tcPr>
            <w:tcW w:w="1320" w:type="dxa"/>
            <w:vAlign w:val="bottom"/>
          </w:tcPr>
          <w:p>
            <w:pPr>
              <w:jc w:val="center"/>
              <w:ind w:right="75"/>
              <w:spacing w:after="0" w:line="132" w:lineRule="exact"/>
              <w:rPr>
                <w:sz w:val="20"/>
                <w:szCs w:val="20"/>
                <w:color w:val="auto"/>
              </w:rPr>
            </w:pPr>
            <w:r>
              <w:rPr>
                <w:rFonts w:ascii="Arial" w:cs="Arial" w:eastAsia="Arial" w:hAnsi="Arial"/>
                <w:sz w:val="13"/>
                <w:szCs w:val="13"/>
                <w:b w:val="1"/>
                <w:bCs w:val="1"/>
                <w:color w:val="auto"/>
                <w:w w:val="98"/>
              </w:rPr>
              <w:t>Dollar Value of</w:t>
            </w:r>
          </w:p>
        </w:tc>
      </w:tr>
      <w:tr>
        <w:trPr>
          <w:trHeight w:val="144"/>
        </w:trPr>
        <w:tc>
          <w:tcPr>
            <w:tcW w:w="2840" w:type="dxa"/>
            <w:vAlign w:val="bottom"/>
          </w:tcPr>
          <w:p>
            <w:pPr>
              <w:spacing w:after="0"/>
              <w:rPr>
                <w:sz w:val="12"/>
                <w:szCs w:val="12"/>
                <w:color w:val="auto"/>
              </w:rPr>
            </w:pPr>
          </w:p>
        </w:tc>
        <w:tc>
          <w:tcPr>
            <w:tcW w:w="1840" w:type="dxa"/>
            <w:vAlign w:val="bottom"/>
          </w:tcPr>
          <w:p>
            <w:pPr>
              <w:jc w:val="center"/>
              <w:ind w:left="555"/>
              <w:spacing w:after="0" w:line="144" w:lineRule="exact"/>
              <w:rPr>
                <w:sz w:val="20"/>
                <w:szCs w:val="20"/>
                <w:color w:val="auto"/>
              </w:rPr>
            </w:pPr>
            <w:r>
              <w:rPr>
                <w:rFonts w:ascii="Arial" w:cs="Arial" w:eastAsia="Arial" w:hAnsi="Arial"/>
                <w:sz w:val="13"/>
                <w:szCs w:val="13"/>
                <w:b w:val="1"/>
                <w:bCs w:val="1"/>
                <w:color w:val="auto"/>
                <w:w w:val="96"/>
              </w:rPr>
              <w:t>Total</w:t>
            </w:r>
          </w:p>
        </w:tc>
        <w:tc>
          <w:tcPr>
            <w:tcW w:w="200" w:type="dxa"/>
            <w:vAlign w:val="bottom"/>
          </w:tcPr>
          <w:p>
            <w:pPr>
              <w:spacing w:after="0"/>
              <w:rPr>
                <w:sz w:val="12"/>
                <w:szCs w:val="12"/>
                <w:color w:val="auto"/>
              </w:rPr>
            </w:pPr>
          </w:p>
        </w:tc>
        <w:tc>
          <w:tcPr>
            <w:tcW w:w="800" w:type="dxa"/>
            <w:vAlign w:val="bottom"/>
          </w:tcPr>
          <w:p>
            <w:pPr>
              <w:jc w:val="center"/>
              <w:ind w:right="195"/>
              <w:spacing w:after="0" w:line="144" w:lineRule="exact"/>
              <w:rPr>
                <w:sz w:val="20"/>
                <w:szCs w:val="20"/>
                <w:color w:val="auto"/>
              </w:rPr>
            </w:pPr>
            <w:r>
              <w:rPr>
                <w:rFonts w:ascii="Arial" w:cs="Arial" w:eastAsia="Arial" w:hAnsi="Arial"/>
                <w:sz w:val="13"/>
                <w:szCs w:val="13"/>
                <w:b w:val="1"/>
                <w:bCs w:val="1"/>
                <w:color w:val="auto"/>
                <w:w w:val="97"/>
              </w:rPr>
              <w:t>Average</w:t>
            </w:r>
          </w:p>
        </w:tc>
        <w:tc>
          <w:tcPr>
            <w:tcW w:w="1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Shares Purchased as</w:t>
            </w:r>
          </w:p>
        </w:tc>
        <w:tc>
          <w:tcPr>
            <w:tcW w:w="260" w:type="dxa"/>
            <w:vAlign w:val="bottom"/>
          </w:tcPr>
          <w:p>
            <w:pPr>
              <w:spacing w:after="0"/>
              <w:rPr>
                <w:sz w:val="12"/>
                <w:szCs w:val="12"/>
                <w:color w:val="auto"/>
              </w:rPr>
            </w:pPr>
          </w:p>
        </w:tc>
        <w:tc>
          <w:tcPr>
            <w:tcW w:w="1320" w:type="dxa"/>
            <w:vAlign w:val="bottom"/>
          </w:tcPr>
          <w:p>
            <w:pPr>
              <w:jc w:val="center"/>
              <w:ind w:right="95"/>
              <w:spacing w:after="0" w:line="144" w:lineRule="exact"/>
              <w:rPr>
                <w:sz w:val="20"/>
                <w:szCs w:val="20"/>
                <w:color w:val="auto"/>
              </w:rPr>
            </w:pPr>
            <w:r>
              <w:rPr>
                <w:rFonts w:ascii="Arial" w:cs="Arial" w:eastAsia="Arial" w:hAnsi="Arial"/>
                <w:sz w:val="13"/>
                <w:szCs w:val="13"/>
                <w:b w:val="1"/>
                <w:bCs w:val="1"/>
                <w:color w:val="auto"/>
                <w:w w:val="99"/>
              </w:rPr>
              <w:t>Shares that may</w:t>
            </w:r>
          </w:p>
        </w:tc>
      </w:tr>
      <w:tr>
        <w:trPr>
          <w:trHeight w:val="144"/>
        </w:trPr>
        <w:tc>
          <w:tcPr>
            <w:tcW w:w="2840" w:type="dxa"/>
            <w:vAlign w:val="bottom"/>
          </w:tcPr>
          <w:p>
            <w:pPr>
              <w:spacing w:after="0"/>
              <w:rPr>
                <w:sz w:val="12"/>
                <w:szCs w:val="12"/>
                <w:color w:val="auto"/>
              </w:rPr>
            </w:pPr>
          </w:p>
        </w:tc>
        <w:tc>
          <w:tcPr>
            <w:tcW w:w="1840" w:type="dxa"/>
            <w:vAlign w:val="bottom"/>
          </w:tcPr>
          <w:p>
            <w:pPr>
              <w:jc w:val="center"/>
              <w:ind w:left="535"/>
              <w:spacing w:after="0" w:line="144" w:lineRule="exact"/>
              <w:rPr>
                <w:sz w:val="20"/>
                <w:szCs w:val="20"/>
                <w:color w:val="auto"/>
              </w:rPr>
            </w:pPr>
            <w:r>
              <w:rPr>
                <w:rFonts w:ascii="Arial" w:cs="Arial" w:eastAsia="Arial" w:hAnsi="Arial"/>
                <w:sz w:val="13"/>
                <w:szCs w:val="13"/>
                <w:b w:val="1"/>
                <w:bCs w:val="1"/>
                <w:color w:val="auto"/>
                <w:w w:val="97"/>
              </w:rPr>
              <w:t>Number</w:t>
            </w:r>
          </w:p>
        </w:tc>
        <w:tc>
          <w:tcPr>
            <w:tcW w:w="200" w:type="dxa"/>
            <w:vAlign w:val="bottom"/>
          </w:tcPr>
          <w:p>
            <w:pPr>
              <w:spacing w:after="0"/>
              <w:rPr>
                <w:sz w:val="12"/>
                <w:szCs w:val="12"/>
                <w:color w:val="auto"/>
              </w:rPr>
            </w:pPr>
          </w:p>
        </w:tc>
        <w:tc>
          <w:tcPr>
            <w:tcW w:w="800" w:type="dxa"/>
            <w:vAlign w:val="bottom"/>
          </w:tcPr>
          <w:p>
            <w:pPr>
              <w:jc w:val="center"/>
              <w:ind w:right="215"/>
              <w:spacing w:after="0" w:line="144" w:lineRule="exact"/>
              <w:rPr>
                <w:sz w:val="20"/>
                <w:szCs w:val="20"/>
                <w:color w:val="auto"/>
              </w:rPr>
            </w:pPr>
            <w:r>
              <w:rPr>
                <w:rFonts w:ascii="Arial" w:cs="Arial" w:eastAsia="Arial" w:hAnsi="Arial"/>
                <w:sz w:val="13"/>
                <w:szCs w:val="13"/>
                <w:b w:val="1"/>
                <w:bCs w:val="1"/>
                <w:color w:val="auto"/>
              </w:rPr>
              <w:t>Price</w:t>
            </w:r>
          </w:p>
        </w:tc>
        <w:tc>
          <w:tcPr>
            <w:tcW w:w="1860" w:type="dxa"/>
            <w:vAlign w:val="bottom"/>
          </w:tcPr>
          <w:p>
            <w:pPr>
              <w:jc w:val="center"/>
              <w:ind w:right="35"/>
              <w:spacing w:after="0" w:line="144" w:lineRule="exact"/>
              <w:rPr>
                <w:sz w:val="20"/>
                <w:szCs w:val="20"/>
                <w:color w:val="auto"/>
              </w:rPr>
            </w:pPr>
            <w:r>
              <w:rPr>
                <w:rFonts w:ascii="Arial" w:cs="Arial" w:eastAsia="Arial" w:hAnsi="Arial"/>
                <w:sz w:val="13"/>
                <w:szCs w:val="13"/>
                <w:b w:val="1"/>
                <w:bCs w:val="1"/>
                <w:color w:val="auto"/>
              </w:rPr>
              <w:t>Part of Publicly</w:t>
            </w:r>
          </w:p>
        </w:tc>
        <w:tc>
          <w:tcPr>
            <w:tcW w:w="260" w:type="dxa"/>
            <w:vAlign w:val="bottom"/>
          </w:tcPr>
          <w:p>
            <w:pPr>
              <w:spacing w:after="0"/>
              <w:rPr>
                <w:sz w:val="12"/>
                <w:szCs w:val="12"/>
                <w:color w:val="auto"/>
              </w:rPr>
            </w:pPr>
          </w:p>
        </w:tc>
        <w:tc>
          <w:tcPr>
            <w:tcW w:w="1320" w:type="dxa"/>
            <w:vAlign w:val="bottom"/>
          </w:tcPr>
          <w:p>
            <w:pPr>
              <w:jc w:val="center"/>
              <w:ind w:right="75"/>
              <w:spacing w:after="0" w:line="144" w:lineRule="exact"/>
              <w:rPr>
                <w:sz w:val="20"/>
                <w:szCs w:val="20"/>
                <w:color w:val="auto"/>
              </w:rPr>
            </w:pPr>
            <w:r>
              <w:rPr>
                <w:rFonts w:ascii="Arial" w:cs="Arial" w:eastAsia="Arial" w:hAnsi="Arial"/>
                <w:sz w:val="13"/>
                <w:szCs w:val="13"/>
                <w:b w:val="1"/>
                <w:bCs w:val="1"/>
                <w:color w:val="auto"/>
                <w:w w:val="98"/>
              </w:rPr>
              <w:t>yet be Purchased</w:t>
            </w:r>
          </w:p>
        </w:tc>
      </w:tr>
      <w:tr>
        <w:trPr>
          <w:trHeight w:val="144"/>
        </w:trPr>
        <w:tc>
          <w:tcPr>
            <w:tcW w:w="2840" w:type="dxa"/>
            <w:vAlign w:val="bottom"/>
          </w:tcPr>
          <w:p>
            <w:pPr>
              <w:spacing w:after="0"/>
              <w:rPr>
                <w:sz w:val="12"/>
                <w:szCs w:val="12"/>
                <w:color w:val="auto"/>
              </w:rPr>
            </w:pPr>
          </w:p>
        </w:tc>
        <w:tc>
          <w:tcPr>
            <w:tcW w:w="1840" w:type="dxa"/>
            <w:vAlign w:val="bottom"/>
          </w:tcPr>
          <w:p>
            <w:pPr>
              <w:jc w:val="center"/>
              <w:ind w:left="535"/>
              <w:spacing w:after="0" w:line="144" w:lineRule="exact"/>
              <w:rPr>
                <w:sz w:val="20"/>
                <w:szCs w:val="20"/>
                <w:color w:val="auto"/>
              </w:rPr>
            </w:pPr>
            <w:r>
              <w:rPr>
                <w:rFonts w:ascii="Arial" w:cs="Arial" w:eastAsia="Arial" w:hAnsi="Arial"/>
                <w:sz w:val="13"/>
                <w:szCs w:val="13"/>
                <w:b w:val="1"/>
                <w:bCs w:val="1"/>
                <w:color w:val="auto"/>
              </w:rPr>
              <w:t>of Shares</w:t>
            </w:r>
          </w:p>
        </w:tc>
        <w:tc>
          <w:tcPr>
            <w:tcW w:w="200" w:type="dxa"/>
            <w:vAlign w:val="bottom"/>
          </w:tcPr>
          <w:p>
            <w:pPr>
              <w:spacing w:after="0"/>
              <w:rPr>
                <w:sz w:val="12"/>
                <w:szCs w:val="12"/>
                <w:color w:val="auto"/>
              </w:rPr>
            </w:pPr>
          </w:p>
        </w:tc>
        <w:tc>
          <w:tcPr>
            <w:tcW w:w="800" w:type="dxa"/>
            <w:vAlign w:val="bottom"/>
          </w:tcPr>
          <w:p>
            <w:pPr>
              <w:jc w:val="center"/>
              <w:ind w:right="215"/>
              <w:spacing w:after="0" w:line="144" w:lineRule="exact"/>
              <w:rPr>
                <w:sz w:val="20"/>
                <w:szCs w:val="20"/>
                <w:color w:val="auto"/>
              </w:rPr>
            </w:pPr>
            <w:r>
              <w:rPr>
                <w:rFonts w:ascii="Arial" w:cs="Arial" w:eastAsia="Arial" w:hAnsi="Arial"/>
                <w:sz w:val="13"/>
                <w:szCs w:val="13"/>
                <w:b w:val="1"/>
                <w:bCs w:val="1"/>
                <w:color w:val="auto"/>
                <w:w w:val="99"/>
              </w:rPr>
              <w:t>Paid Per</w:t>
            </w:r>
          </w:p>
        </w:tc>
        <w:tc>
          <w:tcPr>
            <w:tcW w:w="1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Announced</w:t>
            </w:r>
          </w:p>
        </w:tc>
        <w:tc>
          <w:tcPr>
            <w:tcW w:w="260" w:type="dxa"/>
            <w:vAlign w:val="bottom"/>
          </w:tcPr>
          <w:p>
            <w:pPr>
              <w:spacing w:after="0"/>
              <w:rPr>
                <w:sz w:val="12"/>
                <w:szCs w:val="12"/>
                <w:color w:val="auto"/>
              </w:rPr>
            </w:pPr>
          </w:p>
        </w:tc>
        <w:tc>
          <w:tcPr>
            <w:tcW w:w="1320" w:type="dxa"/>
            <w:vAlign w:val="bottom"/>
          </w:tcPr>
          <w:p>
            <w:pPr>
              <w:jc w:val="center"/>
              <w:ind w:right="75"/>
              <w:spacing w:after="0" w:line="144" w:lineRule="exact"/>
              <w:rPr>
                <w:sz w:val="20"/>
                <w:szCs w:val="20"/>
                <w:color w:val="auto"/>
              </w:rPr>
            </w:pPr>
            <w:r>
              <w:rPr>
                <w:rFonts w:ascii="Arial" w:cs="Arial" w:eastAsia="Arial" w:hAnsi="Arial"/>
                <w:sz w:val="13"/>
                <w:szCs w:val="13"/>
                <w:b w:val="1"/>
                <w:bCs w:val="1"/>
                <w:color w:val="auto"/>
              </w:rPr>
              <w:t>Under the</w:t>
            </w:r>
          </w:p>
        </w:tc>
      </w:tr>
      <w:tr>
        <w:trPr>
          <w:trHeight w:val="164"/>
        </w:trPr>
        <w:tc>
          <w:tcPr>
            <w:tcW w:w="28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Date Purchased</w:t>
            </w:r>
          </w:p>
        </w:tc>
        <w:tc>
          <w:tcPr>
            <w:tcW w:w="1840" w:type="dxa"/>
            <w:vAlign w:val="bottom"/>
            <w:tcBorders>
              <w:bottom w:val="single" w:sz="8" w:color="auto"/>
            </w:tcBorders>
          </w:tcPr>
          <w:p>
            <w:pPr>
              <w:jc w:val="center"/>
              <w:ind w:left="555"/>
              <w:spacing w:after="0" w:line="164" w:lineRule="exact"/>
              <w:rPr>
                <w:sz w:val="20"/>
                <w:szCs w:val="20"/>
                <w:color w:val="auto"/>
              </w:rPr>
            </w:pPr>
            <w:r>
              <w:rPr>
                <w:rFonts w:ascii="Arial" w:cs="Arial" w:eastAsia="Arial" w:hAnsi="Arial"/>
                <w:sz w:val="13"/>
                <w:szCs w:val="13"/>
                <w:b w:val="1"/>
                <w:bCs w:val="1"/>
                <w:color w:val="auto"/>
                <w:w w:val="95"/>
              </w:rPr>
              <w:t xml:space="preserve">Purchased </w:t>
            </w:r>
            <w:r>
              <w:rPr>
                <w:rFonts w:ascii="Arial" w:cs="Arial" w:eastAsia="Arial" w:hAnsi="Arial"/>
                <w:sz w:val="19"/>
                <w:szCs w:val="19"/>
                <w:color w:val="auto"/>
                <w:w w:val="95"/>
                <w:vertAlign w:val="superscript"/>
              </w:rPr>
              <w:t>(1)</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215"/>
              <w:spacing w:after="0" w:line="164" w:lineRule="exact"/>
              <w:rPr>
                <w:sz w:val="20"/>
                <w:szCs w:val="20"/>
                <w:color w:val="auto"/>
              </w:rPr>
            </w:pPr>
            <w:r>
              <w:rPr>
                <w:rFonts w:ascii="Arial" w:cs="Arial" w:eastAsia="Arial" w:hAnsi="Arial"/>
                <w:sz w:val="13"/>
                <w:szCs w:val="13"/>
                <w:b w:val="1"/>
                <w:bCs w:val="1"/>
                <w:color w:val="auto"/>
                <w:w w:val="94"/>
              </w:rPr>
              <w:t xml:space="preserve">Share </w:t>
            </w:r>
            <w:r>
              <w:rPr>
                <w:rFonts w:ascii="Arial" w:cs="Arial" w:eastAsia="Arial" w:hAnsi="Arial"/>
                <w:sz w:val="19"/>
                <w:szCs w:val="19"/>
                <w:color w:val="auto"/>
                <w:w w:val="94"/>
                <w:vertAlign w:val="superscript"/>
              </w:rPr>
              <w:t>(1)</w:t>
            </w:r>
          </w:p>
        </w:tc>
        <w:tc>
          <w:tcPr>
            <w:tcW w:w="1860" w:type="dxa"/>
            <w:vAlign w:val="bottom"/>
            <w:tcBorders>
              <w:bottom w:val="single" w:sz="8" w:color="auto"/>
            </w:tcBorders>
          </w:tcPr>
          <w:p>
            <w:pPr>
              <w:jc w:val="center"/>
              <w:spacing w:after="0" w:line="164" w:lineRule="exact"/>
              <w:rPr>
                <w:sz w:val="20"/>
                <w:szCs w:val="20"/>
                <w:color w:val="auto"/>
              </w:rPr>
            </w:pPr>
            <w:r>
              <w:rPr>
                <w:rFonts w:ascii="Arial" w:cs="Arial" w:eastAsia="Arial" w:hAnsi="Arial"/>
                <w:sz w:val="13"/>
                <w:szCs w:val="13"/>
                <w:b w:val="1"/>
                <w:bCs w:val="1"/>
                <w:color w:val="auto"/>
                <w:w w:val="93"/>
              </w:rPr>
              <w:t xml:space="preserve">Program </w:t>
            </w:r>
            <w:r>
              <w:rPr>
                <w:rFonts w:ascii="Arial" w:cs="Arial" w:eastAsia="Arial" w:hAnsi="Arial"/>
                <w:sz w:val="19"/>
                <w:szCs w:val="19"/>
                <w:color w:val="auto"/>
                <w:w w:val="93"/>
                <w:vertAlign w:val="superscript"/>
              </w:rPr>
              <w:t>(2)</w:t>
            </w: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75"/>
              <w:spacing w:after="0" w:line="164" w:lineRule="exact"/>
              <w:rPr>
                <w:sz w:val="20"/>
                <w:szCs w:val="20"/>
                <w:color w:val="auto"/>
              </w:rPr>
            </w:pPr>
            <w:r>
              <w:rPr>
                <w:rFonts w:ascii="Arial" w:cs="Arial" w:eastAsia="Arial" w:hAnsi="Arial"/>
                <w:sz w:val="13"/>
                <w:szCs w:val="13"/>
                <w:b w:val="1"/>
                <w:bCs w:val="1"/>
                <w:color w:val="auto"/>
                <w:w w:val="96"/>
              </w:rPr>
              <w:t xml:space="preserve">Program </w:t>
            </w:r>
            <w:r>
              <w:rPr>
                <w:rFonts w:ascii="Arial" w:cs="Arial" w:eastAsia="Arial" w:hAnsi="Arial"/>
                <w:sz w:val="19"/>
                <w:szCs w:val="19"/>
                <w:color w:val="auto"/>
                <w:w w:val="96"/>
                <w:vertAlign w:val="superscript"/>
              </w:rPr>
              <w:t>(2)</w:t>
            </w:r>
          </w:p>
        </w:tc>
      </w:tr>
      <w:tr>
        <w:trPr>
          <w:trHeight w:val="134"/>
        </w:trPr>
        <w:tc>
          <w:tcPr>
            <w:tcW w:w="284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November 1 to November 28, 2020</w:t>
            </w:r>
          </w:p>
        </w:tc>
        <w:tc>
          <w:tcPr>
            <w:tcW w:w="1840" w:type="dxa"/>
            <w:vAlign w:val="bottom"/>
            <w:shd w:val="clear" w:color="auto" w:fill="CCEEFF"/>
          </w:tcPr>
          <w:p>
            <w:pPr>
              <w:jc w:val="right"/>
              <w:ind w:right="55"/>
              <w:spacing w:after="0" w:line="134" w:lineRule="exact"/>
              <w:rPr>
                <w:sz w:val="20"/>
                <w:szCs w:val="20"/>
                <w:color w:val="auto"/>
              </w:rPr>
            </w:pPr>
            <w:r>
              <w:rPr>
                <w:rFonts w:ascii="Arial" w:cs="Arial" w:eastAsia="Arial" w:hAnsi="Arial"/>
                <w:sz w:val="13"/>
                <w:szCs w:val="13"/>
                <w:color w:val="auto"/>
              </w:rPr>
              <w:t>257</w:t>
            </w:r>
          </w:p>
        </w:tc>
        <w:tc>
          <w:tcPr>
            <w:tcW w:w="20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ind w:right="155"/>
              <w:spacing w:after="0" w:line="134" w:lineRule="exact"/>
              <w:rPr>
                <w:sz w:val="20"/>
                <w:szCs w:val="20"/>
                <w:color w:val="auto"/>
              </w:rPr>
            </w:pPr>
            <w:r>
              <w:rPr>
                <w:rFonts w:ascii="Arial" w:cs="Arial" w:eastAsia="Arial" w:hAnsi="Arial"/>
                <w:sz w:val="13"/>
                <w:szCs w:val="13"/>
                <w:color w:val="auto"/>
              </w:rPr>
              <w:t>36.88</w:t>
            </w:r>
          </w:p>
        </w:tc>
        <w:tc>
          <w:tcPr>
            <w:tcW w:w="1860" w:type="dxa"/>
            <w:vAlign w:val="bottom"/>
            <w:shd w:val="clear" w:color="auto" w:fill="CCEEFF"/>
          </w:tcPr>
          <w:p>
            <w:pPr>
              <w:jc w:val="right"/>
              <w:ind w:right="55"/>
              <w:spacing w:after="0" w:line="134"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132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857,009,892</w:t>
            </w:r>
          </w:p>
        </w:tc>
      </w:tr>
      <w:tr>
        <w:trPr>
          <w:trHeight w:val="144"/>
        </w:trPr>
        <w:tc>
          <w:tcPr>
            <w:tcW w:w="2840" w:type="dxa"/>
            <w:vAlign w:val="bottom"/>
          </w:tcPr>
          <w:p>
            <w:pPr>
              <w:spacing w:after="0" w:line="144" w:lineRule="exact"/>
              <w:rPr>
                <w:sz w:val="20"/>
                <w:szCs w:val="20"/>
                <w:color w:val="auto"/>
              </w:rPr>
            </w:pPr>
            <w:r>
              <w:rPr>
                <w:rFonts w:ascii="Arial" w:cs="Arial" w:eastAsia="Arial" w:hAnsi="Arial"/>
                <w:sz w:val="13"/>
                <w:szCs w:val="13"/>
                <w:color w:val="auto"/>
              </w:rPr>
              <w:t>November 29 to January 2, 2020</w:t>
            </w:r>
          </w:p>
        </w:tc>
        <w:tc>
          <w:tcPr>
            <w:tcW w:w="1840" w:type="dxa"/>
            <w:vAlign w:val="bottom"/>
          </w:tcPr>
          <w:p>
            <w:pPr>
              <w:jc w:val="right"/>
              <w:ind w:right="55"/>
              <w:spacing w:after="0" w:line="144" w:lineRule="exact"/>
              <w:rPr>
                <w:sz w:val="20"/>
                <w:szCs w:val="20"/>
                <w:color w:val="auto"/>
              </w:rPr>
            </w:pPr>
            <w:r>
              <w:rPr>
                <w:rFonts w:ascii="Arial" w:cs="Arial" w:eastAsia="Arial" w:hAnsi="Arial"/>
                <w:sz w:val="13"/>
                <w:szCs w:val="13"/>
                <w:color w:val="auto"/>
              </w:rPr>
              <w:t>591,285</w:t>
            </w:r>
          </w:p>
        </w:tc>
        <w:tc>
          <w:tcPr>
            <w:tcW w:w="200" w:type="dxa"/>
            <w:vAlign w:val="bottom"/>
          </w:tcPr>
          <w:p>
            <w:pPr>
              <w:spacing w:after="0"/>
              <w:rPr>
                <w:sz w:val="12"/>
                <w:szCs w:val="12"/>
                <w:color w:val="auto"/>
              </w:rPr>
            </w:pPr>
          </w:p>
        </w:tc>
        <w:tc>
          <w:tcPr>
            <w:tcW w:w="800" w:type="dxa"/>
            <w:vAlign w:val="bottom"/>
          </w:tcPr>
          <w:p>
            <w:pPr>
              <w:jc w:val="right"/>
              <w:ind w:right="155"/>
              <w:spacing w:after="0" w:line="144" w:lineRule="exact"/>
              <w:rPr>
                <w:sz w:val="20"/>
                <w:szCs w:val="20"/>
                <w:color w:val="auto"/>
              </w:rPr>
            </w:pPr>
            <w:r>
              <w:rPr>
                <w:rFonts w:ascii="Arial" w:cs="Arial" w:eastAsia="Arial" w:hAnsi="Arial"/>
                <w:sz w:val="13"/>
                <w:szCs w:val="13"/>
                <w:color w:val="auto"/>
              </w:rPr>
              <w:t>40.14</w:t>
            </w:r>
          </w:p>
        </w:tc>
        <w:tc>
          <w:tcPr>
            <w:tcW w:w="1860" w:type="dxa"/>
            <w:vAlign w:val="bottom"/>
          </w:tcPr>
          <w:p>
            <w:pPr>
              <w:jc w:val="right"/>
              <w:ind w:right="55"/>
              <w:spacing w:after="0" w:line="144" w:lineRule="exact"/>
              <w:rPr>
                <w:sz w:val="20"/>
                <w:szCs w:val="20"/>
                <w:color w:val="auto"/>
              </w:rPr>
            </w:pPr>
            <w:r>
              <w:rPr>
                <w:rFonts w:ascii="Arial" w:cs="Arial" w:eastAsia="Arial" w:hAnsi="Arial"/>
                <w:sz w:val="13"/>
                <w:szCs w:val="13"/>
                <w:color w:val="auto"/>
              </w:rPr>
              <w:t>591,285</w:t>
            </w:r>
          </w:p>
        </w:tc>
        <w:tc>
          <w:tcPr>
            <w:tcW w:w="260" w:type="dxa"/>
            <w:vAlign w:val="bottom"/>
          </w:tcPr>
          <w:p>
            <w:pPr>
              <w:spacing w:after="0"/>
              <w:rPr>
                <w:sz w:val="12"/>
                <w:szCs w:val="12"/>
                <w:color w:val="auto"/>
              </w:rPr>
            </w:pPr>
          </w:p>
        </w:tc>
        <w:tc>
          <w:tcPr>
            <w:tcW w:w="1320" w:type="dxa"/>
            <w:vAlign w:val="bottom"/>
          </w:tcPr>
          <w:p>
            <w:pPr>
              <w:jc w:val="right"/>
              <w:spacing w:after="0" w:line="144" w:lineRule="exact"/>
              <w:rPr>
                <w:sz w:val="20"/>
                <w:szCs w:val="20"/>
                <w:color w:val="auto"/>
              </w:rPr>
            </w:pPr>
            <w:r>
              <w:rPr>
                <w:rFonts w:ascii="Arial" w:cs="Arial" w:eastAsia="Arial" w:hAnsi="Arial"/>
                <w:sz w:val="13"/>
                <w:szCs w:val="13"/>
                <w:color w:val="auto"/>
              </w:rPr>
              <w:t>833,277,966</w:t>
            </w:r>
          </w:p>
        </w:tc>
      </w:tr>
      <w:tr>
        <w:trPr>
          <w:trHeight w:val="144"/>
        </w:trPr>
        <w:tc>
          <w:tcPr>
            <w:tcW w:w="2840" w:type="dxa"/>
            <w:vAlign w:val="bottom"/>
            <w:tcBorders>
              <w:bottom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rPr>
              <w:t>January 3 to January 30, 2021</w:t>
            </w:r>
          </w:p>
        </w:tc>
        <w:tc>
          <w:tcPr>
            <w:tcW w:w="1840" w:type="dxa"/>
            <w:vAlign w:val="bottom"/>
            <w:tcBorders>
              <w:bottom w:val="single" w:sz="8" w:color="auto"/>
            </w:tcBorders>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69,062</w:t>
            </w: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ind w:right="155"/>
              <w:spacing w:after="0" w:line="144" w:lineRule="exact"/>
              <w:rPr>
                <w:sz w:val="20"/>
                <w:szCs w:val="20"/>
                <w:color w:val="auto"/>
              </w:rPr>
            </w:pPr>
            <w:r>
              <w:rPr>
                <w:rFonts w:ascii="Arial" w:cs="Arial" w:eastAsia="Arial" w:hAnsi="Arial"/>
                <w:sz w:val="13"/>
                <w:szCs w:val="13"/>
                <w:color w:val="auto"/>
              </w:rPr>
              <w:t>39.54</w:t>
            </w:r>
          </w:p>
        </w:tc>
        <w:tc>
          <w:tcPr>
            <w:tcW w:w="1860" w:type="dxa"/>
            <w:vAlign w:val="bottom"/>
            <w:tcBorders>
              <w:bottom w:val="single" w:sz="8" w:color="auto"/>
            </w:tcBorders>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69,062</w:t>
            </w:r>
          </w:p>
        </w:tc>
        <w:tc>
          <w:tcPr>
            <w:tcW w:w="260" w:type="dxa"/>
            <w:vAlign w:val="bottom"/>
            <w:tcBorders>
              <w:bottom w:val="single" w:sz="8" w:color="auto"/>
            </w:tcBorders>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830,547,018</w:t>
            </w:r>
          </w:p>
        </w:tc>
      </w:tr>
      <w:tr>
        <w:trPr>
          <w:trHeight w:val="134"/>
        </w:trPr>
        <w:tc>
          <w:tcPr>
            <w:tcW w:w="284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tcPr>
          <w:p>
            <w:pPr>
              <w:jc w:val="right"/>
              <w:ind w:right="55"/>
              <w:spacing w:after="0" w:line="134" w:lineRule="exact"/>
              <w:rPr>
                <w:sz w:val="20"/>
                <w:szCs w:val="20"/>
                <w:color w:val="auto"/>
              </w:rPr>
            </w:pPr>
            <w:r>
              <w:rPr>
                <w:rFonts w:ascii="Arial" w:cs="Arial" w:eastAsia="Arial" w:hAnsi="Arial"/>
                <w:sz w:val="13"/>
                <w:szCs w:val="13"/>
                <w:color w:val="auto"/>
              </w:rPr>
              <w:t>660,604</w:t>
            </w:r>
          </w:p>
        </w:tc>
        <w:tc>
          <w:tcPr>
            <w:tcW w:w="2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ind w:right="155"/>
              <w:spacing w:after="0" w:line="134" w:lineRule="exact"/>
              <w:rPr>
                <w:sz w:val="20"/>
                <w:szCs w:val="20"/>
                <w:color w:val="auto"/>
              </w:rPr>
            </w:pPr>
            <w:r>
              <w:rPr>
                <w:rFonts w:ascii="Arial" w:cs="Arial" w:eastAsia="Arial" w:hAnsi="Arial"/>
                <w:sz w:val="13"/>
                <w:szCs w:val="13"/>
                <w:color w:val="auto"/>
              </w:rPr>
              <w:t>40.07</w:t>
            </w:r>
          </w:p>
        </w:tc>
        <w:tc>
          <w:tcPr>
            <w:tcW w:w="1860" w:type="dxa"/>
            <w:vAlign w:val="bottom"/>
            <w:tcBorders>
              <w:bottom w:val="single" w:sz="8" w:color="auto"/>
            </w:tcBorders>
          </w:tcPr>
          <w:p>
            <w:pPr>
              <w:jc w:val="right"/>
              <w:ind w:right="55"/>
              <w:spacing w:after="0" w:line="134" w:lineRule="exact"/>
              <w:rPr>
                <w:sz w:val="20"/>
                <w:szCs w:val="20"/>
                <w:color w:val="auto"/>
              </w:rPr>
            </w:pPr>
            <w:r>
              <w:rPr>
                <w:rFonts w:ascii="Arial" w:cs="Arial" w:eastAsia="Arial" w:hAnsi="Arial"/>
                <w:sz w:val="13"/>
                <w:szCs w:val="13"/>
                <w:color w:val="auto"/>
              </w:rPr>
              <w:t>660,347</w:t>
            </w:r>
          </w:p>
        </w:tc>
        <w:tc>
          <w:tcPr>
            <w:tcW w:w="2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r>
    </w:tbl>
    <w:p>
      <w:pPr>
        <w:spacing w:after="0" w:line="102" w:lineRule="exact"/>
        <w:rPr>
          <w:sz w:val="20"/>
          <w:szCs w:val="20"/>
          <w:color w:val="auto"/>
        </w:rPr>
      </w:pPr>
    </w:p>
    <w:p>
      <w:pPr>
        <w:jc w:val="both"/>
        <w:ind w:left="243" w:right="39" w:hanging="243"/>
        <w:spacing w:after="0" w:line="243" w:lineRule="auto"/>
        <w:tabs>
          <w:tab w:leader="none" w:pos="243" w:val="left"/>
        </w:tabs>
        <w:numPr>
          <w:ilvl w:val="0"/>
          <w:numId w:val="5"/>
        </w:numPr>
        <w:rPr>
          <w:rFonts w:ascii="Arial" w:cs="Arial" w:eastAsia="Arial" w:hAnsi="Arial"/>
          <w:sz w:val="10"/>
          <w:szCs w:val="10"/>
          <w:color w:val="auto"/>
        </w:rPr>
      </w:pPr>
      <w:r>
        <w:rPr>
          <w:rFonts w:ascii="Arial" w:cs="Arial" w:eastAsia="Arial" w:hAnsi="Arial"/>
          <w:sz w:val="10"/>
          <w:szCs w:val="10"/>
          <w:color w:val="auto"/>
        </w:rPr>
        <w:t>These columns also reflect shares acquired in satisfaction of the tax withholding obligation of holders of restricted stock awards, which vested during the quarter, and shares repurchased pursuant to Rule 10b5-1 under the Securities Exchange Act of 1934. The calculation of the average price paid per share includes all fees, commissions, and other costs associated with the repurchase of such shares.</w:t>
      </w:r>
    </w:p>
    <w:p>
      <w:pPr>
        <w:spacing w:after="0" w:line="71" w:lineRule="exact"/>
        <w:rPr>
          <w:rFonts w:ascii="Arial" w:cs="Arial" w:eastAsia="Arial" w:hAnsi="Arial"/>
          <w:sz w:val="10"/>
          <w:szCs w:val="10"/>
          <w:color w:val="auto"/>
        </w:rPr>
      </w:pPr>
    </w:p>
    <w:p>
      <w:pPr>
        <w:ind w:left="243" w:right="39" w:hanging="243"/>
        <w:spacing w:after="0" w:line="251" w:lineRule="auto"/>
        <w:tabs>
          <w:tab w:leader="none" w:pos="243" w:val="left"/>
        </w:tabs>
        <w:numPr>
          <w:ilvl w:val="0"/>
          <w:numId w:val="5"/>
        </w:numPr>
        <w:rPr>
          <w:rFonts w:ascii="Arial" w:cs="Arial" w:eastAsia="Arial" w:hAnsi="Arial"/>
          <w:sz w:val="10"/>
          <w:szCs w:val="10"/>
          <w:color w:val="auto"/>
        </w:rPr>
      </w:pPr>
      <w:r>
        <w:rPr>
          <w:rFonts w:ascii="Arial" w:cs="Arial" w:eastAsia="Arial" w:hAnsi="Arial"/>
          <w:sz w:val="10"/>
          <w:szCs w:val="10"/>
          <w:color w:val="auto"/>
        </w:rPr>
        <w:t>On February 20, 2019, the Board of Directors approved a new 3-year, $1.2 billion share repurchase program extending through January 2022. Through January 30, 2021, 9 million shares of common stock were purchased under this program for an aggregate cost of $370 million.</w:t>
      </w:r>
    </w:p>
    <w:p>
      <w:pPr>
        <w:spacing w:after="0" w:line="381" w:lineRule="exact"/>
        <w:rPr>
          <w:sz w:val="20"/>
          <w:szCs w:val="20"/>
          <w:color w:val="auto"/>
        </w:rPr>
      </w:pPr>
    </w:p>
    <w:p>
      <w:pPr>
        <w:ind w:left="7663"/>
        <w:spacing w:after="0"/>
        <w:rPr>
          <w:sz w:val="20"/>
          <w:szCs w:val="20"/>
          <w:color w:val="auto"/>
        </w:rPr>
      </w:pPr>
      <w:r>
        <w:rPr>
          <w:rFonts w:ascii="Arial" w:cs="Arial" w:eastAsia="Arial" w:hAnsi="Arial"/>
          <w:sz w:val="12"/>
          <w:szCs w:val="12"/>
          <w:color w:val="auto"/>
        </w:rPr>
        <w:t>2020 Form 10-K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365125</wp:posOffset>
            </wp:positionV>
            <wp:extent cx="5790565" cy="19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90565" cy="19685"/>
                    </a:xfrm>
                    <a:prstGeom prst="rect">
                      <a:avLst/>
                    </a:prstGeom>
                    <a:noFill/>
                  </pic:spPr>
                </pic:pic>
              </a:graphicData>
            </a:graphic>
          </wp:anchor>
        </w:drawing>
      </w:r>
    </w:p>
    <w:p>
      <w:pPr>
        <w:sectPr>
          <w:pgSz w:w="11900" w:h="16838" w:orient="portrait"/>
          <w:cols w:equalWidth="0" w:num="1">
            <w:col w:w="9162"/>
          </w:cols>
          <w:pgMar w:left="1297" w:top="664" w:right="1440" w:bottom="1440" w:gutter="0" w:footer="0" w:header="0"/>
        </w:sectPr>
      </w:pPr>
    </w:p>
    <w:bookmarkStart w:id="18" w:name="page19"/>
    <w:bookmarkEnd w:id="18"/>
    <w:p>
      <w:pPr>
        <w:spacing w:after="0"/>
        <w:rPr>
          <w:sz w:val="20"/>
          <w:szCs w:val="20"/>
          <w:color w:val="auto"/>
        </w:rPr>
      </w:pPr>
      <w:r>
        <w:rPr>
          <w:rFonts w:ascii="Arial" w:cs="Arial" w:eastAsia="Arial" w:hAnsi="Arial"/>
          <w:sz w:val="13"/>
          <w:szCs w:val="13"/>
          <w:b w:val="1"/>
          <w:bCs w:val="1"/>
          <w:color w:val="auto"/>
        </w:rPr>
        <w:t>Performance Graph</w:t>
      </w:r>
    </w:p>
    <w:p>
      <w:pPr>
        <w:spacing w:after="0" w:line="133" w:lineRule="exact"/>
        <w:rPr>
          <w:sz w:val="20"/>
          <w:szCs w:val="20"/>
          <w:color w:val="auto"/>
        </w:rPr>
      </w:pPr>
    </w:p>
    <w:p>
      <w:pPr>
        <w:ind w:right="39"/>
        <w:spacing w:after="0"/>
        <w:rPr>
          <w:sz w:val="20"/>
          <w:szCs w:val="20"/>
          <w:color w:val="auto"/>
        </w:rPr>
      </w:pPr>
      <w:r>
        <w:rPr>
          <w:rFonts w:ascii="Arial" w:cs="Arial" w:eastAsia="Arial" w:hAnsi="Arial"/>
          <w:sz w:val="13"/>
          <w:szCs w:val="13"/>
          <w:color w:val="auto"/>
        </w:rPr>
        <w:t>The graph below compares the cumulative five-year total return to shareholders (common stock price appreciation plus dividends, on a reinvested basis) of our common stock relative to the total returns of the S&amp;P 400 Specialty Retailing Index and the Russell Midcap Index.</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1"/>
          <w:szCs w:val="11"/>
          <w:b w:val="1"/>
          <w:bCs w:val="1"/>
          <w:color w:val="auto"/>
        </w:rPr>
        <w:t>Indexed Share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1118235</wp:posOffset>
            </wp:positionH>
            <wp:positionV relativeFrom="paragraph">
              <wp:posOffset>179070</wp:posOffset>
            </wp:positionV>
            <wp:extent cx="3550285" cy="19996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50285" cy="1999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6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1/30/2016</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1/28/2017</w:t>
            </w: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2/3/2018</w:t>
            </w: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2/2/2019</w:t>
            </w: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2/1/2020</w:t>
            </w: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b w:val="1"/>
                <w:bCs w:val="1"/>
                <w:color w:val="auto"/>
              </w:rPr>
              <w:t>1/30/2021</w:t>
            </w:r>
          </w:p>
        </w:tc>
      </w:tr>
      <w:tr>
        <w:trPr>
          <w:trHeight w:val="134"/>
        </w:trPr>
        <w:tc>
          <w:tcPr>
            <w:tcW w:w="26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Foot Locker, Inc.</w:t>
            </w:r>
          </w:p>
        </w:tc>
        <w:tc>
          <w:tcPr>
            <w:tcW w:w="9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58"/>
              <w:spacing w:after="0" w:line="134" w:lineRule="exact"/>
              <w:rPr>
                <w:sz w:val="20"/>
                <w:szCs w:val="20"/>
                <w:color w:val="auto"/>
              </w:rPr>
            </w:pPr>
            <w:r>
              <w:rPr>
                <w:rFonts w:ascii="Arial" w:cs="Arial" w:eastAsia="Arial" w:hAnsi="Arial"/>
                <w:sz w:val="12"/>
                <w:szCs w:val="12"/>
                <w:color w:val="auto"/>
              </w:rPr>
              <w:t>100.00</w:t>
            </w:r>
          </w:p>
        </w:tc>
        <w:tc>
          <w:tcPr>
            <w:tcW w:w="2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58"/>
              <w:spacing w:after="0" w:line="134" w:lineRule="exact"/>
              <w:rPr>
                <w:sz w:val="20"/>
                <w:szCs w:val="20"/>
                <w:color w:val="auto"/>
              </w:rPr>
            </w:pPr>
            <w:r>
              <w:rPr>
                <w:rFonts w:ascii="Arial" w:cs="Arial" w:eastAsia="Arial" w:hAnsi="Arial"/>
                <w:sz w:val="12"/>
                <w:szCs w:val="12"/>
                <w:color w:val="auto"/>
              </w:rPr>
              <w:t>102.39</w:t>
            </w:r>
          </w:p>
        </w:tc>
        <w:tc>
          <w:tcPr>
            <w:tcW w:w="2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58"/>
              <w:spacing w:after="0" w:line="134" w:lineRule="exact"/>
              <w:rPr>
                <w:sz w:val="20"/>
                <w:szCs w:val="20"/>
                <w:color w:val="auto"/>
              </w:rPr>
            </w:pPr>
            <w:r>
              <w:rPr>
                <w:rFonts w:ascii="Arial" w:cs="Arial" w:eastAsia="Arial" w:hAnsi="Arial"/>
                <w:sz w:val="12"/>
                <w:szCs w:val="12"/>
                <w:color w:val="auto"/>
              </w:rPr>
              <w:t>74.82</w:t>
            </w:r>
          </w:p>
        </w:tc>
        <w:tc>
          <w:tcPr>
            <w:tcW w:w="2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58"/>
              <w:spacing w:after="0" w:line="134" w:lineRule="exact"/>
              <w:rPr>
                <w:sz w:val="20"/>
                <w:szCs w:val="20"/>
                <w:color w:val="auto"/>
              </w:rPr>
            </w:pPr>
            <w:r>
              <w:rPr>
                <w:rFonts w:ascii="Arial" w:cs="Arial" w:eastAsia="Arial" w:hAnsi="Arial"/>
                <w:sz w:val="12"/>
                <w:szCs w:val="12"/>
                <w:color w:val="auto"/>
              </w:rPr>
              <w:t>87.55</w:t>
            </w:r>
          </w:p>
        </w:tc>
        <w:tc>
          <w:tcPr>
            <w:tcW w:w="2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58"/>
              <w:spacing w:after="0" w:line="134" w:lineRule="exact"/>
              <w:rPr>
                <w:sz w:val="20"/>
                <w:szCs w:val="20"/>
                <w:color w:val="auto"/>
              </w:rPr>
            </w:pPr>
            <w:r>
              <w:rPr>
                <w:rFonts w:ascii="Arial" w:cs="Arial" w:eastAsia="Arial" w:hAnsi="Arial"/>
                <w:sz w:val="12"/>
                <w:szCs w:val="12"/>
                <w:color w:val="auto"/>
              </w:rPr>
              <w:t>62.41</w:t>
            </w:r>
          </w:p>
        </w:tc>
        <w:tc>
          <w:tcPr>
            <w:tcW w:w="2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b w:val="1"/>
                <w:bCs w:val="1"/>
                <w:color w:val="auto"/>
              </w:rPr>
              <w:t>$</w:t>
            </w:r>
          </w:p>
        </w:tc>
        <w:tc>
          <w:tcPr>
            <w:tcW w:w="7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b w:val="1"/>
                <w:bCs w:val="1"/>
                <w:color w:val="auto"/>
              </w:rPr>
              <w:t>73.87</w:t>
            </w:r>
          </w:p>
        </w:tc>
      </w:tr>
      <w:tr>
        <w:trPr>
          <w:trHeight w:val="144"/>
        </w:trPr>
        <w:tc>
          <w:tcPr>
            <w:tcW w:w="2680" w:type="dxa"/>
            <w:vAlign w:val="bottom"/>
          </w:tcPr>
          <w:p>
            <w:pPr>
              <w:spacing w:after="0"/>
              <w:rPr>
                <w:sz w:val="20"/>
                <w:szCs w:val="20"/>
                <w:color w:val="auto"/>
              </w:rPr>
            </w:pPr>
            <w:r>
              <w:rPr>
                <w:rFonts w:ascii="Arial" w:cs="Arial" w:eastAsia="Arial" w:hAnsi="Arial"/>
                <w:sz w:val="12"/>
                <w:szCs w:val="12"/>
                <w:color w:val="auto"/>
              </w:rPr>
              <w:t>S&amp;P 400 Specialty Retailing Index</w:t>
            </w: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58"/>
              <w:spacing w:after="0"/>
              <w:rPr>
                <w:sz w:val="20"/>
                <w:szCs w:val="20"/>
                <w:color w:val="auto"/>
              </w:rPr>
            </w:pPr>
            <w:r>
              <w:rPr>
                <w:rFonts w:ascii="Arial" w:cs="Arial" w:eastAsia="Arial" w:hAnsi="Arial"/>
                <w:sz w:val="12"/>
                <w:szCs w:val="12"/>
                <w:color w:val="auto"/>
              </w:rPr>
              <w:t>100.00</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58"/>
              <w:spacing w:after="0"/>
              <w:rPr>
                <w:sz w:val="20"/>
                <w:szCs w:val="20"/>
                <w:color w:val="auto"/>
              </w:rPr>
            </w:pPr>
            <w:r>
              <w:rPr>
                <w:rFonts w:ascii="Arial" w:cs="Arial" w:eastAsia="Arial" w:hAnsi="Arial"/>
                <w:sz w:val="12"/>
                <w:szCs w:val="12"/>
                <w:color w:val="auto"/>
              </w:rPr>
              <w:t>97.25</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740" w:type="dxa"/>
            <w:vAlign w:val="bottom"/>
          </w:tcPr>
          <w:p>
            <w:pPr>
              <w:jc w:val="right"/>
              <w:ind w:right="58"/>
              <w:spacing w:after="0"/>
              <w:rPr>
                <w:sz w:val="20"/>
                <w:szCs w:val="20"/>
                <w:color w:val="auto"/>
              </w:rPr>
            </w:pPr>
            <w:r>
              <w:rPr>
                <w:rFonts w:ascii="Arial" w:cs="Arial" w:eastAsia="Arial" w:hAnsi="Arial"/>
                <w:sz w:val="12"/>
                <w:szCs w:val="12"/>
                <w:color w:val="auto"/>
              </w:rPr>
              <w:t>94.78</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58"/>
              <w:spacing w:after="0"/>
              <w:rPr>
                <w:sz w:val="20"/>
                <w:szCs w:val="20"/>
                <w:color w:val="auto"/>
              </w:rPr>
            </w:pPr>
            <w:r>
              <w:rPr>
                <w:rFonts w:ascii="Arial" w:cs="Arial" w:eastAsia="Arial" w:hAnsi="Arial"/>
                <w:sz w:val="12"/>
                <w:szCs w:val="12"/>
                <w:color w:val="auto"/>
              </w:rPr>
              <w:t>95.79</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58"/>
              <w:spacing w:after="0"/>
              <w:rPr>
                <w:sz w:val="20"/>
                <w:szCs w:val="20"/>
                <w:color w:val="auto"/>
              </w:rPr>
            </w:pPr>
            <w:r>
              <w:rPr>
                <w:rFonts w:ascii="Arial" w:cs="Arial" w:eastAsia="Arial" w:hAnsi="Arial"/>
                <w:sz w:val="12"/>
                <w:szCs w:val="12"/>
                <w:color w:val="auto"/>
              </w:rPr>
              <w:t>97.09</w:t>
            </w:r>
          </w:p>
        </w:tc>
        <w:tc>
          <w:tcPr>
            <w:tcW w:w="2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rPr>
              <w:t>144.24</w:t>
            </w:r>
          </w:p>
        </w:tc>
      </w:tr>
      <w:tr>
        <w:trPr>
          <w:trHeight w:val="144"/>
        </w:trPr>
        <w:tc>
          <w:tcPr>
            <w:tcW w:w="2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Russell Midcap Index</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100.00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125.24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146.56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145.96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2"/>
                <w:szCs w:val="12"/>
                <w:color w:val="auto"/>
              </w:rPr>
              <w:t>169.85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199.97</w:t>
            </w:r>
          </w:p>
        </w:tc>
      </w:tr>
    </w:tbl>
    <w:p>
      <w:pPr>
        <w:spacing w:after="0" w:line="262" w:lineRule="exact"/>
        <w:rPr>
          <w:sz w:val="20"/>
          <w:szCs w:val="20"/>
          <w:color w:val="auto"/>
        </w:rPr>
      </w:pPr>
    </w:p>
    <w:p>
      <w:pPr>
        <w:jc w:val="both"/>
        <w:ind w:right="39"/>
        <w:spacing w:after="0" w:line="226" w:lineRule="auto"/>
        <w:rPr>
          <w:sz w:val="20"/>
          <w:szCs w:val="20"/>
          <w:color w:val="auto"/>
        </w:rPr>
      </w:pPr>
      <w:r>
        <w:rPr>
          <w:rFonts w:ascii="Arial" w:cs="Arial" w:eastAsia="Arial" w:hAnsi="Arial"/>
          <w:sz w:val="10"/>
          <w:szCs w:val="10"/>
          <w:color w:val="auto"/>
        </w:rPr>
        <w:t>The above information should not be deemed “soliciting material” or to be filed with the SEC, nor shall such information be incorporated by reference into any future filing under the Securities Act of 1933 or Securities Exchange Act of 1934, each as amended, except to the extent that we specifically incorporate it by reference into such filing.</w:t>
      </w:r>
    </w:p>
    <w:p>
      <w:pPr>
        <w:spacing w:after="0" w:line="122" w:lineRule="exact"/>
        <w:rPr>
          <w:sz w:val="20"/>
          <w:szCs w:val="20"/>
          <w:color w:val="auto"/>
        </w:rPr>
      </w:pPr>
    </w:p>
    <w:p>
      <w:pPr>
        <w:ind w:left="7660"/>
        <w:spacing w:after="0"/>
        <w:rPr>
          <w:sz w:val="20"/>
          <w:szCs w:val="20"/>
          <w:color w:val="auto"/>
        </w:rPr>
      </w:pPr>
      <w:r>
        <w:rPr>
          <w:rFonts w:ascii="Arial" w:cs="Arial" w:eastAsia="Arial" w:hAnsi="Arial"/>
          <w:sz w:val="12"/>
          <w:szCs w:val="12"/>
          <w:color w:val="auto"/>
        </w:rPr>
        <w:t>2020 Form 10-K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365125</wp:posOffset>
            </wp:positionV>
            <wp:extent cx="5790565" cy="19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90565" cy="19685"/>
                    </a:xfrm>
                    <a:prstGeom prst="rect">
                      <a:avLst/>
                    </a:prstGeom>
                    <a:noFill/>
                  </pic:spPr>
                </pic:pic>
              </a:graphicData>
            </a:graphic>
          </wp:anchor>
        </w:drawing>
      </w:r>
    </w:p>
    <w:p>
      <w:pPr>
        <w:sectPr>
          <w:pgSz w:w="11900" w:h="16838" w:orient="portrait"/>
          <w:cols w:equalWidth="0" w:num="1">
            <w:col w:w="9159"/>
          </w:cols>
          <w:pgMar w:left="1300" w:top="663" w:right="1440" w:bottom="1440" w:gutter="0" w:footer="0" w:header="0"/>
        </w:sectPr>
      </w:pPr>
    </w:p>
    <w:bookmarkStart w:id="19" w:name="page20"/>
    <w:bookmarkEnd w:id="19"/>
    <w:p>
      <w:pPr>
        <w:ind w:left="3"/>
        <w:spacing w:after="0"/>
        <w:rPr>
          <w:sz w:val="20"/>
          <w:szCs w:val="20"/>
          <w:color w:val="auto"/>
        </w:rPr>
      </w:pPr>
      <w:r>
        <w:rPr>
          <w:rFonts w:ascii="Arial" w:cs="Arial" w:eastAsia="Arial" w:hAnsi="Arial"/>
          <w:sz w:val="13"/>
          <w:szCs w:val="13"/>
          <w:b w:val="1"/>
          <w:bCs w:val="1"/>
          <w:i w:val="1"/>
          <w:iCs w:val="1"/>
          <w:color w:val="auto"/>
        </w:rPr>
        <w:t>Item 6. Selected Financial Data</w:t>
      </w:r>
    </w:p>
    <w:p>
      <w:pPr>
        <w:spacing w:after="0" w:line="117" w:lineRule="exact"/>
        <w:rPr>
          <w:sz w:val="20"/>
          <w:szCs w:val="20"/>
          <w:color w:val="auto"/>
        </w:rPr>
      </w:pPr>
    </w:p>
    <w:p>
      <w:pPr>
        <w:jc w:val="center"/>
        <w:ind w:right="36"/>
        <w:spacing w:after="0"/>
        <w:rPr>
          <w:sz w:val="20"/>
          <w:szCs w:val="20"/>
          <w:color w:val="auto"/>
        </w:rPr>
      </w:pPr>
      <w:r>
        <w:rPr>
          <w:rFonts w:ascii="Arial" w:cs="Arial" w:eastAsia="Arial" w:hAnsi="Arial"/>
          <w:sz w:val="13"/>
          <w:szCs w:val="13"/>
          <w:b w:val="1"/>
          <w:bCs w:val="1"/>
          <w:color w:val="auto"/>
        </w:rPr>
        <w:t>FIVE-YEAR SUMMARY OF SELECTED FINANCIAL DATA</w:t>
      </w:r>
    </w:p>
    <w:p>
      <w:pPr>
        <w:spacing w:after="0" w:line="143" w:lineRule="exact"/>
        <w:rPr>
          <w:sz w:val="20"/>
          <w:szCs w:val="20"/>
          <w:color w:val="auto"/>
        </w:rPr>
      </w:pPr>
    </w:p>
    <w:p>
      <w:pPr>
        <w:ind w:left="3" w:right="39"/>
        <w:spacing w:after="0"/>
        <w:rPr>
          <w:sz w:val="20"/>
          <w:szCs w:val="20"/>
          <w:color w:val="auto"/>
        </w:rPr>
      </w:pPr>
      <w:r>
        <w:rPr>
          <w:rFonts w:ascii="Arial" w:cs="Arial" w:eastAsia="Arial" w:hAnsi="Arial"/>
          <w:sz w:val="13"/>
          <w:szCs w:val="13"/>
          <w:color w:val="auto"/>
        </w:rPr>
        <w:t>The selected financial data below should be read in conjunction with the Consolidated Financial Statements and the Notes thereto and other information contained elsewhere in this report.</w:t>
      </w:r>
    </w:p>
    <w:p>
      <w:pPr>
        <w:spacing w:after="0" w:line="60" w:lineRule="exact"/>
        <w:rPr>
          <w:sz w:val="20"/>
          <w:szCs w:val="20"/>
          <w:color w:val="auto"/>
        </w:rPr>
      </w:pPr>
    </w:p>
    <w:tbl>
      <w:tblPr>
        <w:tblLayout w:type="fixed"/>
        <w:tblInd w:w="3" w:type="dxa"/>
        <w:tblCellMar>
          <w:top w:w="0" w:type="dxa"/>
          <w:left w:w="0" w:type="dxa"/>
          <w:bottom w:w="0" w:type="dxa"/>
          <w:right w:w="0" w:type="dxa"/>
        </w:tblCellMar>
      </w:tblPr>
      <w:tr>
        <w:trPr>
          <w:trHeight w:val="230"/>
        </w:trPr>
        <w:tc>
          <w:tcPr>
            <w:tcW w:w="36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 in millions, except per share amounts)</w:t>
            </w:r>
          </w:p>
        </w:tc>
        <w:tc>
          <w:tcPr>
            <w:tcW w:w="9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18"/>
              <w:spacing w:after="0"/>
              <w:rPr>
                <w:sz w:val="20"/>
                <w:szCs w:val="20"/>
                <w:color w:val="auto"/>
              </w:rPr>
            </w:pPr>
            <w:r>
              <w:rPr>
                <w:rFonts w:ascii="Arial" w:cs="Arial" w:eastAsia="Arial" w:hAnsi="Arial"/>
                <w:sz w:val="12"/>
                <w:szCs w:val="12"/>
                <w:b w:val="1"/>
                <w:bCs w:val="1"/>
                <w:color w:val="auto"/>
              </w:rPr>
              <w:t>2020</w:t>
            </w:r>
          </w:p>
        </w:tc>
        <w:tc>
          <w:tcPr>
            <w:tcW w:w="860" w:type="dxa"/>
            <w:vAlign w:val="bottom"/>
            <w:tcBorders>
              <w:bottom w:val="single" w:sz="8" w:color="auto"/>
            </w:tcBorders>
          </w:tcPr>
          <w:p>
            <w:pPr>
              <w:jc w:val="right"/>
              <w:ind w:right="358"/>
              <w:spacing w:after="0"/>
              <w:rPr>
                <w:sz w:val="20"/>
                <w:szCs w:val="20"/>
                <w:color w:val="auto"/>
              </w:rPr>
            </w:pPr>
            <w:r>
              <w:rPr>
                <w:rFonts w:ascii="Arial" w:cs="Arial" w:eastAsia="Arial" w:hAnsi="Arial"/>
                <w:sz w:val="12"/>
                <w:szCs w:val="12"/>
                <w:color w:val="auto"/>
              </w:rPr>
              <w:t>2019</w:t>
            </w:r>
          </w:p>
        </w:tc>
        <w:tc>
          <w:tcPr>
            <w:tcW w:w="920" w:type="dxa"/>
            <w:vAlign w:val="bottom"/>
            <w:tcBorders>
              <w:bottom w:val="single" w:sz="8" w:color="auto"/>
            </w:tcBorders>
          </w:tcPr>
          <w:p>
            <w:pPr>
              <w:jc w:val="right"/>
              <w:ind w:right="338"/>
              <w:spacing w:after="0"/>
              <w:rPr>
                <w:sz w:val="20"/>
                <w:szCs w:val="20"/>
                <w:color w:val="auto"/>
              </w:rPr>
            </w:pPr>
            <w:r>
              <w:rPr>
                <w:rFonts w:ascii="Arial" w:cs="Arial" w:eastAsia="Arial" w:hAnsi="Arial"/>
                <w:sz w:val="12"/>
                <w:szCs w:val="12"/>
                <w:color w:val="auto"/>
              </w:rPr>
              <w:t>2018</w:t>
            </w:r>
          </w:p>
        </w:tc>
        <w:tc>
          <w:tcPr>
            <w:tcW w:w="1000" w:type="dxa"/>
            <w:vAlign w:val="bottom"/>
            <w:tcBorders>
              <w:bottom w:val="single" w:sz="8" w:color="auto"/>
            </w:tcBorders>
          </w:tcPr>
          <w:p>
            <w:pPr>
              <w:jc w:val="right"/>
              <w:ind w:right="318"/>
              <w:spacing w:after="0"/>
              <w:rPr>
                <w:sz w:val="20"/>
                <w:szCs w:val="20"/>
                <w:color w:val="auto"/>
              </w:rPr>
            </w:pPr>
            <w:r>
              <w:rPr>
                <w:rFonts w:ascii="Arial" w:cs="Arial" w:eastAsia="Arial" w:hAnsi="Arial"/>
                <w:sz w:val="12"/>
                <w:szCs w:val="12"/>
                <w:color w:val="auto"/>
              </w:rPr>
              <w:t xml:space="preserve">2017 </w:t>
            </w:r>
            <w:r>
              <w:rPr>
                <w:rFonts w:ascii="Arial" w:cs="Arial" w:eastAsia="Arial" w:hAnsi="Arial"/>
                <w:sz w:val="20"/>
                <w:szCs w:val="20"/>
                <w:color w:val="auto"/>
                <w:vertAlign w:val="superscript"/>
              </w:rPr>
              <w:t>(1)</w:t>
            </w:r>
          </w:p>
        </w:tc>
        <w:tc>
          <w:tcPr>
            <w:tcW w:w="760" w:type="dxa"/>
            <w:vAlign w:val="bottom"/>
            <w:tcBorders>
              <w:bottom w:val="single" w:sz="8" w:color="auto"/>
            </w:tcBorders>
          </w:tcPr>
          <w:p>
            <w:pPr>
              <w:jc w:val="right"/>
              <w:ind w:right="198"/>
              <w:spacing w:after="0"/>
              <w:rPr>
                <w:sz w:val="20"/>
                <w:szCs w:val="20"/>
                <w:color w:val="auto"/>
              </w:rPr>
            </w:pPr>
            <w:r>
              <w:rPr>
                <w:rFonts w:ascii="Arial" w:cs="Arial" w:eastAsia="Arial" w:hAnsi="Arial"/>
                <w:sz w:val="12"/>
                <w:szCs w:val="12"/>
                <w:color w:val="auto"/>
              </w:rPr>
              <w:t>2016</w:t>
            </w:r>
          </w:p>
        </w:tc>
      </w:tr>
      <w:tr>
        <w:trPr>
          <w:trHeight w:val="134"/>
        </w:trPr>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Summary of Operations</w:t>
            </w:r>
          </w:p>
        </w:tc>
        <w:tc>
          <w:tcPr>
            <w:tcW w:w="9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44"/>
        </w:trPr>
        <w:tc>
          <w:tcPr>
            <w:tcW w:w="3620" w:type="dxa"/>
            <w:vAlign w:val="bottom"/>
          </w:tcPr>
          <w:p>
            <w:pPr>
              <w:spacing w:after="0"/>
              <w:rPr>
                <w:sz w:val="20"/>
                <w:szCs w:val="20"/>
                <w:color w:val="auto"/>
              </w:rPr>
            </w:pPr>
            <w:r>
              <w:rPr>
                <w:rFonts w:ascii="Arial" w:cs="Arial" w:eastAsia="Arial" w:hAnsi="Arial"/>
                <w:sz w:val="12"/>
                <w:szCs w:val="12"/>
                <w:color w:val="auto"/>
              </w:rPr>
              <w:t>Sales</w:t>
            </w:r>
          </w:p>
        </w:tc>
        <w:tc>
          <w:tcPr>
            <w:tcW w:w="980" w:type="dxa"/>
            <w:vAlign w:val="bottom"/>
          </w:tcPr>
          <w:p>
            <w:pPr>
              <w:jc w:val="right"/>
              <w:ind w:right="78"/>
              <w:spacing w:after="0"/>
              <w:rPr>
                <w:sz w:val="20"/>
                <w:szCs w:val="20"/>
                <w:color w:val="auto"/>
              </w:rPr>
            </w:pPr>
            <w:r>
              <w:rPr>
                <w:rFonts w:ascii="Arial" w:cs="Arial" w:eastAsia="Arial" w:hAnsi="Arial"/>
                <w:sz w:val="12"/>
                <w:szCs w:val="12"/>
                <w:b w:val="1"/>
                <w:bCs w:val="1"/>
                <w:color w:val="auto"/>
              </w:rPr>
              <w:t>$</w:t>
            </w:r>
          </w:p>
        </w:tc>
        <w:tc>
          <w:tcPr>
            <w:tcW w:w="980" w:type="dxa"/>
            <w:vAlign w:val="bottom"/>
          </w:tcPr>
          <w:p>
            <w:pPr>
              <w:jc w:val="right"/>
              <w:ind w:right="238"/>
              <w:spacing w:after="0"/>
              <w:rPr>
                <w:sz w:val="20"/>
                <w:szCs w:val="20"/>
                <w:color w:val="auto"/>
              </w:rPr>
            </w:pPr>
            <w:r>
              <w:rPr>
                <w:rFonts w:ascii="Arial" w:cs="Arial" w:eastAsia="Arial" w:hAnsi="Arial"/>
                <w:sz w:val="12"/>
                <w:szCs w:val="12"/>
                <w:b w:val="1"/>
                <w:bCs w:val="1"/>
                <w:color w:val="auto"/>
              </w:rPr>
              <w:t>7,548</w:t>
            </w:r>
          </w:p>
        </w:tc>
        <w:tc>
          <w:tcPr>
            <w:tcW w:w="860" w:type="dxa"/>
            <w:vAlign w:val="bottom"/>
          </w:tcPr>
          <w:p>
            <w:pPr>
              <w:jc w:val="right"/>
              <w:ind w:right="158"/>
              <w:spacing w:after="0"/>
              <w:rPr>
                <w:sz w:val="20"/>
                <w:szCs w:val="20"/>
                <w:color w:val="auto"/>
              </w:rPr>
            </w:pPr>
            <w:r>
              <w:rPr>
                <w:rFonts w:ascii="Arial" w:cs="Arial" w:eastAsia="Arial" w:hAnsi="Arial"/>
                <w:sz w:val="12"/>
                <w:szCs w:val="12"/>
                <w:color w:val="auto"/>
              </w:rPr>
              <w:t>8,005</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7,939</w:t>
            </w:r>
          </w:p>
        </w:tc>
        <w:tc>
          <w:tcPr>
            <w:tcW w:w="1000" w:type="dxa"/>
            <w:vAlign w:val="bottom"/>
          </w:tcPr>
          <w:p>
            <w:pPr>
              <w:jc w:val="right"/>
              <w:ind w:right="178"/>
              <w:spacing w:after="0"/>
              <w:rPr>
                <w:sz w:val="20"/>
                <w:szCs w:val="20"/>
                <w:color w:val="auto"/>
              </w:rPr>
            </w:pPr>
            <w:r>
              <w:rPr>
                <w:rFonts w:ascii="Arial" w:cs="Arial" w:eastAsia="Arial" w:hAnsi="Arial"/>
                <w:sz w:val="12"/>
                <w:szCs w:val="12"/>
                <w:color w:val="auto"/>
              </w:rPr>
              <w:t>7,782</w:t>
            </w:r>
          </w:p>
        </w:tc>
        <w:tc>
          <w:tcPr>
            <w:tcW w:w="760" w:type="dxa"/>
            <w:vAlign w:val="bottom"/>
          </w:tcPr>
          <w:p>
            <w:pPr>
              <w:jc w:val="right"/>
              <w:spacing w:after="0"/>
              <w:rPr>
                <w:sz w:val="20"/>
                <w:szCs w:val="20"/>
                <w:color w:val="auto"/>
              </w:rPr>
            </w:pPr>
            <w:r>
              <w:rPr>
                <w:rFonts w:ascii="Arial" w:cs="Arial" w:eastAsia="Arial" w:hAnsi="Arial"/>
                <w:sz w:val="12"/>
                <w:szCs w:val="12"/>
                <w:color w:val="auto"/>
              </w:rPr>
              <w:t>7,766</w:t>
            </w:r>
          </w:p>
        </w:tc>
      </w:tr>
      <w:tr>
        <w:trPr>
          <w:trHeight w:val="144"/>
        </w:trPr>
        <w:tc>
          <w:tcPr>
            <w:tcW w:w="3620" w:type="dxa"/>
            <w:vAlign w:val="bottom"/>
            <w:shd w:val="clear" w:color="auto" w:fill="CCEEFF"/>
          </w:tcPr>
          <w:p>
            <w:pPr>
              <w:spacing w:after="0"/>
              <w:rPr>
                <w:sz w:val="20"/>
                <w:szCs w:val="20"/>
                <w:color w:val="auto"/>
              </w:rPr>
            </w:pPr>
            <w:r>
              <w:rPr>
                <w:rFonts w:ascii="Arial" w:cs="Arial" w:eastAsia="Arial" w:hAnsi="Arial"/>
                <w:sz w:val="12"/>
                <w:szCs w:val="12"/>
                <w:color w:val="auto"/>
              </w:rPr>
              <w:t>Gross margin</w:t>
            </w:r>
          </w:p>
        </w:tc>
        <w:tc>
          <w:tcPr>
            <w:tcW w:w="9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8"/>
              <w:spacing w:after="0"/>
              <w:rPr>
                <w:sz w:val="20"/>
                <w:szCs w:val="20"/>
                <w:color w:val="auto"/>
              </w:rPr>
            </w:pPr>
            <w:r>
              <w:rPr>
                <w:rFonts w:ascii="Arial" w:cs="Arial" w:eastAsia="Arial" w:hAnsi="Arial"/>
                <w:sz w:val="12"/>
                <w:szCs w:val="12"/>
                <w:b w:val="1"/>
                <w:bCs w:val="1"/>
                <w:color w:val="auto"/>
              </w:rPr>
              <w:t>2,183</w:t>
            </w:r>
          </w:p>
        </w:tc>
        <w:tc>
          <w:tcPr>
            <w:tcW w:w="86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rPr>
              <w:t>2,543</w:t>
            </w:r>
          </w:p>
        </w:tc>
        <w:tc>
          <w:tcPr>
            <w:tcW w:w="920" w:type="dxa"/>
            <w:vAlign w:val="bottom"/>
            <w:shd w:val="clear" w:color="auto" w:fill="CCEEFF"/>
          </w:tcPr>
          <w:p>
            <w:pPr>
              <w:jc w:val="right"/>
              <w:ind w:right="138"/>
              <w:spacing w:after="0"/>
              <w:rPr>
                <w:sz w:val="20"/>
                <w:szCs w:val="20"/>
                <w:color w:val="auto"/>
              </w:rPr>
            </w:pPr>
            <w:r>
              <w:rPr>
                <w:rFonts w:ascii="Arial" w:cs="Arial" w:eastAsia="Arial" w:hAnsi="Arial"/>
                <w:sz w:val="12"/>
                <w:szCs w:val="12"/>
                <w:color w:val="auto"/>
              </w:rPr>
              <w:t>2,528</w:t>
            </w:r>
          </w:p>
        </w:tc>
        <w:tc>
          <w:tcPr>
            <w:tcW w:w="100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rPr>
              <w:t>2,456</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2,636</w:t>
            </w:r>
          </w:p>
        </w:tc>
      </w:tr>
      <w:tr>
        <w:trPr>
          <w:trHeight w:val="144"/>
        </w:trPr>
        <w:tc>
          <w:tcPr>
            <w:tcW w:w="3620" w:type="dxa"/>
            <w:vAlign w:val="bottom"/>
          </w:tcPr>
          <w:p>
            <w:pPr>
              <w:spacing w:after="0"/>
              <w:rPr>
                <w:sz w:val="20"/>
                <w:szCs w:val="20"/>
                <w:color w:val="auto"/>
              </w:rPr>
            </w:pPr>
            <w:r>
              <w:rPr>
                <w:rFonts w:ascii="Arial" w:cs="Arial" w:eastAsia="Arial" w:hAnsi="Arial"/>
                <w:sz w:val="12"/>
                <w:szCs w:val="12"/>
                <w:color w:val="auto"/>
              </w:rPr>
              <w:t>Selling, general and administrative expenses</w:t>
            </w:r>
          </w:p>
        </w:tc>
        <w:tc>
          <w:tcPr>
            <w:tcW w:w="980" w:type="dxa"/>
            <w:vAlign w:val="bottom"/>
          </w:tcPr>
          <w:p>
            <w:pPr>
              <w:spacing w:after="0"/>
              <w:rPr>
                <w:sz w:val="12"/>
                <w:szCs w:val="12"/>
                <w:color w:val="auto"/>
              </w:rPr>
            </w:pPr>
          </w:p>
        </w:tc>
        <w:tc>
          <w:tcPr>
            <w:tcW w:w="980" w:type="dxa"/>
            <w:vAlign w:val="bottom"/>
          </w:tcPr>
          <w:p>
            <w:pPr>
              <w:jc w:val="right"/>
              <w:ind w:right="238"/>
              <w:spacing w:after="0"/>
              <w:rPr>
                <w:sz w:val="20"/>
                <w:szCs w:val="20"/>
                <w:color w:val="auto"/>
              </w:rPr>
            </w:pPr>
            <w:r>
              <w:rPr>
                <w:rFonts w:ascii="Arial" w:cs="Arial" w:eastAsia="Arial" w:hAnsi="Arial"/>
                <w:sz w:val="12"/>
                <w:szCs w:val="12"/>
                <w:b w:val="1"/>
                <w:bCs w:val="1"/>
                <w:color w:val="auto"/>
              </w:rPr>
              <w:t>1,587</w:t>
            </w:r>
          </w:p>
        </w:tc>
        <w:tc>
          <w:tcPr>
            <w:tcW w:w="860" w:type="dxa"/>
            <w:vAlign w:val="bottom"/>
          </w:tcPr>
          <w:p>
            <w:pPr>
              <w:jc w:val="right"/>
              <w:ind w:right="158"/>
              <w:spacing w:after="0"/>
              <w:rPr>
                <w:sz w:val="20"/>
                <w:szCs w:val="20"/>
                <w:color w:val="auto"/>
              </w:rPr>
            </w:pPr>
            <w:r>
              <w:rPr>
                <w:rFonts w:ascii="Arial" w:cs="Arial" w:eastAsia="Arial" w:hAnsi="Arial"/>
                <w:sz w:val="12"/>
                <w:szCs w:val="12"/>
                <w:color w:val="auto"/>
              </w:rPr>
              <w:t>1,650</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1,614</w:t>
            </w:r>
          </w:p>
        </w:tc>
        <w:tc>
          <w:tcPr>
            <w:tcW w:w="1000" w:type="dxa"/>
            <w:vAlign w:val="bottom"/>
          </w:tcPr>
          <w:p>
            <w:pPr>
              <w:jc w:val="right"/>
              <w:ind w:right="178"/>
              <w:spacing w:after="0"/>
              <w:rPr>
                <w:sz w:val="20"/>
                <w:szCs w:val="20"/>
                <w:color w:val="auto"/>
              </w:rPr>
            </w:pPr>
            <w:r>
              <w:rPr>
                <w:rFonts w:ascii="Arial" w:cs="Arial" w:eastAsia="Arial" w:hAnsi="Arial"/>
                <w:sz w:val="12"/>
                <w:szCs w:val="12"/>
                <w:color w:val="auto"/>
              </w:rPr>
              <w:t>1,501</w:t>
            </w:r>
          </w:p>
        </w:tc>
        <w:tc>
          <w:tcPr>
            <w:tcW w:w="760" w:type="dxa"/>
            <w:vAlign w:val="bottom"/>
          </w:tcPr>
          <w:p>
            <w:pPr>
              <w:jc w:val="right"/>
              <w:spacing w:after="0"/>
              <w:rPr>
                <w:sz w:val="20"/>
                <w:szCs w:val="20"/>
                <w:color w:val="auto"/>
              </w:rPr>
            </w:pPr>
            <w:r>
              <w:rPr>
                <w:rFonts w:ascii="Arial" w:cs="Arial" w:eastAsia="Arial" w:hAnsi="Arial"/>
                <w:sz w:val="12"/>
                <w:szCs w:val="12"/>
                <w:color w:val="auto"/>
              </w:rPr>
              <w:t>1,472</w:t>
            </w:r>
          </w:p>
        </w:tc>
      </w:tr>
      <w:tr>
        <w:trPr>
          <w:trHeight w:val="144"/>
        </w:trPr>
        <w:tc>
          <w:tcPr>
            <w:tcW w:w="3620" w:type="dxa"/>
            <w:vAlign w:val="bottom"/>
            <w:shd w:val="clear" w:color="auto" w:fill="CCEEFF"/>
          </w:tcPr>
          <w:p>
            <w:pPr>
              <w:spacing w:after="0"/>
              <w:rPr>
                <w:sz w:val="20"/>
                <w:szCs w:val="20"/>
                <w:color w:val="auto"/>
              </w:rPr>
            </w:pPr>
            <w:r>
              <w:rPr>
                <w:rFonts w:ascii="Arial" w:cs="Arial" w:eastAsia="Arial" w:hAnsi="Arial"/>
                <w:sz w:val="12"/>
                <w:szCs w:val="12"/>
                <w:color w:val="auto"/>
              </w:rPr>
              <w:t>Depreciation and amortization</w:t>
            </w:r>
          </w:p>
        </w:tc>
        <w:tc>
          <w:tcPr>
            <w:tcW w:w="9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8"/>
              <w:spacing w:after="0"/>
              <w:rPr>
                <w:sz w:val="20"/>
                <w:szCs w:val="20"/>
                <w:color w:val="auto"/>
              </w:rPr>
            </w:pPr>
            <w:r>
              <w:rPr>
                <w:rFonts w:ascii="Arial" w:cs="Arial" w:eastAsia="Arial" w:hAnsi="Arial"/>
                <w:sz w:val="12"/>
                <w:szCs w:val="12"/>
                <w:b w:val="1"/>
                <w:bCs w:val="1"/>
                <w:color w:val="auto"/>
              </w:rPr>
              <w:t>176</w:t>
            </w:r>
          </w:p>
        </w:tc>
        <w:tc>
          <w:tcPr>
            <w:tcW w:w="86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rPr>
              <w:t>179</w:t>
            </w:r>
          </w:p>
        </w:tc>
        <w:tc>
          <w:tcPr>
            <w:tcW w:w="920" w:type="dxa"/>
            <w:vAlign w:val="bottom"/>
            <w:shd w:val="clear" w:color="auto" w:fill="CCEEFF"/>
          </w:tcPr>
          <w:p>
            <w:pPr>
              <w:jc w:val="right"/>
              <w:ind w:right="138"/>
              <w:spacing w:after="0"/>
              <w:rPr>
                <w:sz w:val="20"/>
                <w:szCs w:val="20"/>
                <w:color w:val="auto"/>
              </w:rPr>
            </w:pPr>
            <w:r>
              <w:rPr>
                <w:rFonts w:ascii="Arial" w:cs="Arial" w:eastAsia="Arial" w:hAnsi="Arial"/>
                <w:sz w:val="12"/>
                <w:szCs w:val="12"/>
                <w:color w:val="auto"/>
              </w:rPr>
              <w:t>178</w:t>
            </w:r>
          </w:p>
        </w:tc>
        <w:tc>
          <w:tcPr>
            <w:tcW w:w="100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rPr>
              <w:t>173</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w:t>
            </w:r>
          </w:p>
        </w:tc>
      </w:tr>
      <w:tr>
        <w:trPr>
          <w:trHeight w:val="144"/>
        </w:trPr>
        <w:tc>
          <w:tcPr>
            <w:tcW w:w="3620" w:type="dxa"/>
            <w:vAlign w:val="bottom"/>
          </w:tcPr>
          <w:p>
            <w:pPr>
              <w:spacing w:after="0"/>
              <w:rPr>
                <w:sz w:val="20"/>
                <w:szCs w:val="20"/>
                <w:color w:val="auto"/>
              </w:rPr>
            </w:pPr>
            <w:r>
              <w:rPr>
                <w:rFonts w:ascii="Arial" w:cs="Arial" w:eastAsia="Arial" w:hAnsi="Arial"/>
                <w:sz w:val="12"/>
                <w:szCs w:val="12"/>
                <w:color w:val="auto"/>
              </w:rPr>
              <w:t>Impairment and other charges</w:t>
            </w:r>
          </w:p>
        </w:tc>
        <w:tc>
          <w:tcPr>
            <w:tcW w:w="980" w:type="dxa"/>
            <w:vAlign w:val="bottom"/>
          </w:tcPr>
          <w:p>
            <w:pPr>
              <w:spacing w:after="0"/>
              <w:rPr>
                <w:sz w:val="12"/>
                <w:szCs w:val="12"/>
                <w:color w:val="auto"/>
              </w:rPr>
            </w:pPr>
          </w:p>
        </w:tc>
        <w:tc>
          <w:tcPr>
            <w:tcW w:w="980" w:type="dxa"/>
            <w:vAlign w:val="bottom"/>
          </w:tcPr>
          <w:p>
            <w:pPr>
              <w:jc w:val="right"/>
              <w:ind w:right="238"/>
              <w:spacing w:after="0"/>
              <w:rPr>
                <w:sz w:val="20"/>
                <w:szCs w:val="20"/>
                <w:color w:val="auto"/>
              </w:rPr>
            </w:pPr>
            <w:r>
              <w:rPr>
                <w:rFonts w:ascii="Arial" w:cs="Arial" w:eastAsia="Arial" w:hAnsi="Arial"/>
                <w:sz w:val="12"/>
                <w:szCs w:val="12"/>
                <w:b w:val="1"/>
                <w:bCs w:val="1"/>
                <w:color w:val="auto"/>
              </w:rPr>
              <w:t>117</w:t>
            </w:r>
          </w:p>
        </w:tc>
        <w:tc>
          <w:tcPr>
            <w:tcW w:w="860" w:type="dxa"/>
            <w:vAlign w:val="bottom"/>
          </w:tcPr>
          <w:p>
            <w:pPr>
              <w:jc w:val="right"/>
              <w:ind w:right="158"/>
              <w:spacing w:after="0"/>
              <w:rPr>
                <w:sz w:val="20"/>
                <w:szCs w:val="20"/>
                <w:color w:val="auto"/>
              </w:rPr>
            </w:pPr>
            <w:r>
              <w:rPr>
                <w:rFonts w:ascii="Arial" w:cs="Arial" w:eastAsia="Arial" w:hAnsi="Arial"/>
                <w:sz w:val="12"/>
                <w:szCs w:val="12"/>
                <w:color w:val="auto"/>
              </w:rPr>
              <w:t>65</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37</w:t>
            </w:r>
          </w:p>
        </w:tc>
        <w:tc>
          <w:tcPr>
            <w:tcW w:w="1000" w:type="dxa"/>
            <w:vAlign w:val="bottom"/>
          </w:tcPr>
          <w:p>
            <w:pPr>
              <w:jc w:val="right"/>
              <w:ind w:right="178"/>
              <w:spacing w:after="0"/>
              <w:rPr>
                <w:sz w:val="20"/>
                <w:szCs w:val="20"/>
                <w:color w:val="auto"/>
              </w:rPr>
            </w:pPr>
            <w:r>
              <w:rPr>
                <w:rFonts w:ascii="Arial" w:cs="Arial" w:eastAsia="Arial" w:hAnsi="Arial"/>
                <w:sz w:val="12"/>
                <w:szCs w:val="12"/>
                <w:color w:val="auto"/>
              </w:rPr>
              <w:t>211</w:t>
            </w:r>
          </w:p>
        </w:tc>
        <w:tc>
          <w:tcPr>
            <w:tcW w:w="760" w:type="dxa"/>
            <w:vAlign w:val="bottom"/>
          </w:tcPr>
          <w:p>
            <w:pPr>
              <w:jc w:val="right"/>
              <w:spacing w:after="0"/>
              <w:rPr>
                <w:sz w:val="20"/>
                <w:szCs w:val="20"/>
                <w:color w:val="auto"/>
              </w:rPr>
            </w:pPr>
            <w:r>
              <w:rPr>
                <w:rFonts w:ascii="Arial" w:cs="Arial" w:eastAsia="Arial" w:hAnsi="Arial"/>
                <w:sz w:val="12"/>
                <w:szCs w:val="12"/>
                <w:color w:val="auto"/>
              </w:rPr>
              <w:t>6</w:t>
            </w:r>
          </w:p>
        </w:tc>
      </w:tr>
      <w:tr>
        <w:trPr>
          <w:trHeight w:val="144"/>
        </w:trPr>
        <w:tc>
          <w:tcPr>
            <w:tcW w:w="36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Interest (expense) income, net</w:t>
            </w:r>
          </w:p>
        </w:tc>
        <w:tc>
          <w:tcPr>
            <w:tcW w:w="9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198"/>
              <w:spacing w:after="0"/>
              <w:rPr>
                <w:sz w:val="20"/>
                <w:szCs w:val="20"/>
                <w:color w:val="auto"/>
              </w:rPr>
            </w:pPr>
            <w:r>
              <w:rPr>
                <w:rFonts w:ascii="Arial" w:cs="Arial" w:eastAsia="Arial" w:hAnsi="Arial"/>
                <w:sz w:val="12"/>
                <w:szCs w:val="12"/>
                <w:b w:val="1"/>
                <w:bCs w:val="1"/>
                <w:color w:val="auto"/>
              </w:rPr>
              <w:t>(7)</w:t>
            </w:r>
          </w:p>
        </w:tc>
        <w:tc>
          <w:tcPr>
            <w:tcW w:w="86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rPr>
              <w:t>11</w:t>
            </w:r>
          </w:p>
        </w:tc>
        <w:tc>
          <w:tcPr>
            <w:tcW w:w="920" w:type="dxa"/>
            <w:vAlign w:val="bottom"/>
            <w:shd w:val="clear" w:color="auto" w:fill="CCEEFF"/>
          </w:tcPr>
          <w:p>
            <w:pPr>
              <w:jc w:val="right"/>
              <w:ind w:right="138"/>
              <w:spacing w:after="0"/>
              <w:rPr>
                <w:sz w:val="20"/>
                <w:szCs w:val="20"/>
                <w:color w:val="auto"/>
              </w:rPr>
            </w:pPr>
            <w:r>
              <w:rPr>
                <w:rFonts w:ascii="Arial" w:cs="Arial" w:eastAsia="Arial" w:hAnsi="Arial"/>
                <w:sz w:val="12"/>
                <w:szCs w:val="12"/>
                <w:color w:val="auto"/>
              </w:rPr>
              <w:t>9</w:t>
            </w:r>
          </w:p>
        </w:tc>
        <w:tc>
          <w:tcPr>
            <w:tcW w:w="100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rPr>
              <w:t>2</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r>
      <w:tr>
        <w:trPr>
          <w:trHeight w:val="144"/>
        </w:trPr>
        <w:tc>
          <w:tcPr>
            <w:tcW w:w="3620" w:type="dxa"/>
            <w:vAlign w:val="bottom"/>
          </w:tcPr>
          <w:p>
            <w:pPr>
              <w:spacing w:after="0"/>
              <w:rPr>
                <w:sz w:val="20"/>
                <w:szCs w:val="20"/>
                <w:color w:val="auto"/>
              </w:rPr>
            </w:pPr>
            <w:r>
              <w:rPr>
                <w:rFonts w:ascii="Arial" w:cs="Arial" w:eastAsia="Arial" w:hAnsi="Arial"/>
                <w:sz w:val="12"/>
                <w:szCs w:val="12"/>
                <w:color w:val="auto"/>
              </w:rPr>
              <w:t>Other income, net</w:t>
            </w:r>
          </w:p>
        </w:tc>
        <w:tc>
          <w:tcPr>
            <w:tcW w:w="980" w:type="dxa"/>
            <w:vAlign w:val="bottom"/>
          </w:tcPr>
          <w:p>
            <w:pPr>
              <w:spacing w:after="0"/>
              <w:rPr>
                <w:sz w:val="12"/>
                <w:szCs w:val="12"/>
                <w:color w:val="auto"/>
              </w:rPr>
            </w:pPr>
          </w:p>
        </w:tc>
        <w:tc>
          <w:tcPr>
            <w:tcW w:w="980" w:type="dxa"/>
            <w:vAlign w:val="bottom"/>
          </w:tcPr>
          <w:p>
            <w:pPr>
              <w:jc w:val="right"/>
              <w:ind w:right="238"/>
              <w:spacing w:after="0"/>
              <w:rPr>
                <w:sz w:val="20"/>
                <w:szCs w:val="20"/>
                <w:color w:val="auto"/>
              </w:rPr>
            </w:pPr>
            <w:r>
              <w:rPr>
                <w:rFonts w:ascii="Arial" w:cs="Arial" w:eastAsia="Arial" w:hAnsi="Arial"/>
                <w:sz w:val="12"/>
                <w:szCs w:val="12"/>
                <w:b w:val="1"/>
                <w:bCs w:val="1"/>
                <w:color w:val="auto"/>
              </w:rPr>
              <w:t>198</w:t>
            </w:r>
          </w:p>
        </w:tc>
        <w:tc>
          <w:tcPr>
            <w:tcW w:w="860" w:type="dxa"/>
            <w:vAlign w:val="bottom"/>
          </w:tcPr>
          <w:p>
            <w:pPr>
              <w:jc w:val="right"/>
              <w:ind w:right="158"/>
              <w:spacing w:after="0"/>
              <w:rPr>
                <w:sz w:val="20"/>
                <w:szCs w:val="20"/>
                <w:color w:val="auto"/>
              </w:rPr>
            </w:pPr>
            <w:r>
              <w:rPr>
                <w:rFonts w:ascii="Arial" w:cs="Arial" w:eastAsia="Arial" w:hAnsi="Arial"/>
                <w:sz w:val="12"/>
                <w:szCs w:val="12"/>
                <w:color w:val="auto"/>
              </w:rPr>
              <w:t>12</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5</w:t>
            </w:r>
          </w:p>
        </w:tc>
        <w:tc>
          <w:tcPr>
            <w:tcW w:w="1000" w:type="dxa"/>
            <w:vAlign w:val="bottom"/>
          </w:tcPr>
          <w:p>
            <w:pPr>
              <w:jc w:val="right"/>
              <w:ind w:right="178"/>
              <w:spacing w:after="0"/>
              <w:rPr>
                <w:sz w:val="20"/>
                <w:szCs w:val="20"/>
                <w:color w:val="auto"/>
              </w:rPr>
            </w:pPr>
            <w:r>
              <w:rPr>
                <w:rFonts w:ascii="Arial" w:cs="Arial" w:eastAsia="Arial" w:hAnsi="Arial"/>
                <w:sz w:val="12"/>
                <w:szCs w:val="12"/>
                <w:color w:val="auto"/>
              </w:rPr>
              <w:t>5</w:t>
            </w:r>
          </w:p>
        </w:tc>
        <w:tc>
          <w:tcPr>
            <w:tcW w:w="760" w:type="dxa"/>
            <w:vAlign w:val="bottom"/>
          </w:tcPr>
          <w:p>
            <w:pPr>
              <w:jc w:val="right"/>
              <w:spacing w:after="0"/>
              <w:rPr>
                <w:sz w:val="20"/>
                <w:szCs w:val="20"/>
                <w:color w:val="auto"/>
              </w:rPr>
            </w:pPr>
            <w:r>
              <w:rPr>
                <w:rFonts w:ascii="Arial" w:cs="Arial" w:eastAsia="Arial" w:hAnsi="Arial"/>
                <w:sz w:val="12"/>
                <w:szCs w:val="12"/>
                <w:color w:val="auto"/>
              </w:rPr>
              <w:t>6</w:t>
            </w:r>
          </w:p>
        </w:tc>
      </w:tr>
      <w:tr>
        <w:trPr>
          <w:trHeight w:val="144"/>
        </w:trPr>
        <w:tc>
          <w:tcPr>
            <w:tcW w:w="3620" w:type="dxa"/>
            <w:vAlign w:val="bottom"/>
            <w:shd w:val="clear" w:color="auto" w:fill="CCEEFF"/>
          </w:tcPr>
          <w:p>
            <w:pPr>
              <w:spacing w:after="0"/>
              <w:rPr>
                <w:sz w:val="20"/>
                <w:szCs w:val="20"/>
                <w:color w:val="auto"/>
              </w:rPr>
            </w:pPr>
            <w:r>
              <w:rPr>
                <w:rFonts w:ascii="Arial" w:cs="Arial" w:eastAsia="Arial" w:hAnsi="Arial"/>
                <w:sz w:val="12"/>
                <w:szCs w:val="12"/>
                <w:color w:val="auto"/>
              </w:rPr>
              <w:t>Net income</w:t>
            </w:r>
          </w:p>
        </w:tc>
        <w:tc>
          <w:tcPr>
            <w:tcW w:w="9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8"/>
              <w:spacing w:after="0"/>
              <w:rPr>
                <w:sz w:val="20"/>
                <w:szCs w:val="20"/>
                <w:color w:val="auto"/>
              </w:rPr>
            </w:pPr>
            <w:r>
              <w:rPr>
                <w:rFonts w:ascii="Arial" w:cs="Arial" w:eastAsia="Arial" w:hAnsi="Arial"/>
                <w:sz w:val="12"/>
                <w:szCs w:val="12"/>
                <w:b w:val="1"/>
                <w:bCs w:val="1"/>
                <w:color w:val="auto"/>
              </w:rPr>
              <w:t>323</w:t>
            </w:r>
          </w:p>
        </w:tc>
        <w:tc>
          <w:tcPr>
            <w:tcW w:w="86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rPr>
              <w:t>491</w:t>
            </w:r>
          </w:p>
        </w:tc>
        <w:tc>
          <w:tcPr>
            <w:tcW w:w="920" w:type="dxa"/>
            <w:vAlign w:val="bottom"/>
            <w:shd w:val="clear" w:color="auto" w:fill="CCEEFF"/>
          </w:tcPr>
          <w:p>
            <w:pPr>
              <w:jc w:val="right"/>
              <w:ind w:right="138"/>
              <w:spacing w:after="0"/>
              <w:rPr>
                <w:sz w:val="20"/>
                <w:szCs w:val="20"/>
                <w:color w:val="auto"/>
              </w:rPr>
            </w:pPr>
            <w:r>
              <w:rPr>
                <w:rFonts w:ascii="Arial" w:cs="Arial" w:eastAsia="Arial" w:hAnsi="Arial"/>
                <w:sz w:val="12"/>
                <w:szCs w:val="12"/>
                <w:color w:val="auto"/>
              </w:rPr>
              <w:t>541</w:t>
            </w:r>
          </w:p>
        </w:tc>
        <w:tc>
          <w:tcPr>
            <w:tcW w:w="100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rPr>
              <w:t>284</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664</w:t>
            </w:r>
          </w:p>
        </w:tc>
      </w:tr>
      <w:tr>
        <w:trPr>
          <w:trHeight w:val="144"/>
        </w:trPr>
        <w:tc>
          <w:tcPr>
            <w:tcW w:w="3620" w:type="dxa"/>
            <w:vAlign w:val="bottom"/>
          </w:tcPr>
          <w:p>
            <w:pPr>
              <w:spacing w:after="0"/>
              <w:rPr>
                <w:sz w:val="20"/>
                <w:szCs w:val="20"/>
                <w:color w:val="auto"/>
              </w:rPr>
            </w:pPr>
            <w:r>
              <w:rPr>
                <w:rFonts w:ascii="Arial" w:cs="Arial" w:eastAsia="Arial" w:hAnsi="Arial"/>
                <w:sz w:val="12"/>
                <w:szCs w:val="12"/>
                <w:b w:val="1"/>
                <w:bCs w:val="1"/>
                <w:color w:val="auto"/>
              </w:rPr>
              <w:t>Per Common Share Data</w:t>
            </w: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4"/>
        </w:trPr>
        <w:tc>
          <w:tcPr>
            <w:tcW w:w="3620" w:type="dxa"/>
            <w:vAlign w:val="bottom"/>
            <w:shd w:val="clear" w:color="auto" w:fill="CCEEFF"/>
          </w:tcPr>
          <w:p>
            <w:pPr>
              <w:ind w:left="80"/>
              <w:spacing w:after="0"/>
              <w:rPr>
                <w:sz w:val="20"/>
                <w:szCs w:val="20"/>
                <w:color w:val="auto"/>
              </w:rPr>
            </w:pPr>
            <w:r>
              <w:rPr>
                <w:rFonts w:ascii="Arial" w:cs="Arial" w:eastAsia="Arial" w:hAnsi="Arial"/>
                <w:sz w:val="12"/>
                <w:szCs w:val="12"/>
                <w:color w:val="auto"/>
              </w:rPr>
              <w:t>Basic earnings</w:t>
            </w:r>
          </w:p>
        </w:tc>
        <w:tc>
          <w:tcPr>
            <w:tcW w:w="9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8"/>
              <w:spacing w:after="0"/>
              <w:rPr>
                <w:sz w:val="20"/>
                <w:szCs w:val="20"/>
                <w:color w:val="auto"/>
              </w:rPr>
            </w:pPr>
            <w:r>
              <w:rPr>
                <w:rFonts w:ascii="Arial" w:cs="Arial" w:eastAsia="Arial" w:hAnsi="Arial"/>
                <w:sz w:val="12"/>
                <w:szCs w:val="12"/>
                <w:b w:val="1"/>
                <w:bCs w:val="1"/>
                <w:color w:val="auto"/>
              </w:rPr>
              <w:t>3.10</w:t>
            </w:r>
          </w:p>
        </w:tc>
        <w:tc>
          <w:tcPr>
            <w:tcW w:w="86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rPr>
              <w:t>4.52</w:t>
            </w:r>
          </w:p>
        </w:tc>
        <w:tc>
          <w:tcPr>
            <w:tcW w:w="920" w:type="dxa"/>
            <w:vAlign w:val="bottom"/>
            <w:shd w:val="clear" w:color="auto" w:fill="CCEEFF"/>
          </w:tcPr>
          <w:p>
            <w:pPr>
              <w:jc w:val="right"/>
              <w:ind w:right="138"/>
              <w:spacing w:after="0"/>
              <w:rPr>
                <w:sz w:val="20"/>
                <w:szCs w:val="20"/>
                <w:color w:val="auto"/>
              </w:rPr>
            </w:pPr>
            <w:r>
              <w:rPr>
                <w:rFonts w:ascii="Arial" w:cs="Arial" w:eastAsia="Arial" w:hAnsi="Arial"/>
                <w:sz w:val="12"/>
                <w:szCs w:val="12"/>
                <w:color w:val="auto"/>
              </w:rPr>
              <w:t>4.68</w:t>
            </w:r>
          </w:p>
        </w:tc>
        <w:tc>
          <w:tcPr>
            <w:tcW w:w="100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rPr>
              <w:t>2.23</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4.95</w:t>
            </w:r>
          </w:p>
        </w:tc>
      </w:tr>
      <w:tr>
        <w:trPr>
          <w:trHeight w:val="144"/>
        </w:trPr>
        <w:tc>
          <w:tcPr>
            <w:tcW w:w="3620" w:type="dxa"/>
            <w:vAlign w:val="bottom"/>
          </w:tcPr>
          <w:p>
            <w:pPr>
              <w:ind w:left="80"/>
              <w:spacing w:after="0"/>
              <w:rPr>
                <w:sz w:val="20"/>
                <w:szCs w:val="20"/>
                <w:color w:val="auto"/>
              </w:rPr>
            </w:pPr>
            <w:r>
              <w:rPr>
                <w:rFonts w:ascii="Arial" w:cs="Arial" w:eastAsia="Arial" w:hAnsi="Arial"/>
                <w:sz w:val="12"/>
                <w:szCs w:val="12"/>
                <w:color w:val="auto"/>
              </w:rPr>
              <w:t>Diluted earnings</w:t>
            </w:r>
          </w:p>
        </w:tc>
        <w:tc>
          <w:tcPr>
            <w:tcW w:w="980" w:type="dxa"/>
            <w:vAlign w:val="bottom"/>
          </w:tcPr>
          <w:p>
            <w:pPr>
              <w:spacing w:after="0"/>
              <w:rPr>
                <w:sz w:val="12"/>
                <w:szCs w:val="12"/>
                <w:color w:val="auto"/>
              </w:rPr>
            </w:pPr>
          </w:p>
        </w:tc>
        <w:tc>
          <w:tcPr>
            <w:tcW w:w="980" w:type="dxa"/>
            <w:vAlign w:val="bottom"/>
          </w:tcPr>
          <w:p>
            <w:pPr>
              <w:jc w:val="right"/>
              <w:ind w:right="238"/>
              <w:spacing w:after="0"/>
              <w:rPr>
                <w:sz w:val="20"/>
                <w:szCs w:val="20"/>
                <w:color w:val="auto"/>
              </w:rPr>
            </w:pPr>
            <w:r>
              <w:rPr>
                <w:rFonts w:ascii="Arial" w:cs="Arial" w:eastAsia="Arial" w:hAnsi="Arial"/>
                <w:sz w:val="12"/>
                <w:szCs w:val="12"/>
                <w:b w:val="1"/>
                <w:bCs w:val="1"/>
                <w:color w:val="auto"/>
              </w:rPr>
              <w:t>3.08</w:t>
            </w:r>
          </w:p>
        </w:tc>
        <w:tc>
          <w:tcPr>
            <w:tcW w:w="860" w:type="dxa"/>
            <w:vAlign w:val="bottom"/>
          </w:tcPr>
          <w:p>
            <w:pPr>
              <w:jc w:val="right"/>
              <w:ind w:right="158"/>
              <w:spacing w:after="0"/>
              <w:rPr>
                <w:sz w:val="20"/>
                <w:szCs w:val="20"/>
                <w:color w:val="auto"/>
              </w:rPr>
            </w:pPr>
            <w:r>
              <w:rPr>
                <w:rFonts w:ascii="Arial" w:cs="Arial" w:eastAsia="Arial" w:hAnsi="Arial"/>
                <w:sz w:val="12"/>
                <w:szCs w:val="12"/>
                <w:color w:val="auto"/>
              </w:rPr>
              <w:t>4.50</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4.66</w:t>
            </w:r>
          </w:p>
        </w:tc>
        <w:tc>
          <w:tcPr>
            <w:tcW w:w="1000" w:type="dxa"/>
            <w:vAlign w:val="bottom"/>
          </w:tcPr>
          <w:p>
            <w:pPr>
              <w:jc w:val="right"/>
              <w:ind w:right="178"/>
              <w:spacing w:after="0"/>
              <w:rPr>
                <w:sz w:val="20"/>
                <w:szCs w:val="20"/>
                <w:color w:val="auto"/>
              </w:rPr>
            </w:pPr>
            <w:r>
              <w:rPr>
                <w:rFonts w:ascii="Arial" w:cs="Arial" w:eastAsia="Arial" w:hAnsi="Arial"/>
                <w:sz w:val="12"/>
                <w:szCs w:val="12"/>
                <w:color w:val="auto"/>
              </w:rPr>
              <w:t>2.22</w:t>
            </w:r>
          </w:p>
        </w:tc>
        <w:tc>
          <w:tcPr>
            <w:tcW w:w="760" w:type="dxa"/>
            <w:vAlign w:val="bottom"/>
          </w:tcPr>
          <w:p>
            <w:pPr>
              <w:jc w:val="right"/>
              <w:spacing w:after="0"/>
              <w:rPr>
                <w:sz w:val="20"/>
                <w:szCs w:val="20"/>
                <w:color w:val="auto"/>
              </w:rPr>
            </w:pPr>
            <w:r>
              <w:rPr>
                <w:rFonts w:ascii="Arial" w:cs="Arial" w:eastAsia="Arial" w:hAnsi="Arial"/>
                <w:sz w:val="12"/>
                <w:szCs w:val="12"/>
                <w:color w:val="auto"/>
              </w:rPr>
              <w:t>4.91</w:t>
            </w:r>
          </w:p>
        </w:tc>
      </w:tr>
      <w:tr>
        <w:trPr>
          <w:trHeight w:val="144"/>
        </w:trPr>
        <w:tc>
          <w:tcPr>
            <w:tcW w:w="362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Common stock dividends declared per share</w:t>
            </w:r>
          </w:p>
        </w:tc>
        <w:tc>
          <w:tcPr>
            <w:tcW w:w="9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8"/>
              <w:spacing w:after="0"/>
              <w:rPr>
                <w:sz w:val="20"/>
                <w:szCs w:val="20"/>
                <w:color w:val="auto"/>
              </w:rPr>
            </w:pPr>
            <w:r>
              <w:rPr>
                <w:rFonts w:ascii="Arial" w:cs="Arial" w:eastAsia="Arial" w:hAnsi="Arial"/>
                <w:sz w:val="12"/>
                <w:szCs w:val="12"/>
                <w:b w:val="1"/>
                <w:bCs w:val="1"/>
                <w:color w:val="auto"/>
              </w:rPr>
              <w:t>0.70</w:t>
            </w:r>
          </w:p>
        </w:tc>
        <w:tc>
          <w:tcPr>
            <w:tcW w:w="86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rPr>
              <w:t>1.52</w:t>
            </w:r>
          </w:p>
        </w:tc>
        <w:tc>
          <w:tcPr>
            <w:tcW w:w="920" w:type="dxa"/>
            <w:vAlign w:val="bottom"/>
            <w:shd w:val="clear" w:color="auto" w:fill="CCEEFF"/>
          </w:tcPr>
          <w:p>
            <w:pPr>
              <w:jc w:val="right"/>
              <w:ind w:right="138"/>
              <w:spacing w:after="0"/>
              <w:rPr>
                <w:sz w:val="20"/>
                <w:szCs w:val="20"/>
                <w:color w:val="auto"/>
              </w:rPr>
            </w:pPr>
            <w:r>
              <w:rPr>
                <w:rFonts w:ascii="Arial" w:cs="Arial" w:eastAsia="Arial" w:hAnsi="Arial"/>
                <w:sz w:val="12"/>
                <w:szCs w:val="12"/>
                <w:color w:val="auto"/>
              </w:rPr>
              <w:t>1.38</w:t>
            </w:r>
          </w:p>
        </w:tc>
        <w:tc>
          <w:tcPr>
            <w:tcW w:w="100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rPr>
              <w:t>1.24</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w:t>
            </w:r>
          </w:p>
        </w:tc>
      </w:tr>
      <w:tr>
        <w:trPr>
          <w:trHeight w:val="144"/>
        </w:trPr>
        <w:tc>
          <w:tcPr>
            <w:tcW w:w="3620" w:type="dxa"/>
            <w:vAlign w:val="bottom"/>
          </w:tcPr>
          <w:p>
            <w:pPr>
              <w:spacing w:after="0"/>
              <w:rPr>
                <w:sz w:val="20"/>
                <w:szCs w:val="20"/>
                <w:color w:val="auto"/>
              </w:rPr>
            </w:pPr>
            <w:r>
              <w:rPr>
                <w:rFonts w:ascii="Arial" w:cs="Arial" w:eastAsia="Arial" w:hAnsi="Arial"/>
                <w:sz w:val="12"/>
                <w:szCs w:val="12"/>
                <w:b w:val="1"/>
                <w:bCs w:val="1"/>
                <w:color w:val="auto"/>
              </w:rPr>
              <w:t>Weighted-average Common Shares Outstanding</w:t>
            </w: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44"/>
        </w:trPr>
        <w:tc>
          <w:tcPr>
            <w:tcW w:w="3620" w:type="dxa"/>
            <w:vAlign w:val="bottom"/>
            <w:shd w:val="clear" w:color="auto" w:fill="CCEEFF"/>
          </w:tcPr>
          <w:p>
            <w:pPr>
              <w:ind w:left="80"/>
              <w:spacing w:after="0"/>
              <w:rPr>
                <w:sz w:val="20"/>
                <w:szCs w:val="20"/>
                <w:color w:val="auto"/>
              </w:rPr>
            </w:pPr>
            <w:r>
              <w:rPr>
                <w:rFonts w:ascii="Arial" w:cs="Arial" w:eastAsia="Arial" w:hAnsi="Arial"/>
                <w:sz w:val="12"/>
                <w:szCs w:val="12"/>
                <w:color w:val="auto"/>
              </w:rPr>
              <w:t>Basic earnings</w:t>
            </w:r>
          </w:p>
        </w:tc>
        <w:tc>
          <w:tcPr>
            <w:tcW w:w="9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8"/>
              <w:spacing w:after="0"/>
              <w:rPr>
                <w:sz w:val="20"/>
                <w:szCs w:val="20"/>
                <w:color w:val="auto"/>
              </w:rPr>
            </w:pPr>
            <w:r>
              <w:rPr>
                <w:rFonts w:ascii="Arial" w:cs="Arial" w:eastAsia="Arial" w:hAnsi="Arial"/>
                <w:sz w:val="12"/>
                <w:szCs w:val="12"/>
                <w:b w:val="1"/>
                <w:bCs w:val="1"/>
                <w:color w:val="auto"/>
              </w:rPr>
              <w:t>104.3</w:t>
            </w:r>
          </w:p>
        </w:tc>
        <w:tc>
          <w:tcPr>
            <w:tcW w:w="86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rPr>
              <w:t>108.7</w:t>
            </w:r>
          </w:p>
        </w:tc>
        <w:tc>
          <w:tcPr>
            <w:tcW w:w="920" w:type="dxa"/>
            <w:vAlign w:val="bottom"/>
            <w:shd w:val="clear" w:color="auto" w:fill="CCEEFF"/>
          </w:tcPr>
          <w:p>
            <w:pPr>
              <w:jc w:val="right"/>
              <w:ind w:right="138"/>
              <w:spacing w:after="0"/>
              <w:rPr>
                <w:sz w:val="20"/>
                <w:szCs w:val="20"/>
                <w:color w:val="auto"/>
              </w:rPr>
            </w:pPr>
            <w:r>
              <w:rPr>
                <w:rFonts w:ascii="Arial" w:cs="Arial" w:eastAsia="Arial" w:hAnsi="Arial"/>
                <w:sz w:val="12"/>
                <w:szCs w:val="12"/>
                <w:color w:val="auto"/>
              </w:rPr>
              <w:t>115.6</w:t>
            </w:r>
          </w:p>
        </w:tc>
        <w:tc>
          <w:tcPr>
            <w:tcW w:w="100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rPr>
              <w:t>127.2</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134.0</w:t>
            </w:r>
          </w:p>
        </w:tc>
      </w:tr>
      <w:tr>
        <w:trPr>
          <w:trHeight w:val="144"/>
        </w:trPr>
        <w:tc>
          <w:tcPr>
            <w:tcW w:w="3620" w:type="dxa"/>
            <w:vAlign w:val="bottom"/>
            <w:tcBorders>
              <w:bottom w:val="single" w:sz="8" w:color="auto"/>
            </w:tcBorders>
          </w:tcPr>
          <w:p>
            <w:pPr>
              <w:ind w:left="80"/>
              <w:spacing w:after="0"/>
              <w:rPr>
                <w:sz w:val="20"/>
                <w:szCs w:val="20"/>
                <w:color w:val="auto"/>
              </w:rPr>
            </w:pPr>
            <w:r>
              <w:rPr>
                <w:rFonts w:ascii="Arial" w:cs="Arial" w:eastAsia="Arial" w:hAnsi="Arial"/>
                <w:sz w:val="12"/>
                <w:szCs w:val="12"/>
                <w:color w:val="auto"/>
              </w:rPr>
              <w:t>Diluted earnings</w:t>
            </w:r>
          </w:p>
        </w:tc>
        <w:tc>
          <w:tcPr>
            <w:tcW w:w="9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b w:val="1"/>
                <w:bCs w:val="1"/>
                <w:color w:val="auto"/>
              </w:rPr>
              <w:t>105.1</w:t>
            </w:r>
          </w:p>
        </w:tc>
        <w:tc>
          <w:tcPr>
            <w:tcW w:w="86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109.1</w:t>
            </w:r>
          </w:p>
        </w:tc>
        <w:tc>
          <w:tcPr>
            <w:tcW w:w="92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116.1</w:t>
            </w:r>
          </w:p>
        </w:tc>
        <w:tc>
          <w:tcPr>
            <w:tcW w:w="100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127.9</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135.1</w:t>
            </w:r>
          </w:p>
        </w:tc>
      </w:tr>
      <w:tr>
        <w:trPr>
          <w:trHeight w:val="134"/>
        </w:trPr>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Financial Condition</w:t>
            </w:r>
          </w:p>
        </w:tc>
        <w:tc>
          <w:tcPr>
            <w:tcW w:w="9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44"/>
        </w:trPr>
        <w:tc>
          <w:tcPr>
            <w:tcW w:w="3620" w:type="dxa"/>
            <w:vAlign w:val="bottom"/>
          </w:tcPr>
          <w:p>
            <w:pPr>
              <w:spacing w:after="0"/>
              <w:rPr>
                <w:sz w:val="20"/>
                <w:szCs w:val="20"/>
                <w:color w:val="auto"/>
              </w:rPr>
            </w:pPr>
            <w:r>
              <w:rPr>
                <w:rFonts w:ascii="Arial" w:cs="Arial" w:eastAsia="Arial" w:hAnsi="Arial"/>
                <w:sz w:val="12"/>
                <w:szCs w:val="12"/>
                <w:color w:val="auto"/>
              </w:rPr>
              <w:t>Cash and cash equivalents</w:t>
            </w:r>
          </w:p>
        </w:tc>
        <w:tc>
          <w:tcPr>
            <w:tcW w:w="980" w:type="dxa"/>
            <w:vAlign w:val="bottom"/>
          </w:tcPr>
          <w:p>
            <w:pPr>
              <w:jc w:val="right"/>
              <w:ind w:right="78"/>
              <w:spacing w:after="0"/>
              <w:rPr>
                <w:sz w:val="20"/>
                <w:szCs w:val="20"/>
                <w:color w:val="auto"/>
              </w:rPr>
            </w:pPr>
            <w:r>
              <w:rPr>
                <w:rFonts w:ascii="Arial" w:cs="Arial" w:eastAsia="Arial" w:hAnsi="Arial"/>
                <w:sz w:val="12"/>
                <w:szCs w:val="12"/>
                <w:b w:val="1"/>
                <w:bCs w:val="1"/>
                <w:color w:val="auto"/>
              </w:rPr>
              <w:t>$</w:t>
            </w:r>
          </w:p>
        </w:tc>
        <w:tc>
          <w:tcPr>
            <w:tcW w:w="980" w:type="dxa"/>
            <w:vAlign w:val="bottom"/>
          </w:tcPr>
          <w:p>
            <w:pPr>
              <w:jc w:val="right"/>
              <w:ind w:right="238"/>
              <w:spacing w:after="0"/>
              <w:rPr>
                <w:sz w:val="20"/>
                <w:szCs w:val="20"/>
                <w:color w:val="auto"/>
              </w:rPr>
            </w:pPr>
            <w:r>
              <w:rPr>
                <w:rFonts w:ascii="Arial" w:cs="Arial" w:eastAsia="Arial" w:hAnsi="Arial"/>
                <w:sz w:val="12"/>
                <w:szCs w:val="12"/>
                <w:b w:val="1"/>
                <w:bCs w:val="1"/>
                <w:color w:val="auto"/>
              </w:rPr>
              <w:t>1,680</w:t>
            </w:r>
          </w:p>
        </w:tc>
        <w:tc>
          <w:tcPr>
            <w:tcW w:w="860" w:type="dxa"/>
            <w:vAlign w:val="bottom"/>
          </w:tcPr>
          <w:p>
            <w:pPr>
              <w:jc w:val="right"/>
              <w:ind w:right="158"/>
              <w:spacing w:after="0"/>
              <w:rPr>
                <w:sz w:val="20"/>
                <w:szCs w:val="20"/>
                <w:color w:val="auto"/>
              </w:rPr>
            </w:pPr>
            <w:r>
              <w:rPr>
                <w:rFonts w:ascii="Arial" w:cs="Arial" w:eastAsia="Arial" w:hAnsi="Arial"/>
                <w:sz w:val="12"/>
                <w:szCs w:val="12"/>
                <w:color w:val="auto"/>
              </w:rPr>
              <w:t>907</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891</w:t>
            </w:r>
          </w:p>
        </w:tc>
        <w:tc>
          <w:tcPr>
            <w:tcW w:w="1000" w:type="dxa"/>
            <w:vAlign w:val="bottom"/>
          </w:tcPr>
          <w:p>
            <w:pPr>
              <w:jc w:val="right"/>
              <w:ind w:right="178"/>
              <w:spacing w:after="0"/>
              <w:rPr>
                <w:sz w:val="20"/>
                <w:szCs w:val="20"/>
                <w:color w:val="auto"/>
              </w:rPr>
            </w:pPr>
            <w:r>
              <w:rPr>
                <w:rFonts w:ascii="Arial" w:cs="Arial" w:eastAsia="Arial" w:hAnsi="Arial"/>
                <w:sz w:val="12"/>
                <w:szCs w:val="12"/>
                <w:color w:val="auto"/>
              </w:rPr>
              <w:t>849</w:t>
            </w:r>
          </w:p>
        </w:tc>
        <w:tc>
          <w:tcPr>
            <w:tcW w:w="760" w:type="dxa"/>
            <w:vAlign w:val="bottom"/>
          </w:tcPr>
          <w:p>
            <w:pPr>
              <w:jc w:val="right"/>
              <w:spacing w:after="0"/>
              <w:rPr>
                <w:sz w:val="20"/>
                <w:szCs w:val="20"/>
                <w:color w:val="auto"/>
              </w:rPr>
            </w:pPr>
            <w:r>
              <w:rPr>
                <w:rFonts w:ascii="Arial" w:cs="Arial" w:eastAsia="Arial" w:hAnsi="Arial"/>
                <w:sz w:val="12"/>
                <w:szCs w:val="12"/>
                <w:color w:val="auto"/>
              </w:rPr>
              <w:t>1,046</w:t>
            </w:r>
          </w:p>
        </w:tc>
      </w:tr>
      <w:tr>
        <w:trPr>
          <w:trHeight w:val="144"/>
        </w:trPr>
        <w:tc>
          <w:tcPr>
            <w:tcW w:w="3620" w:type="dxa"/>
            <w:vAlign w:val="bottom"/>
            <w:shd w:val="clear" w:color="auto" w:fill="CCEEFF"/>
          </w:tcPr>
          <w:p>
            <w:pPr>
              <w:spacing w:after="0"/>
              <w:rPr>
                <w:sz w:val="20"/>
                <w:szCs w:val="20"/>
                <w:color w:val="auto"/>
              </w:rPr>
            </w:pPr>
            <w:r>
              <w:rPr>
                <w:rFonts w:ascii="Arial" w:cs="Arial" w:eastAsia="Arial" w:hAnsi="Arial"/>
                <w:sz w:val="12"/>
                <w:szCs w:val="12"/>
                <w:color w:val="auto"/>
              </w:rPr>
              <w:t>Merchandise inventories</w:t>
            </w:r>
          </w:p>
        </w:tc>
        <w:tc>
          <w:tcPr>
            <w:tcW w:w="9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8"/>
              <w:spacing w:after="0"/>
              <w:rPr>
                <w:sz w:val="20"/>
                <w:szCs w:val="20"/>
                <w:color w:val="auto"/>
              </w:rPr>
            </w:pPr>
            <w:r>
              <w:rPr>
                <w:rFonts w:ascii="Arial" w:cs="Arial" w:eastAsia="Arial" w:hAnsi="Arial"/>
                <w:sz w:val="12"/>
                <w:szCs w:val="12"/>
                <w:b w:val="1"/>
                <w:bCs w:val="1"/>
                <w:color w:val="auto"/>
              </w:rPr>
              <w:t>923</w:t>
            </w:r>
          </w:p>
        </w:tc>
        <w:tc>
          <w:tcPr>
            <w:tcW w:w="86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rPr>
              <w:t>1,208</w:t>
            </w:r>
          </w:p>
        </w:tc>
        <w:tc>
          <w:tcPr>
            <w:tcW w:w="920" w:type="dxa"/>
            <w:vAlign w:val="bottom"/>
            <w:shd w:val="clear" w:color="auto" w:fill="CCEEFF"/>
          </w:tcPr>
          <w:p>
            <w:pPr>
              <w:jc w:val="right"/>
              <w:ind w:right="138"/>
              <w:spacing w:after="0"/>
              <w:rPr>
                <w:sz w:val="20"/>
                <w:szCs w:val="20"/>
                <w:color w:val="auto"/>
              </w:rPr>
            </w:pPr>
            <w:r>
              <w:rPr>
                <w:rFonts w:ascii="Arial" w:cs="Arial" w:eastAsia="Arial" w:hAnsi="Arial"/>
                <w:sz w:val="12"/>
                <w:szCs w:val="12"/>
                <w:color w:val="auto"/>
              </w:rPr>
              <w:t>1,269</w:t>
            </w:r>
          </w:p>
        </w:tc>
        <w:tc>
          <w:tcPr>
            <w:tcW w:w="100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rPr>
              <w:t>1,278</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1,307</w:t>
            </w:r>
          </w:p>
        </w:tc>
      </w:tr>
      <w:tr>
        <w:trPr>
          <w:trHeight w:val="144"/>
        </w:trPr>
        <w:tc>
          <w:tcPr>
            <w:tcW w:w="3620" w:type="dxa"/>
            <w:vAlign w:val="bottom"/>
          </w:tcPr>
          <w:p>
            <w:pPr>
              <w:spacing w:after="0"/>
              <w:rPr>
                <w:sz w:val="20"/>
                <w:szCs w:val="20"/>
                <w:color w:val="auto"/>
              </w:rPr>
            </w:pPr>
            <w:r>
              <w:rPr>
                <w:rFonts w:ascii="Arial" w:cs="Arial" w:eastAsia="Arial" w:hAnsi="Arial"/>
                <w:sz w:val="12"/>
                <w:szCs w:val="12"/>
                <w:color w:val="auto"/>
              </w:rPr>
              <w:t>Property and equipment, net</w:t>
            </w:r>
          </w:p>
        </w:tc>
        <w:tc>
          <w:tcPr>
            <w:tcW w:w="980" w:type="dxa"/>
            <w:vAlign w:val="bottom"/>
          </w:tcPr>
          <w:p>
            <w:pPr>
              <w:spacing w:after="0"/>
              <w:rPr>
                <w:sz w:val="12"/>
                <w:szCs w:val="12"/>
                <w:color w:val="auto"/>
              </w:rPr>
            </w:pPr>
          </w:p>
        </w:tc>
        <w:tc>
          <w:tcPr>
            <w:tcW w:w="980" w:type="dxa"/>
            <w:vAlign w:val="bottom"/>
          </w:tcPr>
          <w:p>
            <w:pPr>
              <w:jc w:val="right"/>
              <w:ind w:right="238"/>
              <w:spacing w:after="0"/>
              <w:rPr>
                <w:sz w:val="20"/>
                <w:szCs w:val="20"/>
                <w:color w:val="auto"/>
              </w:rPr>
            </w:pPr>
            <w:r>
              <w:rPr>
                <w:rFonts w:ascii="Arial" w:cs="Arial" w:eastAsia="Arial" w:hAnsi="Arial"/>
                <w:sz w:val="12"/>
                <w:szCs w:val="12"/>
                <w:b w:val="1"/>
                <w:bCs w:val="1"/>
                <w:color w:val="auto"/>
              </w:rPr>
              <w:t>788</w:t>
            </w:r>
          </w:p>
        </w:tc>
        <w:tc>
          <w:tcPr>
            <w:tcW w:w="860" w:type="dxa"/>
            <w:vAlign w:val="bottom"/>
          </w:tcPr>
          <w:p>
            <w:pPr>
              <w:jc w:val="right"/>
              <w:ind w:right="158"/>
              <w:spacing w:after="0"/>
              <w:rPr>
                <w:sz w:val="20"/>
                <w:szCs w:val="20"/>
                <w:color w:val="auto"/>
              </w:rPr>
            </w:pPr>
            <w:r>
              <w:rPr>
                <w:rFonts w:ascii="Arial" w:cs="Arial" w:eastAsia="Arial" w:hAnsi="Arial"/>
                <w:sz w:val="12"/>
                <w:szCs w:val="12"/>
                <w:color w:val="auto"/>
              </w:rPr>
              <w:t>824</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836</w:t>
            </w:r>
          </w:p>
        </w:tc>
        <w:tc>
          <w:tcPr>
            <w:tcW w:w="1000" w:type="dxa"/>
            <w:vAlign w:val="bottom"/>
          </w:tcPr>
          <w:p>
            <w:pPr>
              <w:jc w:val="right"/>
              <w:ind w:right="178"/>
              <w:spacing w:after="0"/>
              <w:rPr>
                <w:sz w:val="20"/>
                <w:szCs w:val="20"/>
                <w:color w:val="auto"/>
              </w:rPr>
            </w:pPr>
            <w:r>
              <w:rPr>
                <w:rFonts w:ascii="Arial" w:cs="Arial" w:eastAsia="Arial" w:hAnsi="Arial"/>
                <w:sz w:val="12"/>
                <w:szCs w:val="12"/>
                <w:color w:val="auto"/>
              </w:rPr>
              <w:t>866</w:t>
            </w:r>
          </w:p>
        </w:tc>
        <w:tc>
          <w:tcPr>
            <w:tcW w:w="760" w:type="dxa"/>
            <w:vAlign w:val="bottom"/>
          </w:tcPr>
          <w:p>
            <w:pPr>
              <w:jc w:val="right"/>
              <w:spacing w:after="0"/>
              <w:rPr>
                <w:sz w:val="20"/>
                <w:szCs w:val="20"/>
                <w:color w:val="auto"/>
              </w:rPr>
            </w:pPr>
            <w:r>
              <w:rPr>
                <w:rFonts w:ascii="Arial" w:cs="Arial" w:eastAsia="Arial" w:hAnsi="Arial"/>
                <w:sz w:val="12"/>
                <w:szCs w:val="12"/>
                <w:color w:val="auto"/>
              </w:rPr>
              <w:t>765</w:t>
            </w:r>
          </w:p>
        </w:tc>
      </w:tr>
      <w:tr>
        <w:trPr>
          <w:trHeight w:val="144"/>
        </w:trPr>
        <w:tc>
          <w:tcPr>
            <w:tcW w:w="3620" w:type="dxa"/>
            <w:vAlign w:val="bottom"/>
            <w:shd w:val="clear" w:color="auto" w:fill="CCEEFF"/>
          </w:tcPr>
          <w:p>
            <w:pPr>
              <w:spacing w:after="0"/>
              <w:rPr>
                <w:sz w:val="20"/>
                <w:szCs w:val="20"/>
                <w:color w:val="auto"/>
              </w:rPr>
            </w:pPr>
            <w:r>
              <w:rPr>
                <w:rFonts w:ascii="Arial" w:cs="Arial" w:eastAsia="Arial" w:hAnsi="Arial"/>
                <w:sz w:val="12"/>
                <w:szCs w:val="12"/>
                <w:color w:val="auto"/>
              </w:rPr>
              <w:t>Total assets</w:t>
            </w:r>
          </w:p>
        </w:tc>
        <w:tc>
          <w:tcPr>
            <w:tcW w:w="9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8"/>
              <w:spacing w:after="0"/>
              <w:rPr>
                <w:sz w:val="20"/>
                <w:szCs w:val="20"/>
                <w:color w:val="auto"/>
              </w:rPr>
            </w:pPr>
            <w:r>
              <w:rPr>
                <w:rFonts w:ascii="Arial" w:cs="Arial" w:eastAsia="Arial" w:hAnsi="Arial"/>
                <w:sz w:val="12"/>
                <w:szCs w:val="12"/>
                <w:b w:val="1"/>
                <w:bCs w:val="1"/>
                <w:color w:val="auto"/>
              </w:rPr>
              <w:t>7,043</w:t>
            </w:r>
          </w:p>
        </w:tc>
        <w:tc>
          <w:tcPr>
            <w:tcW w:w="86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rPr>
              <w:t>6,589</w:t>
            </w:r>
          </w:p>
        </w:tc>
        <w:tc>
          <w:tcPr>
            <w:tcW w:w="920" w:type="dxa"/>
            <w:vAlign w:val="bottom"/>
            <w:shd w:val="clear" w:color="auto" w:fill="CCEEFF"/>
          </w:tcPr>
          <w:p>
            <w:pPr>
              <w:jc w:val="right"/>
              <w:ind w:right="138"/>
              <w:spacing w:after="0"/>
              <w:rPr>
                <w:sz w:val="20"/>
                <w:szCs w:val="20"/>
                <w:color w:val="auto"/>
              </w:rPr>
            </w:pPr>
            <w:r>
              <w:rPr>
                <w:rFonts w:ascii="Arial" w:cs="Arial" w:eastAsia="Arial" w:hAnsi="Arial"/>
                <w:sz w:val="12"/>
                <w:szCs w:val="12"/>
                <w:color w:val="auto"/>
              </w:rPr>
              <w:t>3,820</w:t>
            </w:r>
          </w:p>
        </w:tc>
        <w:tc>
          <w:tcPr>
            <w:tcW w:w="100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rPr>
              <w:t>3,961</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3,840</w:t>
            </w:r>
          </w:p>
        </w:tc>
      </w:tr>
      <w:tr>
        <w:trPr>
          <w:trHeight w:val="144"/>
        </w:trPr>
        <w:tc>
          <w:tcPr>
            <w:tcW w:w="3620" w:type="dxa"/>
            <w:vAlign w:val="bottom"/>
          </w:tcPr>
          <w:p>
            <w:pPr>
              <w:spacing w:after="0"/>
              <w:rPr>
                <w:sz w:val="20"/>
                <w:szCs w:val="20"/>
                <w:color w:val="auto"/>
              </w:rPr>
            </w:pPr>
            <w:r>
              <w:rPr>
                <w:rFonts w:ascii="Arial" w:cs="Arial" w:eastAsia="Arial" w:hAnsi="Arial"/>
                <w:sz w:val="12"/>
                <w:szCs w:val="12"/>
                <w:color w:val="auto"/>
              </w:rPr>
              <w:t>Long-term debt and obligations under capital leases</w:t>
            </w:r>
          </w:p>
        </w:tc>
        <w:tc>
          <w:tcPr>
            <w:tcW w:w="980" w:type="dxa"/>
            <w:vAlign w:val="bottom"/>
          </w:tcPr>
          <w:p>
            <w:pPr>
              <w:spacing w:after="0"/>
              <w:rPr>
                <w:sz w:val="12"/>
                <w:szCs w:val="12"/>
                <w:color w:val="auto"/>
              </w:rPr>
            </w:pPr>
          </w:p>
        </w:tc>
        <w:tc>
          <w:tcPr>
            <w:tcW w:w="980" w:type="dxa"/>
            <w:vAlign w:val="bottom"/>
          </w:tcPr>
          <w:p>
            <w:pPr>
              <w:jc w:val="right"/>
              <w:ind w:right="238"/>
              <w:spacing w:after="0"/>
              <w:rPr>
                <w:sz w:val="20"/>
                <w:szCs w:val="20"/>
                <w:color w:val="auto"/>
              </w:rPr>
            </w:pPr>
            <w:r>
              <w:rPr>
                <w:rFonts w:ascii="Arial" w:cs="Arial" w:eastAsia="Arial" w:hAnsi="Arial"/>
                <w:sz w:val="12"/>
                <w:szCs w:val="12"/>
                <w:b w:val="1"/>
                <w:bCs w:val="1"/>
                <w:color w:val="auto"/>
              </w:rPr>
              <w:t>110</w:t>
            </w:r>
          </w:p>
        </w:tc>
        <w:tc>
          <w:tcPr>
            <w:tcW w:w="860" w:type="dxa"/>
            <w:vAlign w:val="bottom"/>
          </w:tcPr>
          <w:p>
            <w:pPr>
              <w:jc w:val="right"/>
              <w:ind w:right="158"/>
              <w:spacing w:after="0"/>
              <w:rPr>
                <w:sz w:val="20"/>
                <w:szCs w:val="20"/>
                <w:color w:val="auto"/>
              </w:rPr>
            </w:pPr>
            <w:r>
              <w:rPr>
                <w:rFonts w:ascii="Arial" w:cs="Arial" w:eastAsia="Arial" w:hAnsi="Arial"/>
                <w:sz w:val="12"/>
                <w:szCs w:val="12"/>
                <w:color w:val="auto"/>
              </w:rPr>
              <w:t>122</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124</w:t>
            </w:r>
          </w:p>
        </w:tc>
        <w:tc>
          <w:tcPr>
            <w:tcW w:w="1000" w:type="dxa"/>
            <w:vAlign w:val="bottom"/>
          </w:tcPr>
          <w:p>
            <w:pPr>
              <w:jc w:val="right"/>
              <w:ind w:right="178"/>
              <w:spacing w:after="0"/>
              <w:rPr>
                <w:sz w:val="20"/>
                <w:szCs w:val="20"/>
                <w:color w:val="auto"/>
              </w:rPr>
            </w:pPr>
            <w:r>
              <w:rPr>
                <w:rFonts w:ascii="Arial" w:cs="Arial" w:eastAsia="Arial" w:hAnsi="Arial"/>
                <w:sz w:val="12"/>
                <w:szCs w:val="12"/>
                <w:color w:val="auto"/>
              </w:rPr>
              <w:t>125</w:t>
            </w:r>
          </w:p>
        </w:tc>
        <w:tc>
          <w:tcPr>
            <w:tcW w:w="760" w:type="dxa"/>
            <w:vAlign w:val="bottom"/>
          </w:tcPr>
          <w:p>
            <w:pPr>
              <w:jc w:val="right"/>
              <w:spacing w:after="0"/>
              <w:rPr>
                <w:sz w:val="20"/>
                <w:szCs w:val="20"/>
                <w:color w:val="auto"/>
              </w:rPr>
            </w:pPr>
            <w:r>
              <w:rPr>
                <w:rFonts w:ascii="Arial" w:cs="Arial" w:eastAsia="Arial" w:hAnsi="Arial"/>
                <w:sz w:val="12"/>
                <w:szCs w:val="12"/>
                <w:color w:val="auto"/>
              </w:rPr>
              <w:t>127</w:t>
            </w:r>
          </w:p>
        </w:tc>
      </w:tr>
      <w:tr>
        <w:trPr>
          <w:trHeight w:val="144"/>
        </w:trPr>
        <w:tc>
          <w:tcPr>
            <w:tcW w:w="3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Total shareholders’ equity</w:t>
            </w:r>
          </w:p>
        </w:tc>
        <w:tc>
          <w:tcPr>
            <w:tcW w:w="9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238"/>
              <w:spacing w:after="0"/>
              <w:rPr>
                <w:sz w:val="20"/>
                <w:szCs w:val="20"/>
                <w:color w:val="auto"/>
              </w:rPr>
            </w:pPr>
            <w:r>
              <w:rPr>
                <w:rFonts w:ascii="Arial" w:cs="Arial" w:eastAsia="Arial" w:hAnsi="Arial"/>
                <w:sz w:val="12"/>
                <w:szCs w:val="12"/>
                <w:b w:val="1"/>
                <w:bCs w:val="1"/>
                <w:color w:val="auto"/>
              </w:rPr>
              <w:t>2,776</w:t>
            </w:r>
          </w:p>
        </w:tc>
        <w:tc>
          <w:tcPr>
            <w:tcW w:w="86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2"/>
                <w:szCs w:val="12"/>
                <w:color w:val="auto"/>
              </w:rPr>
              <w:t>2,473</w:t>
            </w:r>
          </w:p>
        </w:tc>
        <w:tc>
          <w:tcPr>
            <w:tcW w:w="92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2"/>
                <w:szCs w:val="12"/>
                <w:color w:val="auto"/>
              </w:rPr>
              <w:t>2,506</w:t>
            </w:r>
          </w:p>
        </w:tc>
        <w:tc>
          <w:tcPr>
            <w:tcW w:w="100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2"/>
                <w:szCs w:val="12"/>
                <w:color w:val="auto"/>
              </w:rPr>
              <w:t>2,519</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2,710</w:t>
            </w:r>
          </w:p>
        </w:tc>
      </w:tr>
      <w:tr>
        <w:trPr>
          <w:trHeight w:val="134"/>
        </w:trPr>
        <w:tc>
          <w:tcPr>
            <w:tcW w:w="3620" w:type="dxa"/>
            <w:vAlign w:val="bottom"/>
          </w:tcPr>
          <w:p>
            <w:pPr>
              <w:spacing w:after="0" w:line="134" w:lineRule="exact"/>
              <w:rPr>
                <w:sz w:val="20"/>
                <w:szCs w:val="20"/>
                <w:color w:val="auto"/>
              </w:rPr>
            </w:pPr>
            <w:r>
              <w:rPr>
                <w:rFonts w:ascii="Arial" w:cs="Arial" w:eastAsia="Arial" w:hAnsi="Arial"/>
                <w:sz w:val="12"/>
                <w:szCs w:val="12"/>
                <w:b w:val="1"/>
                <w:bCs w:val="1"/>
                <w:color w:val="auto"/>
              </w:rPr>
              <w:t>Financial Ratios</w:t>
            </w:r>
          </w:p>
        </w:tc>
        <w:tc>
          <w:tcPr>
            <w:tcW w:w="9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44"/>
        </w:trPr>
        <w:tc>
          <w:tcPr>
            <w:tcW w:w="3620" w:type="dxa"/>
            <w:vAlign w:val="bottom"/>
            <w:shd w:val="clear" w:color="auto" w:fill="CCEEFF"/>
          </w:tcPr>
          <w:p>
            <w:pPr>
              <w:spacing w:after="0" w:line="144" w:lineRule="exact"/>
              <w:rPr>
                <w:sz w:val="20"/>
                <w:szCs w:val="20"/>
                <w:color w:val="auto"/>
              </w:rPr>
            </w:pPr>
            <w:r>
              <w:rPr>
                <w:rFonts w:ascii="Arial" w:cs="Arial" w:eastAsia="Arial" w:hAnsi="Arial"/>
                <w:sz w:val="11"/>
                <w:szCs w:val="11"/>
                <w:color w:val="auto"/>
              </w:rPr>
              <w:t xml:space="preserve">Sales per average gross square foot </w:t>
            </w:r>
            <w:r>
              <w:rPr>
                <w:rFonts w:ascii="Arial" w:cs="Arial" w:eastAsia="Arial" w:hAnsi="Arial"/>
                <w:sz w:val="16"/>
                <w:szCs w:val="16"/>
                <w:color w:val="auto"/>
                <w:vertAlign w:val="superscript"/>
              </w:rPr>
              <w:t>(2)</w:t>
            </w:r>
          </w:p>
        </w:tc>
        <w:tc>
          <w:tcPr>
            <w:tcW w:w="980" w:type="dxa"/>
            <w:vAlign w:val="bottom"/>
            <w:shd w:val="clear" w:color="auto" w:fill="CCEEFF"/>
          </w:tcPr>
          <w:p>
            <w:pPr>
              <w:jc w:val="right"/>
              <w:ind w:right="78"/>
              <w:spacing w:after="0"/>
              <w:rPr>
                <w:sz w:val="20"/>
                <w:szCs w:val="20"/>
                <w:color w:val="auto"/>
              </w:rPr>
            </w:pPr>
            <w:r>
              <w:rPr>
                <w:rFonts w:ascii="Arial" w:cs="Arial" w:eastAsia="Arial" w:hAnsi="Arial"/>
                <w:sz w:val="12"/>
                <w:szCs w:val="12"/>
                <w:b w:val="1"/>
                <w:bCs w:val="1"/>
                <w:color w:val="auto"/>
              </w:rPr>
              <w:t>$</w:t>
            </w:r>
          </w:p>
        </w:tc>
        <w:tc>
          <w:tcPr>
            <w:tcW w:w="980" w:type="dxa"/>
            <w:vAlign w:val="bottom"/>
            <w:shd w:val="clear" w:color="auto" w:fill="CCEEFF"/>
          </w:tcPr>
          <w:p>
            <w:pPr>
              <w:jc w:val="right"/>
              <w:ind w:right="238"/>
              <w:spacing w:after="0"/>
              <w:rPr>
                <w:sz w:val="20"/>
                <w:szCs w:val="20"/>
                <w:color w:val="auto"/>
              </w:rPr>
            </w:pPr>
            <w:r>
              <w:rPr>
                <w:rFonts w:ascii="Arial" w:cs="Arial" w:eastAsia="Arial" w:hAnsi="Arial"/>
                <w:sz w:val="12"/>
                <w:szCs w:val="12"/>
                <w:b w:val="1"/>
                <w:bCs w:val="1"/>
                <w:color w:val="auto"/>
              </w:rPr>
              <w:t>417</w:t>
            </w:r>
          </w:p>
        </w:tc>
        <w:tc>
          <w:tcPr>
            <w:tcW w:w="86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rPr>
              <w:t>510</w:t>
            </w:r>
          </w:p>
        </w:tc>
        <w:tc>
          <w:tcPr>
            <w:tcW w:w="920" w:type="dxa"/>
            <w:vAlign w:val="bottom"/>
            <w:shd w:val="clear" w:color="auto" w:fill="CCEEFF"/>
          </w:tcPr>
          <w:p>
            <w:pPr>
              <w:jc w:val="right"/>
              <w:ind w:right="138"/>
              <w:spacing w:after="0"/>
              <w:rPr>
                <w:sz w:val="20"/>
                <w:szCs w:val="20"/>
                <w:color w:val="auto"/>
              </w:rPr>
            </w:pPr>
            <w:r>
              <w:rPr>
                <w:rFonts w:ascii="Arial" w:cs="Arial" w:eastAsia="Arial" w:hAnsi="Arial"/>
                <w:sz w:val="12"/>
                <w:szCs w:val="12"/>
                <w:color w:val="auto"/>
              </w:rPr>
              <w:t>504</w:t>
            </w:r>
          </w:p>
        </w:tc>
        <w:tc>
          <w:tcPr>
            <w:tcW w:w="100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rPr>
              <w:t>495</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515</w:t>
            </w:r>
          </w:p>
        </w:tc>
      </w:tr>
      <w:tr>
        <w:trPr>
          <w:trHeight w:val="144"/>
        </w:trPr>
        <w:tc>
          <w:tcPr>
            <w:tcW w:w="3620" w:type="dxa"/>
            <w:vAlign w:val="bottom"/>
          </w:tcPr>
          <w:p>
            <w:pPr>
              <w:spacing w:after="0"/>
              <w:rPr>
                <w:sz w:val="20"/>
                <w:szCs w:val="20"/>
                <w:color w:val="auto"/>
              </w:rPr>
            </w:pPr>
            <w:r>
              <w:rPr>
                <w:rFonts w:ascii="Arial" w:cs="Arial" w:eastAsia="Arial" w:hAnsi="Arial"/>
                <w:sz w:val="12"/>
                <w:szCs w:val="12"/>
                <w:color w:val="auto"/>
              </w:rPr>
              <w:t>SG&amp;A as a percentage of sales</w:t>
            </w:r>
          </w:p>
        </w:tc>
        <w:tc>
          <w:tcPr>
            <w:tcW w:w="980" w:type="dxa"/>
            <w:vAlign w:val="bottom"/>
          </w:tcPr>
          <w:p>
            <w:pPr>
              <w:spacing w:after="0"/>
              <w:rPr>
                <w:sz w:val="12"/>
                <w:szCs w:val="12"/>
                <w:color w:val="auto"/>
              </w:rPr>
            </w:pPr>
          </w:p>
        </w:tc>
        <w:tc>
          <w:tcPr>
            <w:tcW w:w="980" w:type="dxa"/>
            <w:vAlign w:val="bottom"/>
          </w:tcPr>
          <w:p>
            <w:pPr>
              <w:jc w:val="right"/>
              <w:ind w:right="98"/>
              <w:spacing w:after="0"/>
              <w:rPr>
                <w:sz w:val="20"/>
                <w:szCs w:val="20"/>
                <w:color w:val="auto"/>
              </w:rPr>
            </w:pPr>
            <w:r>
              <w:rPr>
                <w:rFonts w:ascii="Arial" w:cs="Arial" w:eastAsia="Arial" w:hAnsi="Arial"/>
                <w:sz w:val="12"/>
                <w:szCs w:val="12"/>
                <w:b w:val="1"/>
                <w:bCs w:val="1"/>
                <w:color w:val="auto"/>
              </w:rPr>
              <w:t>21.0 %</w:t>
            </w:r>
          </w:p>
        </w:tc>
        <w:tc>
          <w:tcPr>
            <w:tcW w:w="860" w:type="dxa"/>
            <w:vAlign w:val="bottom"/>
          </w:tcPr>
          <w:p>
            <w:pPr>
              <w:jc w:val="right"/>
              <w:ind w:right="158"/>
              <w:spacing w:after="0"/>
              <w:rPr>
                <w:sz w:val="20"/>
                <w:szCs w:val="20"/>
                <w:color w:val="auto"/>
              </w:rPr>
            </w:pPr>
            <w:r>
              <w:rPr>
                <w:rFonts w:ascii="Arial" w:cs="Arial" w:eastAsia="Arial" w:hAnsi="Arial"/>
                <w:sz w:val="12"/>
                <w:szCs w:val="12"/>
                <w:color w:val="auto"/>
              </w:rPr>
              <w:t>20.6</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20.3</w:t>
            </w:r>
          </w:p>
        </w:tc>
        <w:tc>
          <w:tcPr>
            <w:tcW w:w="1000" w:type="dxa"/>
            <w:vAlign w:val="bottom"/>
          </w:tcPr>
          <w:p>
            <w:pPr>
              <w:jc w:val="right"/>
              <w:ind w:right="178"/>
              <w:spacing w:after="0"/>
              <w:rPr>
                <w:sz w:val="20"/>
                <w:szCs w:val="20"/>
                <w:color w:val="auto"/>
              </w:rPr>
            </w:pPr>
            <w:r>
              <w:rPr>
                <w:rFonts w:ascii="Arial" w:cs="Arial" w:eastAsia="Arial" w:hAnsi="Arial"/>
                <w:sz w:val="12"/>
                <w:szCs w:val="12"/>
                <w:color w:val="auto"/>
              </w:rPr>
              <w:t>19.3</w:t>
            </w:r>
          </w:p>
        </w:tc>
        <w:tc>
          <w:tcPr>
            <w:tcW w:w="760" w:type="dxa"/>
            <w:vAlign w:val="bottom"/>
          </w:tcPr>
          <w:p>
            <w:pPr>
              <w:jc w:val="right"/>
              <w:spacing w:after="0"/>
              <w:rPr>
                <w:sz w:val="20"/>
                <w:szCs w:val="20"/>
                <w:color w:val="auto"/>
              </w:rPr>
            </w:pPr>
            <w:r>
              <w:rPr>
                <w:rFonts w:ascii="Arial" w:cs="Arial" w:eastAsia="Arial" w:hAnsi="Arial"/>
                <w:sz w:val="12"/>
                <w:szCs w:val="12"/>
                <w:color w:val="auto"/>
              </w:rPr>
              <w:t>19.0</w:t>
            </w:r>
          </w:p>
        </w:tc>
      </w:tr>
      <w:tr>
        <w:trPr>
          <w:trHeight w:val="144"/>
        </w:trPr>
        <w:tc>
          <w:tcPr>
            <w:tcW w:w="3620" w:type="dxa"/>
            <w:vAlign w:val="bottom"/>
            <w:shd w:val="clear" w:color="auto" w:fill="CCEEFF"/>
          </w:tcPr>
          <w:p>
            <w:pPr>
              <w:spacing w:after="0"/>
              <w:rPr>
                <w:sz w:val="20"/>
                <w:szCs w:val="20"/>
                <w:color w:val="auto"/>
              </w:rPr>
            </w:pPr>
            <w:r>
              <w:rPr>
                <w:rFonts w:ascii="Arial" w:cs="Arial" w:eastAsia="Arial" w:hAnsi="Arial"/>
                <w:sz w:val="12"/>
                <w:szCs w:val="12"/>
                <w:color w:val="auto"/>
              </w:rPr>
              <w:t>Net income margin</w:t>
            </w:r>
          </w:p>
        </w:tc>
        <w:tc>
          <w:tcPr>
            <w:tcW w:w="9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98"/>
              <w:spacing w:after="0"/>
              <w:rPr>
                <w:sz w:val="20"/>
                <w:szCs w:val="20"/>
                <w:color w:val="auto"/>
              </w:rPr>
            </w:pPr>
            <w:r>
              <w:rPr>
                <w:rFonts w:ascii="Arial" w:cs="Arial" w:eastAsia="Arial" w:hAnsi="Arial"/>
                <w:sz w:val="12"/>
                <w:szCs w:val="12"/>
                <w:b w:val="1"/>
                <w:bCs w:val="1"/>
                <w:color w:val="auto"/>
              </w:rPr>
              <w:t>4.3 %</w:t>
            </w:r>
          </w:p>
        </w:tc>
        <w:tc>
          <w:tcPr>
            <w:tcW w:w="86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rPr>
              <w:t>6.1</w:t>
            </w:r>
          </w:p>
        </w:tc>
        <w:tc>
          <w:tcPr>
            <w:tcW w:w="920" w:type="dxa"/>
            <w:vAlign w:val="bottom"/>
            <w:shd w:val="clear" w:color="auto" w:fill="CCEEFF"/>
          </w:tcPr>
          <w:p>
            <w:pPr>
              <w:jc w:val="right"/>
              <w:ind w:right="138"/>
              <w:spacing w:after="0"/>
              <w:rPr>
                <w:sz w:val="20"/>
                <w:szCs w:val="20"/>
                <w:color w:val="auto"/>
              </w:rPr>
            </w:pPr>
            <w:r>
              <w:rPr>
                <w:rFonts w:ascii="Arial" w:cs="Arial" w:eastAsia="Arial" w:hAnsi="Arial"/>
                <w:sz w:val="12"/>
                <w:szCs w:val="12"/>
                <w:color w:val="auto"/>
              </w:rPr>
              <w:t>6.8</w:t>
            </w:r>
          </w:p>
        </w:tc>
        <w:tc>
          <w:tcPr>
            <w:tcW w:w="100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rPr>
              <w:t>3.6</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w:t>
            </w:r>
          </w:p>
        </w:tc>
      </w:tr>
      <w:tr>
        <w:trPr>
          <w:trHeight w:val="144"/>
        </w:trPr>
        <w:tc>
          <w:tcPr>
            <w:tcW w:w="3620" w:type="dxa"/>
            <w:vAlign w:val="bottom"/>
          </w:tcPr>
          <w:p>
            <w:pPr>
              <w:spacing w:after="0" w:line="144" w:lineRule="exact"/>
              <w:rPr>
                <w:sz w:val="20"/>
                <w:szCs w:val="20"/>
                <w:color w:val="auto"/>
              </w:rPr>
            </w:pPr>
            <w:r>
              <w:rPr>
                <w:rFonts w:ascii="Arial" w:cs="Arial" w:eastAsia="Arial" w:hAnsi="Arial"/>
                <w:sz w:val="11"/>
                <w:szCs w:val="11"/>
                <w:color w:val="auto"/>
              </w:rPr>
              <w:t xml:space="preserve">Adjusted net income margin </w:t>
            </w:r>
            <w:r>
              <w:rPr>
                <w:rFonts w:ascii="Arial" w:cs="Arial" w:eastAsia="Arial" w:hAnsi="Arial"/>
                <w:sz w:val="16"/>
                <w:szCs w:val="16"/>
                <w:color w:val="auto"/>
                <w:vertAlign w:val="superscript"/>
              </w:rPr>
              <w:t>(3)</w:t>
            </w:r>
          </w:p>
        </w:tc>
        <w:tc>
          <w:tcPr>
            <w:tcW w:w="980" w:type="dxa"/>
            <w:vAlign w:val="bottom"/>
          </w:tcPr>
          <w:p>
            <w:pPr>
              <w:spacing w:after="0"/>
              <w:rPr>
                <w:sz w:val="12"/>
                <w:szCs w:val="12"/>
                <w:color w:val="auto"/>
              </w:rPr>
            </w:pPr>
          </w:p>
        </w:tc>
        <w:tc>
          <w:tcPr>
            <w:tcW w:w="980" w:type="dxa"/>
            <w:vAlign w:val="bottom"/>
          </w:tcPr>
          <w:p>
            <w:pPr>
              <w:jc w:val="right"/>
              <w:ind w:right="98"/>
              <w:spacing w:after="0"/>
              <w:rPr>
                <w:sz w:val="20"/>
                <w:szCs w:val="20"/>
                <w:color w:val="auto"/>
              </w:rPr>
            </w:pPr>
            <w:r>
              <w:rPr>
                <w:rFonts w:ascii="Arial" w:cs="Arial" w:eastAsia="Arial" w:hAnsi="Arial"/>
                <w:sz w:val="12"/>
                <w:szCs w:val="12"/>
                <w:b w:val="1"/>
                <w:bCs w:val="1"/>
                <w:color w:val="auto"/>
              </w:rPr>
              <w:t>3.9 %</w:t>
            </w:r>
          </w:p>
        </w:tc>
        <w:tc>
          <w:tcPr>
            <w:tcW w:w="860" w:type="dxa"/>
            <w:vAlign w:val="bottom"/>
          </w:tcPr>
          <w:p>
            <w:pPr>
              <w:jc w:val="right"/>
              <w:ind w:right="158"/>
              <w:spacing w:after="0"/>
              <w:rPr>
                <w:sz w:val="20"/>
                <w:szCs w:val="20"/>
                <w:color w:val="auto"/>
              </w:rPr>
            </w:pPr>
            <w:r>
              <w:rPr>
                <w:rFonts w:ascii="Arial" w:cs="Arial" w:eastAsia="Arial" w:hAnsi="Arial"/>
                <w:sz w:val="12"/>
                <w:szCs w:val="12"/>
                <w:color w:val="auto"/>
              </w:rPr>
              <w:t>6.7</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6.9</w:t>
            </w:r>
          </w:p>
        </w:tc>
        <w:tc>
          <w:tcPr>
            <w:tcW w:w="1000" w:type="dxa"/>
            <w:vAlign w:val="bottom"/>
          </w:tcPr>
          <w:p>
            <w:pPr>
              <w:jc w:val="right"/>
              <w:ind w:right="178"/>
              <w:spacing w:after="0"/>
              <w:rPr>
                <w:sz w:val="20"/>
                <w:szCs w:val="20"/>
                <w:color w:val="auto"/>
              </w:rPr>
            </w:pPr>
            <w:r>
              <w:rPr>
                <w:rFonts w:ascii="Arial" w:cs="Arial" w:eastAsia="Arial" w:hAnsi="Arial"/>
                <w:sz w:val="12"/>
                <w:szCs w:val="12"/>
                <w:color w:val="auto"/>
              </w:rPr>
              <w:t>6.6</w:t>
            </w:r>
          </w:p>
        </w:tc>
        <w:tc>
          <w:tcPr>
            <w:tcW w:w="760" w:type="dxa"/>
            <w:vAlign w:val="bottom"/>
          </w:tcPr>
          <w:p>
            <w:pPr>
              <w:jc w:val="right"/>
              <w:spacing w:after="0"/>
              <w:rPr>
                <w:sz w:val="20"/>
                <w:szCs w:val="20"/>
                <w:color w:val="auto"/>
              </w:rPr>
            </w:pPr>
            <w:r>
              <w:rPr>
                <w:rFonts w:ascii="Arial" w:cs="Arial" w:eastAsia="Arial" w:hAnsi="Arial"/>
                <w:sz w:val="12"/>
                <w:szCs w:val="12"/>
                <w:color w:val="auto"/>
              </w:rPr>
              <w:t>8.4</w:t>
            </w:r>
          </w:p>
        </w:tc>
      </w:tr>
      <w:tr>
        <w:trPr>
          <w:trHeight w:val="144"/>
        </w:trPr>
        <w:tc>
          <w:tcPr>
            <w:tcW w:w="3620" w:type="dxa"/>
            <w:vAlign w:val="bottom"/>
            <w:shd w:val="clear" w:color="auto" w:fill="CCEEFF"/>
          </w:tcPr>
          <w:p>
            <w:pPr>
              <w:spacing w:after="0" w:line="144" w:lineRule="exact"/>
              <w:rPr>
                <w:sz w:val="20"/>
                <w:szCs w:val="20"/>
                <w:color w:val="auto"/>
              </w:rPr>
            </w:pPr>
            <w:r>
              <w:rPr>
                <w:rFonts w:ascii="Arial" w:cs="Arial" w:eastAsia="Arial" w:hAnsi="Arial"/>
                <w:sz w:val="11"/>
                <w:szCs w:val="11"/>
                <w:color w:val="auto"/>
              </w:rPr>
              <w:t xml:space="preserve">Earnings before interest and taxes (EBIT) </w:t>
            </w:r>
            <w:r>
              <w:rPr>
                <w:rFonts w:ascii="Arial" w:cs="Arial" w:eastAsia="Arial" w:hAnsi="Arial"/>
                <w:sz w:val="16"/>
                <w:szCs w:val="16"/>
                <w:color w:val="auto"/>
                <w:vertAlign w:val="superscript"/>
              </w:rPr>
              <w:t>(3)</w:t>
            </w:r>
          </w:p>
        </w:tc>
        <w:tc>
          <w:tcPr>
            <w:tcW w:w="980" w:type="dxa"/>
            <w:vAlign w:val="bottom"/>
            <w:shd w:val="clear" w:color="auto" w:fill="CCEEFF"/>
          </w:tcPr>
          <w:p>
            <w:pPr>
              <w:jc w:val="right"/>
              <w:ind w:right="78"/>
              <w:spacing w:after="0"/>
              <w:rPr>
                <w:sz w:val="20"/>
                <w:szCs w:val="20"/>
                <w:color w:val="auto"/>
              </w:rPr>
            </w:pPr>
            <w:r>
              <w:rPr>
                <w:rFonts w:ascii="Arial" w:cs="Arial" w:eastAsia="Arial" w:hAnsi="Arial"/>
                <w:sz w:val="12"/>
                <w:szCs w:val="12"/>
                <w:b w:val="1"/>
                <w:bCs w:val="1"/>
                <w:color w:val="auto"/>
              </w:rPr>
              <w:t>$</w:t>
            </w:r>
          </w:p>
        </w:tc>
        <w:tc>
          <w:tcPr>
            <w:tcW w:w="980" w:type="dxa"/>
            <w:vAlign w:val="bottom"/>
            <w:shd w:val="clear" w:color="auto" w:fill="CCEEFF"/>
          </w:tcPr>
          <w:p>
            <w:pPr>
              <w:jc w:val="right"/>
              <w:ind w:right="238"/>
              <w:spacing w:after="0"/>
              <w:rPr>
                <w:sz w:val="20"/>
                <w:szCs w:val="20"/>
                <w:color w:val="auto"/>
              </w:rPr>
            </w:pPr>
            <w:r>
              <w:rPr>
                <w:rFonts w:ascii="Arial" w:cs="Arial" w:eastAsia="Arial" w:hAnsi="Arial"/>
                <w:sz w:val="12"/>
                <w:szCs w:val="12"/>
                <w:b w:val="1"/>
                <w:bCs w:val="1"/>
                <w:color w:val="auto"/>
              </w:rPr>
              <w:t>501</w:t>
            </w:r>
          </w:p>
        </w:tc>
        <w:tc>
          <w:tcPr>
            <w:tcW w:w="86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rPr>
              <w:t>661</w:t>
            </w:r>
          </w:p>
        </w:tc>
        <w:tc>
          <w:tcPr>
            <w:tcW w:w="920" w:type="dxa"/>
            <w:vAlign w:val="bottom"/>
            <w:shd w:val="clear" w:color="auto" w:fill="CCEEFF"/>
          </w:tcPr>
          <w:p>
            <w:pPr>
              <w:jc w:val="right"/>
              <w:ind w:right="138"/>
              <w:spacing w:after="0"/>
              <w:rPr>
                <w:sz w:val="20"/>
                <w:szCs w:val="20"/>
                <w:color w:val="auto"/>
              </w:rPr>
            </w:pPr>
            <w:r>
              <w:rPr>
                <w:rFonts w:ascii="Arial" w:cs="Arial" w:eastAsia="Arial" w:hAnsi="Arial"/>
                <w:sz w:val="12"/>
                <w:szCs w:val="12"/>
                <w:color w:val="auto"/>
              </w:rPr>
              <w:t>704</w:t>
            </w:r>
          </w:p>
        </w:tc>
        <w:tc>
          <w:tcPr>
            <w:tcW w:w="100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rPr>
              <w:t>576</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1,006</w:t>
            </w:r>
          </w:p>
        </w:tc>
      </w:tr>
      <w:tr>
        <w:trPr>
          <w:trHeight w:val="144"/>
        </w:trPr>
        <w:tc>
          <w:tcPr>
            <w:tcW w:w="3620" w:type="dxa"/>
            <w:vAlign w:val="bottom"/>
          </w:tcPr>
          <w:p>
            <w:pPr>
              <w:spacing w:after="0" w:line="144" w:lineRule="exact"/>
              <w:rPr>
                <w:sz w:val="20"/>
                <w:szCs w:val="20"/>
                <w:color w:val="auto"/>
              </w:rPr>
            </w:pPr>
            <w:r>
              <w:rPr>
                <w:rFonts w:ascii="Arial" w:cs="Arial" w:eastAsia="Arial" w:hAnsi="Arial"/>
                <w:sz w:val="11"/>
                <w:szCs w:val="11"/>
                <w:color w:val="auto"/>
              </w:rPr>
              <w:t xml:space="preserve">EBIT margin </w:t>
            </w:r>
            <w:r>
              <w:rPr>
                <w:rFonts w:ascii="Arial" w:cs="Arial" w:eastAsia="Arial" w:hAnsi="Arial"/>
                <w:sz w:val="16"/>
                <w:szCs w:val="16"/>
                <w:color w:val="auto"/>
                <w:vertAlign w:val="superscript"/>
              </w:rPr>
              <w:t>(3)</w:t>
            </w:r>
          </w:p>
        </w:tc>
        <w:tc>
          <w:tcPr>
            <w:tcW w:w="980" w:type="dxa"/>
            <w:vAlign w:val="bottom"/>
          </w:tcPr>
          <w:p>
            <w:pPr>
              <w:spacing w:after="0"/>
              <w:rPr>
                <w:sz w:val="12"/>
                <w:szCs w:val="12"/>
                <w:color w:val="auto"/>
              </w:rPr>
            </w:pPr>
          </w:p>
        </w:tc>
        <w:tc>
          <w:tcPr>
            <w:tcW w:w="980" w:type="dxa"/>
            <w:vAlign w:val="bottom"/>
          </w:tcPr>
          <w:p>
            <w:pPr>
              <w:jc w:val="right"/>
              <w:ind w:right="98"/>
              <w:spacing w:after="0"/>
              <w:rPr>
                <w:sz w:val="20"/>
                <w:szCs w:val="20"/>
                <w:color w:val="auto"/>
              </w:rPr>
            </w:pPr>
            <w:r>
              <w:rPr>
                <w:rFonts w:ascii="Arial" w:cs="Arial" w:eastAsia="Arial" w:hAnsi="Arial"/>
                <w:sz w:val="12"/>
                <w:szCs w:val="12"/>
                <w:b w:val="1"/>
                <w:bCs w:val="1"/>
                <w:color w:val="auto"/>
              </w:rPr>
              <w:t>6.6 %</w:t>
            </w:r>
          </w:p>
        </w:tc>
        <w:tc>
          <w:tcPr>
            <w:tcW w:w="860" w:type="dxa"/>
            <w:vAlign w:val="bottom"/>
          </w:tcPr>
          <w:p>
            <w:pPr>
              <w:jc w:val="right"/>
              <w:ind w:right="158"/>
              <w:spacing w:after="0"/>
              <w:rPr>
                <w:sz w:val="20"/>
                <w:szCs w:val="20"/>
                <w:color w:val="auto"/>
              </w:rPr>
            </w:pPr>
            <w:r>
              <w:rPr>
                <w:rFonts w:ascii="Arial" w:cs="Arial" w:eastAsia="Arial" w:hAnsi="Arial"/>
                <w:sz w:val="12"/>
                <w:szCs w:val="12"/>
                <w:color w:val="auto"/>
              </w:rPr>
              <w:t>8.3</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8.9</w:t>
            </w:r>
          </w:p>
        </w:tc>
        <w:tc>
          <w:tcPr>
            <w:tcW w:w="1000" w:type="dxa"/>
            <w:vAlign w:val="bottom"/>
          </w:tcPr>
          <w:p>
            <w:pPr>
              <w:jc w:val="right"/>
              <w:ind w:right="178"/>
              <w:spacing w:after="0"/>
              <w:rPr>
                <w:sz w:val="20"/>
                <w:szCs w:val="20"/>
                <w:color w:val="auto"/>
              </w:rPr>
            </w:pPr>
            <w:r>
              <w:rPr>
                <w:rFonts w:ascii="Arial" w:cs="Arial" w:eastAsia="Arial" w:hAnsi="Arial"/>
                <w:sz w:val="12"/>
                <w:szCs w:val="12"/>
                <w:color w:val="auto"/>
              </w:rPr>
              <w:t>7.4</w:t>
            </w:r>
          </w:p>
        </w:tc>
        <w:tc>
          <w:tcPr>
            <w:tcW w:w="760" w:type="dxa"/>
            <w:vAlign w:val="bottom"/>
          </w:tcPr>
          <w:p>
            <w:pPr>
              <w:jc w:val="right"/>
              <w:spacing w:after="0"/>
              <w:rPr>
                <w:sz w:val="20"/>
                <w:szCs w:val="20"/>
                <w:color w:val="auto"/>
              </w:rPr>
            </w:pPr>
            <w:r>
              <w:rPr>
                <w:rFonts w:ascii="Arial" w:cs="Arial" w:eastAsia="Arial" w:hAnsi="Arial"/>
                <w:sz w:val="12"/>
                <w:szCs w:val="12"/>
                <w:color w:val="auto"/>
              </w:rPr>
              <w:t>13.0</w:t>
            </w:r>
          </w:p>
        </w:tc>
      </w:tr>
      <w:tr>
        <w:trPr>
          <w:trHeight w:val="144"/>
        </w:trPr>
        <w:tc>
          <w:tcPr>
            <w:tcW w:w="3620" w:type="dxa"/>
            <w:vAlign w:val="bottom"/>
            <w:shd w:val="clear" w:color="auto" w:fill="CCEEFF"/>
          </w:tcPr>
          <w:p>
            <w:pPr>
              <w:spacing w:after="0" w:line="144" w:lineRule="exact"/>
              <w:rPr>
                <w:sz w:val="20"/>
                <w:szCs w:val="20"/>
                <w:color w:val="auto"/>
              </w:rPr>
            </w:pPr>
            <w:r>
              <w:rPr>
                <w:rFonts w:ascii="Arial" w:cs="Arial" w:eastAsia="Arial" w:hAnsi="Arial"/>
                <w:sz w:val="11"/>
                <w:szCs w:val="11"/>
                <w:color w:val="auto"/>
              </w:rPr>
              <w:t xml:space="preserve">Adjusted EBIT </w:t>
            </w:r>
            <w:r>
              <w:rPr>
                <w:rFonts w:ascii="Arial" w:cs="Arial" w:eastAsia="Arial" w:hAnsi="Arial"/>
                <w:sz w:val="16"/>
                <w:szCs w:val="16"/>
                <w:color w:val="auto"/>
                <w:vertAlign w:val="superscript"/>
              </w:rPr>
              <w:t>(3)</w:t>
            </w:r>
          </w:p>
        </w:tc>
        <w:tc>
          <w:tcPr>
            <w:tcW w:w="980" w:type="dxa"/>
            <w:vAlign w:val="bottom"/>
            <w:shd w:val="clear" w:color="auto" w:fill="CCEEFF"/>
          </w:tcPr>
          <w:p>
            <w:pPr>
              <w:jc w:val="right"/>
              <w:ind w:right="78"/>
              <w:spacing w:after="0"/>
              <w:rPr>
                <w:sz w:val="20"/>
                <w:szCs w:val="20"/>
                <w:color w:val="auto"/>
              </w:rPr>
            </w:pPr>
            <w:r>
              <w:rPr>
                <w:rFonts w:ascii="Arial" w:cs="Arial" w:eastAsia="Arial" w:hAnsi="Arial"/>
                <w:sz w:val="12"/>
                <w:szCs w:val="12"/>
                <w:b w:val="1"/>
                <w:bCs w:val="1"/>
                <w:color w:val="auto"/>
              </w:rPr>
              <w:t>$</w:t>
            </w:r>
          </w:p>
        </w:tc>
        <w:tc>
          <w:tcPr>
            <w:tcW w:w="980" w:type="dxa"/>
            <w:vAlign w:val="bottom"/>
            <w:shd w:val="clear" w:color="auto" w:fill="CCEEFF"/>
          </w:tcPr>
          <w:p>
            <w:pPr>
              <w:jc w:val="right"/>
              <w:ind w:right="238"/>
              <w:spacing w:after="0"/>
              <w:rPr>
                <w:sz w:val="20"/>
                <w:szCs w:val="20"/>
                <w:color w:val="auto"/>
              </w:rPr>
            </w:pPr>
            <w:r>
              <w:rPr>
                <w:rFonts w:ascii="Arial" w:cs="Arial" w:eastAsia="Arial" w:hAnsi="Arial"/>
                <w:sz w:val="12"/>
                <w:szCs w:val="12"/>
                <w:b w:val="1"/>
                <w:bCs w:val="1"/>
                <w:color w:val="auto"/>
              </w:rPr>
              <w:t>428</w:t>
            </w:r>
          </w:p>
        </w:tc>
        <w:tc>
          <w:tcPr>
            <w:tcW w:w="86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rPr>
              <w:t>722</w:t>
            </w:r>
          </w:p>
        </w:tc>
        <w:tc>
          <w:tcPr>
            <w:tcW w:w="920" w:type="dxa"/>
            <w:vAlign w:val="bottom"/>
            <w:shd w:val="clear" w:color="auto" w:fill="CCEEFF"/>
          </w:tcPr>
          <w:p>
            <w:pPr>
              <w:jc w:val="right"/>
              <w:ind w:right="138"/>
              <w:spacing w:after="0"/>
              <w:rPr>
                <w:sz w:val="20"/>
                <w:szCs w:val="20"/>
                <w:color w:val="auto"/>
              </w:rPr>
            </w:pPr>
            <w:r>
              <w:rPr>
                <w:rFonts w:ascii="Arial" w:cs="Arial" w:eastAsia="Arial" w:hAnsi="Arial"/>
                <w:sz w:val="12"/>
                <w:szCs w:val="12"/>
                <w:color w:val="auto"/>
              </w:rPr>
              <w:t>741</w:t>
            </w:r>
          </w:p>
        </w:tc>
        <w:tc>
          <w:tcPr>
            <w:tcW w:w="100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rPr>
              <w:t>762</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1,012</w:t>
            </w:r>
          </w:p>
        </w:tc>
      </w:tr>
      <w:tr>
        <w:trPr>
          <w:trHeight w:val="144"/>
        </w:trPr>
        <w:tc>
          <w:tcPr>
            <w:tcW w:w="3620" w:type="dxa"/>
            <w:vAlign w:val="bottom"/>
          </w:tcPr>
          <w:p>
            <w:pPr>
              <w:spacing w:after="0" w:line="144" w:lineRule="exact"/>
              <w:rPr>
                <w:sz w:val="20"/>
                <w:szCs w:val="20"/>
                <w:color w:val="auto"/>
              </w:rPr>
            </w:pPr>
            <w:r>
              <w:rPr>
                <w:rFonts w:ascii="Arial" w:cs="Arial" w:eastAsia="Arial" w:hAnsi="Arial"/>
                <w:sz w:val="11"/>
                <w:szCs w:val="11"/>
                <w:color w:val="auto"/>
              </w:rPr>
              <w:t xml:space="preserve">Adjusted EBIT margin </w:t>
            </w:r>
            <w:r>
              <w:rPr>
                <w:rFonts w:ascii="Arial" w:cs="Arial" w:eastAsia="Arial" w:hAnsi="Arial"/>
                <w:sz w:val="16"/>
                <w:szCs w:val="16"/>
                <w:color w:val="auto"/>
                <w:vertAlign w:val="superscript"/>
              </w:rPr>
              <w:t>(3)</w:t>
            </w:r>
          </w:p>
        </w:tc>
        <w:tc>
          <w:tcPr>
            <w:tcW w:w="980" w:type="dxa"/>
            <w:vAlign w:val="bottom"/>
          </w:tcPr>
          <w:p>
            <w:pPr>
              <w:spacing w:after="0"/>
              <w:rPr>
                <w:sz w:val="12"/>
                <w:szCs w:val="12"/>
                <w:color w:val="auto"/>
              </w:rPr>
            </w:pPr>
          </w:p>
        </w:tc>
        <w:tc>
          <w:tcPr>
            <w:tcW w:w="980" w:type="dxa"/>
            <w:vAlign w:val="bottom"/>
          </w:tcPr>
          <w:p>
            <w:pPr>
              <w:jc w:val="right"/>
              <w:ind w:right="98"/>
              <w:spacing w:after="0"/>
              <w:rPr>
                <w:sz w:val="20"/>
                <w:szCs w:val="20"/>
                <w:color w:val="auto"/>
              </w:rPr>
            </w:pPr>
            <w:r>
              <w:rPr>
                <w:rFonts w:ascii="Arial" w:cs="Arial" w:eastAsia="Arial" w:hAnsi="Arial"/>
                <w:sz w:val="12"/>
                <w:szCs w:val="12"/>
                <w:b w:val="1"/>
                <w:bCs w:val="1"/>
                <w:color w:val="auto"/>
              </w:rPr>
              <w:t>5.7 %</w:t>
            </w:r>
          </w:p>
        </w:tc>
        <w:tc>
          <w:tcPr>
            <w:tcW w:w="860" w:type="dxa"/>
            <w:vAlign w:val="bottom"/>
          </w:tcPr>
          <w:p>
            <w:pPr>
              <w:jc w:val="right"/>
              <w:ind w:right="158"/>
              <w:spacing w:after="0"/>
              <w:rPr>
                <w:sz w:val="20"/>
                <w:szCs w:val="20"/>
                <w:color w:val="auto"/>
              </w:rPr>
            </w:pPr>
            <w:r>
              <w:rPr>
                <w:rFonts w:ascii="Arial" w:cs="Arial" w:eastAsia="Arial" w:hAnsi="Arial"/>
                <w:sz w:val="12"/>
                <w:szCs w:val="12"/>
                <w:color w:val="auto"/>
              </w:rPr>
              <w:t>9.0</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9.3</w:t>
            </w:r>
          </w:p>
        </w:tc>
        <w:tc>
          <w:tcPr>
            <w:tcW w:w="1000" w:type="dxa"/>
            <w:vAlign w:val="bottom"/>
          </w:tcPr>
          <w:p>
            <w:pPr>
              <w:jc w:val="right"/>
              <w:ind w:right="178"/>
              <w:spacing w:after="0"/>
              <w:rPr>
                <w:sz w:val="20"/>
                <w:szCs w:val="20"/>
                <w:color w:val="auto"/>
              </w:rPr>
            </w:pPr>
            <w:r>
              <w:rPr>
                <w:rFonts w:ascii="Arial" w:cs="Arial" w:eastAsia="Arial" w:hAnsi="Arial"/>
                <w:sz w:val="12"/>
                <w:szCs w:val="12"/>
                <w:color w:val="auto"/>
              </w:rPr>
              <w:t>9.9</w:t>
            </w:r>
          </w:p>
        </w:tc>
        <w:tc>
          <w:tcPr>
            <w:tcW w:w="760" w:type="dxa"/>
            <w:vAlign w:val="bottom"/>
          </w:tcPr>
          <w:p>
            <w:pPr>
              <w:jc w:val="right"/>
              <w:spacing w:after="0"/>
              <w:rPr>
                <w:sz w:val="20"/>
                <w:szCs w:val="20"/>
                <w:color w:val="auto"/>
              </w:rPr>
            </w:pPr>
            <w:r>
              <w:rPr>
                <w:rFonts w:ascii="Arial" w:cs="Arial" w:eastAsia="Arial" w:hAnsi="Arial"/>
                <w:sz w:val="12"/>
                <w:szCs w:val="12"/>
                <w:color w:val="auto"/>
              </w:rPr>
              <w:t>13.0</w:t>
            </w:r>
          </w:p>
        </w:tc>
      </w:tr>
      <w:tr>
        <w:trPr>
          <w:trHeight w:val="144"/>
        </w:trPr>
        <w:tc>
          <w:tcPr>
            <w:tcW w:w="3620" w:type="dxa"/>
            <w:vAlign w:val="bottom"/>
            <w:shd w:val="clear" w:color="auto" w:fill="CCEEFF"/>
          </w:tcPr>
          <w:p>
            <w:pPr>
              <w:spacing w:after="0"/>
              <w:rPr>
                <w:sz w:val="20"/>
                <w:szCs w:val="20"/>
                <w:color w:val="auto"/>
              </w:rPr>
            </w:pPr>
            <w:r>
              <w:rPr>
                <w:rFonts w:ascii="Arial" w:cs="Arial" w:eastAsia="Arial" w:hAnsi="Arial"/>
                <w:sz w:val="12"/>
                <w:szCs w:val="12"/>
                <w:color w:val="auto"/>
              </w:rPr>
              <w:t>Return on assets (ROA)</w:t>
            </w:r>
          </w:p>
        </w:tc>
        <w:tc>
          <w:tcPr>
            <w:tcW w:w="9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98"/>
              <w:spacing w:after="0"/>
              <w:rPr>
                <w:sz w:val="20"/>
                <w:szCs w:val="20"/>
                <w:color w:val="auto"/>
              </w:rPr>
            </w:pPr>
            <w:r>
              <w:rPr>
                <w:rFonts w:ascii="Arial" w:cs="Arial" w:eastAsia="Arial" w:hAnsi="Arial"/>
                <w:sz w:val="12"/>
                <w:szCs w:val="12"/>
                <w:b w:val="1"/>
                <w:bCs w:val="1"/>
                <w:color w:val="auto"/>
              </w:rPr>
              <w:t>4.7 %</w:t>
            </w:r>
          </w:p>
        </w:tc>
        <w:tc>
          <w:tcPr>
            <w:tcW w:w="86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rPr>
              <w:t>9.4</w:t>
            </w:r>
          </w:p>
        </w:tc>
        <w:tc>
          <w:tcPr>
            <w:tcW w:w="920" w:type="dxa"/>
            <w:vAlign w:val="bottom"/>
            <w:shd w:val="clear" w:color="auto" w:fill="CCEEFF"/>
          </w:tcPr>
          <w:p>
            <w:pPr>
              <w:jc w:val="right"/>
              <w:ind w:right="138"/>
              <w:spacing w:after="0"/>
              <w:rPr>
                <w:sz w:val="20"/>
                <w:szCs w:val="20"/>
                <w:color w:val="auto"/>
              </w:rPr>
            </w:pPr>
            <w:r>
              <w:rPr>
                <w:rFonts w:ascii="Arial" w:cs="Arial" w:eastAsia="Arial" w:hAnsi="Arial"/>
                <w:sz w:val="12"/>
                <w:szCs w:val="12"/>
                <w:color w:val="auto"/>
              </w:rPr>
              <w:t>13.9</w:t>
            </w:r>
          </w:p>
        </w:tc>
        <w:tc>
          <w:tcPr>
            <w:tcW w:w="100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rPr>
              <w:t>7.3</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17.4</w:t>
            </w:r>
          </w:p>
        </w:tc>
      </w:tr>
      <w:tr>
        <w:trPr>
          <w:trHeight w:val="144"/>
        </w:trPr>
        <w:tc>
          <w:tcPr>
            <w:tcW w:w="3620" w:type="dxa"/>
            <w:vAlign w:val="bottom"/>
          </w:tcPr>
          <w:p>
            <w:pPr>
              <w:spacing w:after="0" w:line="144" w:lineRule="exact"/>
              <w:rPr>
                <w:sz w:val="20"/>
                <w:szCs w:val="20"/>
                <w:color w:val="auto"/>
              </w:rPr>
            </w:pPr>
            <w:r>
              <w:rPr>
                <w:rFonts w:ascii="Arial" w:cs="Arial" w:eastAsia="Arial" w:hAnsi="Arial"/>
                <w:sz w:val="11"/>
                <w:szCs w:val="11"/>
                <w:color w:val="auto"/>
              </w:rPr>
              <w:t xml:space="preserve">Return on invested capital (ROIC) </w:t>
            </w:r>
            <w:r>
              <w:rPr>
                <w:rFonts w:ascii="Arial" w:cs="Arial" w:eastAsia="Arial" w:hAnsi="Arial"/>
                <w:sz w:val="16"/>
                <w:szCs w:val="16"/>
                <w:color w:val="auto"/>
                <w:vertAlign w:val="superscript"/>
              </w:rPr>
              <w:t>(3)</w:t>
            </w:r>
          </w:p>
        </w:tc>
        <w:tc>
          <w:tcPr>
            <w:tcW w:w="980" w:type="dxa"/>
            <w:vAlign w:val="bottom"/>
          </w:tcPr>
          <w:p>
            <w:pPr>
              <w:spacing w:after="0"/>
              <w:rPr>
                <w:sz w:val="12"/>
                <w:szCs w:val="12"/>
                <w:color w:val="auto"/>
              </w:rPr>
            </w:pPr>
          </w:p>
        </w:tc>
        <w:tc>
          <w:tcPr>
            <w:tcW w:w="980" w:type="dxa"/>
            <w:vAlign w:val="bottom"/>
          </w:tcPr>
          <w:p>
            <w:pPr>
              <w:jc w:val="right"/>
              <w:ind w:right="98"/>
              <w:spacing w:after="0"/>
              <w:rPr>
                <w:sz w:val="20"/>
                <w:szCs w:val="20"/>
                <w:color w:val="auto"/>
              </w:rPr>
            </w:pPr>
            <w:r>
              <w:rPr>
                <w:rFonts w:ascii="Arial" w:cs="Arial" w:eastAsia="Arial" w:hAnsi="Arial"/>
                <w:sz w:val="12"/>
                <w:szCs w:val="12"/>
                <w:b w:val="1"/>
                <w:bCs w:val="1"/>
                <w:color w:val="auto"/>
              </w:rPr>
              <w:t>8.6 %</w:t>
            </w:r>
          </w:p>
        </w:tc>
        <w:tc>
          <w:tcPr>
            <w:tcW w:w="860" w:type="dxa"/>
            <w:vAlign w:val="bottom"/>
          </w:tcPr>
          <w:p>
            <w:pPr>
              <w:jc w:val="right"/>
              <w:ind w:right="158"/>
              <w:spacing w:after="0"/>
              <w:rPr>
                <w:sz w:val="20"/>
                <w:szCs w:val="20"/>
                <w:color w:val="auto"/>
              </w:rPr>
            </w:pPr>
            <w:r>
              <w:rPr>
                <w:rFonts w:ascii="Arial" w:cs="Arial" w:eastAsia="Arial" w:hAnsi="Arial"/>
                <w:sz w:val="12"/>
                <w:szCs w:val="12"/>
                <w:color w:val="auto"/>
              </w:rPr>
              <w:t>12.5</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12.0</w:t>
            </w:r>
          </w:p>
        </w:tc>
        <w:tc>
          <w:tcPr>
            <w:tcW w:w="1000" w:type="dxa"/>
            <w:vAlign w:val="bottom"/>
          </w:tcPr>
          <w:p>
            <w:pPr>
              <w:jc w:val="right"/>
              <w:ind w:right="178"/>
              <w:spacing w:after="0"/>
              <w:rPr>
                <w:sz w:val="20"/>
                <w:szCs w:val="20"/>
                <w:color w:val="auto"/>
              </w:rPr>
            </w:pPr>
            <w:r>
              <w:rPr>
                <w:rFonts w:ascii="Arial" w:cs="Arial" w:eastAsia="Arial" w:hAnsi="Arial"/>
                <w:sz w:val="12"/>
                <w:szCs w:val="12"/>
                <w:color w:val="auto"/>
              </w:rPr>
              <w:t>11.0</w:t>
            </w:r>
          </w:p>
        </w:tc>
        <w:tc>
          <w:tcPr>
            <w:tcW w:w="760" w:type="dxa"/>
            <w:vAlign w:val="bottom"/>
          </w:tcPr>
          <w:p>
            <w:pPr>
              <w:jc w:val="right"/>
              <w:spacing w:after="0"/>
              <w:rPr>
                <w:sz w:val="20"/>
                <w:szCs w:val="20"/>
                <w:color w:val="auto"/>
              </w:rPr>
            </w:pPr>
            <w:r>
              <w:rPr>
                <w:rFonts w:ascii="Arial" w:cs="Arial" w:eastAsia="Arial" w:hAnsi="Arial"/>
                <w:sz w:val="12"/>
                <w:szCs w:val="12"/>
                <w:color w:val="auto"/>
              </w:rPr>
              <w:t>15.1</w:t>
            </w:r>
          </w:p>
        </w:tc>
      </w:tr>
      <w:tr>
        <w:trPr>
          <w:trHeight w:val="144"/>
        </w:trPr>
        <w:tc>
          <w:tcPr>
            <w:tcW w:w="3620" w:type="dxa"/>
            <w:vAlign w:val="bottom"/>
            <w:shd w:val="clear" w:color="auto" w:fill="CCEEFF"/>
          </w:tcPr>
          <w:p>
            <w:pPr>
              <w:spacing w:after="0" w:line="144" w:lineRule="exact"/>
              <w:rPr>
                <w:sz w:val="20"/>
                <w:szCs w:val="20"/>
                <w:color w:val="auto"/>
              </w:rPr>
            </w:pPr>
            <w:r>
              <w:rPr>
                <w:rFonts w:ascii="Arial" w:cs="Arial" w:eastAsia="Arial" w:hAnsi="Arial"/>
                <w:sz w:val="11"/>
                <w:szCs w:val="11"/>
                <w:color w:val="auto"/>
              </w:rPr>
              <w:t xml:space="preserve">Net debt capitalization percent </w:t>
            </w:r>
            <w:r>
              <w:rPr>
                <w:rFonts w:ascii="Arial" w:cs="Arial" w:eastAsia="Arial" w:hAnsi="Arial"/>
                <w:sz w:val="16"/>
                <w:szCs w:val="16"/>
                <w:color w:val="auto"/>
                <w:vertAlign w:val="superscript"/>
              </w:rPr>
              <w:t>(3), (4)</w:t>
            </w:r>
          </w:p>
        </w:tc>
        <w:tc>
          <w:tcPr>
            <w:tcW w:w="9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98"/>
              <w:spacing w:after="0"/>
              <w:rPr>
                <w:sz w:val="20"/>
                <w:szCs w:val="20"/>
                <w:color w:val="auto"/>
              </w:rPr>
            </w:pPr>
            <w:r>
              <w:rPr>
                <w:rFonts w:ascii="Arial" w:cs="Arial" w:eastAsia="Arial" w:hAnsi="Arial"/>
                <w:sz w:val="12"/>
                <w:szCs w:val="12"/>
                <w:b w:val="1"/>
                <w:bCs w:val="1"/>
                <w:color w:val="auto"/>
              </w:rPr>
              <w:t>35.2 %</w:t>
            </w:r>
          </w:p>
        </w:tc>
        <w:tc>
          <w:tcPr>
            <w:tcW w:w="86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rPr>
              <w:t>49.4</w:t>
            </w:r>
          </w:p>
        </w:tc>
        <w:tc>
          <w:tcPr>
            <w:tcW w:w="920" w:type="dxa"/>
            <w:vAlign w:val="bottom"/>
            <w:shd w:val="clear" w:color="auto" w:fill="CCEEFF"/>
          </w:tcPr>
          <w:p>
            <w:pPr>
              <w:jc w:val="right"/>
              <w:ind w:right="138"/>
              <w:spacing w:after="0"/>
              <w:rPr>
                <w:sz w:val="20"/>
                <w:szCs w:val="20"/>
                <w:color w:val="auto"/>
              </w:rPr>
            </w:pPr>
            <w:r>
              <w:rPr>
                <w:rFonts w:ascii="Arial" w:cs="Arial" w:eastAsia="Arial" w:hAnsi="Arial"/>
                <w:sz w:val="12"/>
                <w:szCs w:val="12"/>
                <w:color w:val="auto"/>
              </w:rPr>
              <w:t>51.7</w:t>
            </w:r>
          </w:p>
        </w:tc>
        <w:tc>
          <w:tcPr>
            <w:tcW w:w="100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rPr>
              <w:t>54.4</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48.5</w:t>
            </w:r>
          </w:p>
        </w:tc>
      </w:tr>
      <w:tr>
        <w:trPr>
          <w:trHeight w:val="144"/>
        </w:trPr>
        <w:tc>
          <w:tcPr>
            <w:tcW w:w="36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Current ratio</w:t>
            </w:r>
          </w:p>
        </w:tc>
        <w:tc>
          <w:tcPr>
            <w:tcW w:w="9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38"/>
              <w:spacing w:after="0"/>
              <w:rPr>
                <w:sz w:val="20"/>
                <w:szCs w:val="20"/>
                <w:color w:val="auto"/>
              </w:rPr>
            </w:pPr>
            <w:r>
              <w:rPr>
                <w:rFonts w:ascii="Arial" w:cs="Arial" w:eastAsia="Arial" w:hAnsi="Arial"/>
                <w:sz w:val="12"/>
                <w:szCs w:val="12"/>
                <w:b w:val="1"/>
                <w:bCs w:val="1"/>
                <w:color w:val="auto"/>
              </w:rPr>
              <w:t>1.7</w:t>
            </w:r>
          </w:p>
        </w:tc>
        <w:tc>
          <w:tcPr>
            <w:tcW w:w="86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rPr>
              <w:t>2.0</w:t>
            </w:r>
          </w:p>
        </w:tc>
        <w:tc>
          <w:tcPr>
            <w:tcW w:w="920" w:type="dxa"/>
            <w:vAlign w:val="bottom"/>
            <w:tcBorders>
              <w:bottom w:val="single" w:sz="8" w:color="auto"/>
            </w:tcBorders>
          </w:tcPr>
          <w:p>
            <w:pPr>
              <w:jc w:val="right"/>
              <w:ind w:right="138"/>
              <w:spacing w:after="0"/>
              <w:rPr>
                <w:sz w:val="20"/>
                <w:szCs w:val="20"/>
                <w:color w:val="auto"/>
              </w:rPr>
            </w:pPr>
            <w:r>
              <w:rPr>
                <w:rFonts w:ascii="Arial" w:cs="Arial" w:eastAsia="Arial" w:hAnsi="Arial"/>
                <w:sz w:val="12"/>
                <w:szCs w:val="12"/>
                <w:color w:val="auto"/>
              </w:rPr>
              <w:t>3.3</w:t>
            </w:r>
          </w:p>
        </w:tc>
        <w:tc>
          <w:tcPr>
            <w:tcW w:w="1000" w:type="dxa"/>
            <w:vAlign w:val="bottom"/>
            <w:tcBorders>
              <w:bottom w:val="single" w:sz="8" w:color="auto"/>
            </w:tcBorders>
          </w:tcPr>
          <w:p>
            <w:pPr>
              <w:jc w:val="right"/>
              <w:ind w:right="178"/>
              <w:spacing w:after="0"/>
              <w:rPr>
                <w:sz w:val="20"/>
                <w:szCs w:val="20"/>
                <w:color w:val="auto"/>
              </w:rPr>
            </w:pPr>
            <w:r>
              <w:rPr>
                <w:rFonts w:ascii="Arial" w:cs="Arial" w:eastAsia="Arial" w:hAnsi="Arial"/>
                <w:sz w:val="12"/>
                <w:szCs w:val="12"/>
                <w:color w:val="auto"/>
              </w:rPr>
              <w:t>4.1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w:t>
            </w:r>
          </w:p>
        </w:tc>
      </w:tr>
      <w:tr>
        <w:trPr>
          <w:trHeight w:val="134"/>
        </w:trPr>
        <w:tc>
          <w:tcPr>
            <w:tcW w:w="362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Other Data</w:t>
            </w:r>
          </w:p>
        </w:tc>
        <w:tc>
          <w:tcPr>
            <w:tcW w:w="9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r>
      <w:tr>
        <w:trPr>
          <w:trHeight w:val="144"/>
        </w:trPr>
        <w:tc>
          <w:tcPr>
            <w:tcW w:w="3620" w:type="dxa"/>
            <w:vAlign w:val="bottom"/>
          </w:tcPr>
          <w:p>
            <w:pPr>
              <w:spacing w:after="0"/>
              <w:rPr>
                <w:sz w:val="20"/>
                <w:szCs w:val="20"/>
                <w:color w:val="auto"/>
              </w:rPr>
            </w:pPr>
            <w:r>
              <w:rPr>
                <w:rFonts w:ascii="Arial" w:cs="Arial" w:eastAsia="Arial" w:hAnsi="Arial"/>
                <w:sz w:val="12"/>
                <w:szCs w:val="12"/>
                <w:color w:val="auto"/>
              </w:rPr>
              <w:t>Capital expenditures</w:t>
            </w:r>
          </w:p>
        </w:tc>
        <w:tc>
          <w:tcPr>
            <w:tcW w:w="980" w:type="dxa"/>
            <w:vAlign w:val="bottom"/>
          </w:tcPr>
          <w:p>
            <w:pPr>
              <w:jc w:val="right"/>
              <w:ind w:right="78"/>
              <w:spacing w:after="0"/>
              <w:rPr>
                <w:sz w:val="20"/>
                <w:szCs w:val="20"/>
                <w:color w:val="auto"/>
              </w:rPr>
            </w:pPr>
            <w:r>
              <w:rPr>
                <w:rFonts w:ascii="Arial" w:cs="Arial" w:eastAsia="Arial" w:hAnsi="Arial"/>
                <w:sz w:val="12"/>
                <w:szCs w:val="12"/>
                <w:b w:val="1"/>
                <w:bCs w:val="1"/>
                <w:color w:val="auto"/>
              </w:rPr>
              <w:t>$</w:t>
            </w:r>
          </w:p>
        </w:tc>
        <w:tc>
          <w:tcPr>
            <w:tcW w:w="980" w:type="dxa"/>
            <w:vAlign w:val="bottom"/>
          </w:tcPr>
          <w:p>
            <w:pPr>
              <w:jc w:val="right"/>
              <w:ind w:right="238"/>
              <w:spacing w:after="0"/>
              <w:rPr>
                <w:sz w:val="20"/>
                <w:szCs w:val="20"/>
                <w:color w:val="auto"/>
              </w:rPr>
            </w:pPr>
            <w:r>
              <w:rPr>
                <w:rFonts w:ascii="Arial" w:cs="Arial" w:eastAsia="Arial" w:hAnsi="Arial"/>
                <w:sz w:val="12"/>
                <w:szCs w:val="12"/>
                <w:b w:val="1"/>
                <w:bCs w:val="1"/>
                <w:color w:val="auto"/>
              </w:rPr>
              <w:t>159</w:t>
            </w:r>
          </w:p>
        </w:tc>
        <w:tc>
          <w:tcPr>
            <w:tcW w:w="860" w:type="dxa"/>
            <w:vAlign w:val="bottom"/>
          </w:tcPr>
          <w:p>
            <w:pPr>
              <w:jc w:val="right"/>
              <w:ind w:right="158"/>
              <w:spacing w:after="0"/>
              <w:rPr>
                <w:sz w:val="20"/>
                <w:szCs w:val="20"/>
                <w:color w:val="auto"/>
              </w:rPr>
            </w:pPr>
            <w:r>
              <w:rPr>
                <w:rFonts w:ascii="Arial" w:cs="Arial" w:eastAsia="Arial" w:hAnsi="Arial"/>
                <w:sz w:val="12"/>
                <w:szCs w:val="12"/>
                <w:color w:val="auto"/>
              </w:rPr>
              <w:t>187</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187</w:t>
            </w:r>
          </w:p>
        </w:tc>
        <w:tc>
          <w:tcPr>
            <w:tcW w:w="1000" w:type="dxa"/>
            <w:vAlign w:val="bottom"/>
          </w:tcPr>
          <w:p>
            <w:pPr>
              <w:jc w:val="right"/>
              <w:ind w:right="178"/>
              <w:spacing w:after="0"/>
              <w:rPr>
                <w:sz w:val="20"/>
                <w:szCs w:val="20"/>
                <w:color w:val="auto"/>
              </w:rPr>
            </w:pPr>
            <w:r>
              <w:rPr>
                <w:rFonts w:ascii="Arial" w:cs="Arial" w:eastAsia="Arial" w:hAnsi="Arial"/>
                <w:sz w:val="12"/>
                <w:szCs w:val="12"/>
                <w:color w:val="auto"/>
              </w:rPr>
              <w:t>274</w:t>
            </w:r>
          </w:p>
        </w:tc>
        <w:tc>
          <w:tcPr>
            <w:tcW w:w="760" w:type="dxa"/>
            <w:vAlign w:val="bottom"/>
          </w:tcPr>
          <w:p>
            <w:pPr>
              <w:jc w:val="right"/>
              <w:spacing w:after="0"/>
              <w:rPr>
                <w:sz w:val="20"/>
                <w:szCs w:val="20"/>
                <w:color w:val="auto"/>
              </w:rPr>
            </w:pPr>
            <w:r>
              <w:rPr>
                <w:rFonts w:ascii="Arial" w:cs="Arial" w:eastAsia="Arial" w:hAnsi="Arial"/>
                <w:sz w:val="12"/>
                <w:szCs w:val="12"/>
                <w:color w:val="auto"/>
              </w:rPr>
              <w:t>266</w:t>
            </w:r>
          </w:p>
        </w:tc>
      </w:tr>
      <w:tr>
        <w:trPr>
          <w:trHeight w:val="144"/>
        </w:trPr>
        <w:tc>
          <w:tcPr>
            <w:tcW w:w="3620" w:type="dxa"/>
            <w:vAlign w:val="bottom"/>
            <w:shd w:val="clear" w:color="auto" w:fill="CCEEFF"/>
          </w:tcPr>
          <w:p>
            <w:pPr>
              <w:spacing w:after="0"/>
              <w:rPr>
                <w:sz w:val="20"/>
                <w:szCs w:val="20"/>
                <w:color w:val="auto"/>
              </w:rPr>
            </w:pPr>
            <w:r>
              <w:rPr>
                <w:rFonts w:ascii="Arial" w:cs="Arial" w:eastAsia="Arial" w:hAnsi="Arial"/>
                <w:sz w:val="12"/>
                <w:szCs w:val="12"/>
                <w:color w:val="auto"/>
              </w:rPr>
              <w:t>Number of stores at year end</w:t>
            </w:r>
          </w:p>
        </w:tc>
        <w:tc>
          <w:tcPr>
            <w:tcW w:w="98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38"/>
              <w:spacing w:after="0"/>
              <w:rPr>
                <w:sz w:val="20"/>
                <w:szCs w:val="20"/>
                <w:color w:val="auto"/>
              </w:rPr>
            </w:pPr>
            <w:r>
              <w:rPr>
                <w:rFonts w:ascii="Arial" w:cs="Arial" w:eastAsia="Arial" w:hAnsi="Arial"/>
                <w:sz w:val="12"/>
                <w:szCs w:val="12"/>
                <w:b w:val="1"/>
                <w:bCs w:val="1"/>
                <w:color w:val="auto"/>
              </w:rPr>
              <w:t>2,998</w:t>
            </w:r>
          </w:p>
        </w:tc>
        <w:tc>
          <w:tcPr>
            <w:tcW w:w="860" w:type="dxa"/>
            <w:vAlign w:val="bottom"/>
            <w:shd w:val="clear" w:color="auto" w:fill="CCEEFF"/>
          </w:tcPr>
          <w:p>
            <w:pPr>
              <w:jc w:val="right"/>
              <w:ind w:right="158"/>
              <w:spacing w:after="0"/>
              <w:rPr>
                <w:sz w:val="20"/>
                <w:szCs w:val="20"/>
                <w:color w:val="auto"/>
              </w:rPr>
            </w:pPr>
            <w:r>
              <w:rPr>
                <w:rFonts w:ascii="Arial" w:cs="Arial" w:eastAsia="Arial" w:hAnsi="Arial"/>
                <w:sz w:val="12"/>
                <w:szCs w:val="12"/>
                <w:color w:val="auto"/>
              </w:rPr>
              <w:t>3,129</w:t>
            </w:r>
          </w:p>
        </w:tc>
        <w:tc>
          <w:tcPr>
            <w:tcW w:w="920" w:type="dxa"/>
            <w:vAlign w:val="bottom"/>
            <w:shd w:val="clear" w:color="auto" w:fill="CCEEFF"/>
          </w:tcPr>
          <w:p>
            <w:pPr>
              <w:jc w:val="right"/>
              <w:ind w:right="138"/>
              <w:spacing w:after="0"/>
              <w:rPr>
                <w:sz w:val="20"/>
                <w:szCs w:val="20"/>
                <w:color w:val="auto"/>
              </w:rPr>
            </w:pPr>
            <w:r>
              <w:rPr>
                <w:rFonts w:ascii="Arial" w:cs="Arial" w:eastAsia="Arial" w:hAnsi="Arial"/>
                <w:sz w:val="12"/>
                <w:szCs w:val="12"/>
                <w:color w:val="auto"/>
              </w:rPr>
              <w:t>3,221</w:t>
            </w:r>
          </w:p>
        </w:tc>
        <w:tc>
          <w:tcPr>
            <w:tcW w:w="1000" w:type="dxa"/>
            <w:vAlign w:val="bottom"/>
            <w:shd w:val="clear" w:color="auto" w:fill="CCEEFF"/>
          </w:tcPr>
          <w:p>
            <w:pPr>
              <w:jc w:val="right"/>
              <w:ind w:right="178"/>
              <w:spacing w:after="0"/>
              <w:rPr>
                <w:sz w:val="20"/>
                <w:szCs w:val="20"/>
                <w:color w:val="auto"/>
              </w:rPr>
            </w:pPr>
            <w:r>
              <w:rPr>
                <w:rFonts w:ascii="Arial" w:cs="Arial" w:eastAsia="Arial" w:hAnsi="Arial"/>
                <w:sz w:val="12"/>
                <w:szCs w:val="12"/>
                <w:color w:val="auto"/>
              </w:rPr>
              <w:t>3,310</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3,363</w:t>
            </w:r>
          </w:p>
        </w:tc>
      </w:tr>
      <w:tr>
        <w:trPr>
          <w:trHeight w:val="144"/>
        </w:trPr>
        <w:tc>
          <w:tcPr>
            <w:tcW w:w="3620" w:type="dxa"/>
            <w:vAlign w:val="bottom"/>
          </w:tcPr>
          <w:p>
            <w:pPr>
              <w:spacing w:after="0"/>
              <w:rPr>
                <w:sz w:val="20"/>
                <w:szCs w:val="20"/>
                <w:color w:val="auto"/>
              </w:rPr>
            </w:pPr>
            <w:r>
              <w:rPr>
                <w:rFonts w:ascii="Arial" w:cs="Arial" w:eastAsia="Arial" w:hAnsi="Arial"/>
                <w:sz w:val="12"/>
                <w:szCs w:val="12"/>
                <w:color w:val="auto"/>
              </w:rPr>
              <w:t>Total selling square footage at year end (in millions)</w:t>
            </w:r>
          </w:p>
        </w:tc>
        <w:tc>
          <w:tcPr>
            <w:tcW w:w="980" w:type="dxa"/>
            <w:vAlign w:val="bottom"/>
          </w:tcPr>
          <w:p>
            <w:pPr>
              <w:spacing w:after="0"/>
              <w:rPr>
                <w:sz w:val="12"/>
                <w:szCs w:val="12"/>
                <w:color w:val="auto"/>
              </w:rPr>
            </w:pPr>
          </w:p>
        </w:tc>
        <w:tc>
          <w:tcPr>
            <w:tcW w:w="980" w:type="dxa"/>
            <w:vAlign w:val="bottom"/>
          </w:tcPr>
          <w:p>
            <w:pPr>
              <w:jc w:val="right"/>
              <w:ind w:right="238"/>
              <w:spacing w:after="0"/>
              <w:rPr>
                <w:sz w:val="20"/>
                <w:szCs w:val="20"/>
                <w:color w:val="auto"/>
              </w:rPr>
            </w:pPr>
            <w:r>
              <w:rPr>
                <w:rFonts w:ascii="Arial" w:cs="Arial" w:eastAsia="Arial" w:hAnsi="Arial"/>
                <w:sz w:val="12"/>
                <w:szCs w:val="12"/>
                <w:b w:val="1"/>
                <w:bCs w:val="1"/>
                <w:color w:val="auto"/>
              </w:rPr>
              <w:t>7.50</w:t>
            </w:r>
          </w:p>
        </w:tc>
        <w:tc>
          <w:tcPr>
            <w:tcW w:w="860" w:type="dxa"/>
            <w:vAlign w:val="bottom"/>
          </w:tcPr>
          <w:p>
            <w:pPr>
              <w:jc w:val="right"/>
              <w:ind w:right="158"/>
              <w:spacing w:after="0"/>
              <w:rPr>
                <w:sz w:val="20"/>
                <w:szCs w:val="20"/>
                <w:color w:val="auto"/>
              </w:rPr>
            </w:pPr>
            <w:r>
              <w:rPr>
                <w:rFonts w:ascii="Arial" w:cs="Arial" w:eastAsia="Arial" w:hAnsi="Arial"/>
                <w:sz w:val="12"/>
                <w:szCs w:val="12"/>
                <w:color w:val="auto"/>
              </w:rPr>
              <w:t>7.57</w:t>
            </w:r>
          </w:p>
        </w:tc>
        <w:tc>
          <w:tcPr>
            <w:tcW w:w="920" w:type="dxa"/>
            <w:vAlign w:val="bottom"/>
          </w:tcPr>
          <w:p>
            <w:pPr>
              <w:jc w:val="right"/>
              <w:ind w:right="138"/>
              <w:spacing w:after="0"/>
              <w:rPr>
                <w:sz w:val="20"/>
                <w:szCs w:val="20"/>
                <w:color w:val="auto"/>
              </w:rPr>
            </w:pPr>
            <w:r>
              <w:rPr>
                <w:rFonts w:ascii="Arial" w:cs="Arial" w:eastAsia="Arial" w:hAnsi="Arial"/>
                <w:sz w:val="12"/>
                <w:szCs w:val="12"/>
                <w:color w:val="auto"/>
              </w:rPr>
              <w:t>7.63</w:t>
            </w:r>
          </w:p>
        </w:tc>
        <w:tc>
          <w:tcPr>
            <w:tcW w:w="1000" w:type="dxa"/>
            <w:vAlign w:val="bottom"/>
          </w:tcPr>
          <w:p>
            <w:pPr>
              <w:jc w:val="right"/>
              <w:ind w:right="178"/>
              <w:spacing w:after="0"/>
              <w:rPr>
                <w:sz w:val="20"/>
                <w:szCs w:val="20"/>
                <w:color w:val="auto"/>
              </w:rPr>
            </w:pPr>
            <w:r>
              <w:rPr>
                <w:rFonts w:ascii="Arial" w:cs="Arial" w:eastAsia="Arial" w:hAnsi="Arial"/>
                <w:sz w:val="12"/>
                <w:szCs w:val="12"/>
                <w:color w:val="auto"/>
              </w:rPr>
              <w:t>7.71</w:t>
            </w:r>
          </w:p>
        </w:tc>
        <w:tc>
          <w:tcPr>
            <w:tcW w:w="760" w:type="dxa"/>
            <w:vAlign w:val="bottom"/>
          </w:tcPr>
          <w:p>
            <w:pPr>
              <w:jc w:val="right"/>
              <w:spacing w:after="0"/>
              <w:rPr>
                <w:sz w:val="20"/>
                <w:szCs w:val="20"/>
                <w:color w:val="auto"/>
              </w:rPr>
            </w:pPr>
            <w:r>
              <w:rPr>
                <w:rFonts w:ascii="Arial" w:cs="Arial" w:eastAsia="Arial" w:hAnsi="Arial"/>
                <w:sz w:val="12"/>
                <w:szCs w:val="12"/>
                <w:color w:val="auto"/>
              </w:rPr>
              <w:t>7.63</w:t>
            </w:r>
          </w:p>
        </w:tc>
      </w:tr>
      <w:tr>
        <w:trPr>
          <w:trHeight w:val="144"/>
        </w:trPr>
        <w:tc>
          <w:tcPr>
            <w:tcW w:w="3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Total gross square footage at year end (in millions)</w:t>
            </w:r>
          </w:p>
        </w:tc>
        <w:tc>
          <w:tcPr>
            <w:tcW w:w="98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ind w:right="238"/>
              <w:spacing w:after="0"/>
              <w:rPr>
                <w:sz w:val="20"/>
                <w:szCs w:val="20"/>
                <w:color w:val="auto"/>
              </w:rPr>
            </w:pPr>
            <w:r>
              <w:rPr>
                <w:rFonts w:ascii="Arial" w:cs="Arial" w:eastAsia="Arial" w:hAnsi="Arial"/>
                <w:sz w:val="12"/>
                <w:szCs w:val="12"/>
                <w:b w:val="1"/>
                <w:bCs w:val="1"/>
                <w:color w:val="auto"/>
              </w:rPr>
              <w:t>12.98</w:t>
            </w:r>
          </w:p>
        </w:tc>
        <w:tc>
          <w:tcPr>
            <w:tcW w:w="86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2"/>
                <w:szCs w:val="12"/>
                <w:color w:val="auto"/>
              </w:rPr>
              <w:t>13.15</w:t>
            </w:r>
          </w:p>
        </w:tc>
        <w:tc>
          <w:tcPr>
            <w:tcW w:w="92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2"/>
                <w:szCs w:val="12"/>
                <w:color w:val="auto"/>
              </w:rPr>
              <w:t>13.24</w:t>
            </w:r>
          </w:p>
        </w:tc>
        <w:tc>
          <w:tcPr>
            <w:tcW w:w="1000" w:type="dxa"/>
            <w:vAlign w:val="bottom"/>
            <w:tcBorders>
              <w:bottom w:val="single" w:sz="8" w:color="auto"/>
            </w:tcBorders>
            <w:shd w:val="clear" w:color="auto" w:fill="CCEEFF"/>
          </w:tcPr>
          <w:p>
            <w:pPr>
              <w:jc w:val="right"/>
              <w:ind w:right="178"/>
              <w:spacing w:after="0"/>
              <w:rPr>
                <w:sz w:val="20"/>
                <w:szCs w:val="20"/>
                <w:color w:val="auto"/>
              </w:rPr>
            </w:pPr>
            <w:r>
              <w:rPr>
                <w:rFonts w:ascii="Arial" w:cs="Arial" w:eastAsia="Arial" w:hAnsi="Arial"/>
                <w:sz w:val="12"/>
                <w:szCs w:val="12"/>
                <w:color w:val="auto"/>
              </w:rPr>
              <w:t>13.30</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13.12</w:t>
            </w:r>
          </w:p>
        </w:tc>
      </w:tr>
    </w:tbl>
    <w:p>
      <w:pPr>
        <w:spacing w:after="0" w:line="110" w:lineRule="exact"/>
        <w:rPr>
          <w:sz w:val="20"/>
          <w:szCs w:val="20"/>
          <w:color w:val="auto"/>
        </w:rPr>
      </w:pPr>
    </w:p>
    <w:p>
      <w:pPr>
        <w:ind w:left="243" w:hanging="243"/>
        <w:spacing w:after="0"/>
        <w:tabs>
          <w:tab w:leader="none" w:pos="243" w:val="left"/>
        </w:tabs>
        <w:numPr>
          <w:ilvl w:val="0"/>
          <w:numId w:val="6"/>
        </w:numPr>
        <w:rPr>
          <w:rFonts w:ascii="Arial" w:cs="Arial" w:eastAsia="Arial" w:hAnsi="Arial"/>
          <w:sz w:val="10"/>
          <w:szCs w:val="10"/>
          <w:color w:val="auto"/>
        </w:rPr>
      </w:pPr>
      <w:r>
        <w:rPr>
          <w:rFonts w:ascii="Arial" w:cs="Arial" w:eastAsia="Arial" w:hAnsi="Arial"/>
          <w:sz w:val="10"/>
          <w:szCs w:val="10"/>
          <w:color w:val="auto"/>
        </w:rPr>
        <w:t>2017 represented the 53 weeks ended February 3, 2018.</w:t>
      </w:r>
    </w:p>
    <w:p>
      <w:pPr>
        <w:ind w:left="243" w:right="39" w:hanging="243"/>
        <w:spacing w:after="0" w:line="235" w:lineRule="auto"/>
        <w:tabs>
          <w:tab w:leader="none" w:pos="243" w:val="left"/>
        </w:tabs>
        <w:numPr>
          <w:ilvl w:val="0"/>
          <w:numId w:val="6"/>
        </w:numPr>
        <w:rPr>
          <w:rFonts w:ascii="Arial" w:cs="Arial" w:eastAsia="Arial" w:hAnsi="Arial"/>
          <w:sz w:val="10"/>
          <w:szCs w:val="10"/>
          <w:color w:val="auto"/>
        </w:rPr>
      </w:pPr>
      <w:r>
        <w:rPr>
          <w:rFonts w:ascii="Arial" w:cs="Arial" w:eastAsia="Arial" w:hAnsi="Arial"/>
          <w:sz w:val="10"/>
          <w:szCs w:val="10"/>
          <w:color w:val="auto"/>
        </w:rPr>
        <w:t>Calculated as store sales divided by the average monthly ending gross square footage of the last thirteen months. The computation for each of the years presented reflects the foreign exchange rate in effect for such year. The 2017 amount has been calculated excluding the sales of the 53rd week.</w:t>
      </w:r>
    </w:p>
    <w:p>
      <w:pPr>
        <w:ind w:left="243" w:hanging="243"/>
        <w:spacing w:after="0"/>
        <w:tabs>
          <w:tab w:leader="none" w:pos="243" w:val="left"/>
        </w:tabs>
        <w:numPr>
          <w:ilvl w:val="0"/>
          <w:numId w:val="6"/>
        </w:numPr>
        <w:rPr>
          <w:rFonts w:ascii="Arial" w:cs="Arial" w:eastAsia="Arial" w:hAnsi="Arial"/>
          <w:sz w:val="10"/>
          <w:szCs w:val="10"/>
          <w:color w:val="auto"/>
        </w:rPr>
      </w:pPr>
      <w:r>
        <w:rPr>
          <w:rFonts w:ascii="Arial" w:cs="Arial" w:eastAsia="Arial" w:hAnsi="Arial"/>
          <w:sz w:val="10"/>
          <w:szCs w:val="10"/>
          <w:color w:val="auto"/>
        </w:rPr>
        <w:t>These represent non-GAAP measures, see Item 7, “Management’s Discussion and Analysis of Financial Condition and Results of Operations” for additional information and calculation.</w:t>
      </w:r>
    </w:p>
    <w:p>
      <w:pPr>
        <w:spacing w:after="0" w:line="18" w:lineRule="exact"/>
        <w:rPr>
          <w:rFonts w:ascii="Arial" w:cs="Arial" w:eastAsia="Arial" w:hAnsi="Arial"/>
          <w:sz w:val="10"/>
          <w:szCs w:val="10"/>
          <w:color w:val="auto"/>
        </w:rPr>
      </w:pPr>
    </w:p>
    <w:p>
      <w:pPr>
        <w:ind w:left="243" w:right="39" w:hanging="243"/>
        <w:spacing w:after="0" w:line="183" w:lineRule="auto"/>
        <w:tabs>
          <w:tab w:leader="none" w:pos="243" w:val="left"/>
        </w:tabs>
        <w:numPr>
          <w:ilvl w:val="0"/>
          <w:numId w:val="6"/>
        </w:numPr>
        <w:rPr>
          <w:rFonts w:ascii="Arial" w:cs="Arial" w:eastAsia="Arial" w:hAnsi="Arial"/>
          <w:sz w:val="18"/>
          <w:szCs w:val="18"/>
          <w:color w:val="auto"/>
          <w:vertAlign w:val="superscript"/>
        </w:rPr>
      </w:pPr>
      <w:r>
        <w:rPr>
          <w:rFonts w:ascii="Arial" w:cs="Arial" w:eastAsia="Arial" w:hAnsi="Arial"/>
          <w:sz w:val="10"/>
          <w:szCs w:val="10"/>
          <w:color w:val="auto"/>
        </w:rPr>
        <w:t>Represents total debt and obligations under leases, net of cash, and cash equivalents. For 2016 to 2018, this calculation includes the present value of operating leases prior to the adoption of the new lease accounting standard and therefore was considered a non-GAAP measure.</w:t>
      </w:r>
    </w:p>
    <w:p>
      <w:pPr>
        <w:spacing w:after="0" w:line="294" w:lineRule="exact"/>
        <w:rPr>
          <w:sz w:val="20"/>
          <w:szCs w:val="20"/>
          <w:color w:val="auto"/>
        </w:rPr>
      </w:pPr>
    </w:p>
    <w:p>
      <w:pPr>
        <w:ind w:left="7663"/>
        <w:spacing w:after="0"/>
        <w:rPr>
          <w:sz w:val="20"/>
          <w:szCs w:val="20"/>
          <w:color w:val="auto"/>
        </w:rPr>
      </w:pPr>
      <w:r>
        <w:rPr>
          <w:rFonts w:ascii="Arial" w:cs="Arial" w:eastAsia="Arial" w:hAnsi="Arial"/>
          <w:sz w:val="12"/>
          <w:szCs w:val="12"/>
          <w:color w:val="auto"/>
        </w:rPr>
        <w:t>2020 Form 10-K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365125</wp:posOffset>
            </wp:positionV>
            <wp:extent cx="5790565" cy="13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90565" cy="13335"/>
                    </a:xfrm>
                    <a:prstGeom prst="rect">
                      <a:avLst/>
                    </a:prstGeom>
                    <a:noFill/>
                  </pic:spPr>
                </pic:pic>
              </a:graphicData>
            </a:graphic>
          </wp:anchor>
        </w:drawing>
      </w:r>
    </w:p>
    <w:p>
      <w:pPr>
        <w:sectPr>
          <w:pgSz w:w="11900" w:h="16838" w:orient="portrait"/>
          <w:cols w:equalWidth="0" w:num="1">
            <w:col w:w="9162"/>
          </w:cols>
          <w:pgMar w:left="1297" w:top="662" w:right="1440" w:bottom="1440" w:gutter="0" w:footer="0" w:header="0"/>
        </w:sectPr>
      </w:pPr>
    </w:p>
    <w:bookmarkStart w:id="20" w:name="page21"/>
    <w:bookmarkEnd w:id="20"/>
    <w:p>
      <w:pPr>
        <w:spacing w:after="0"/>
        <w:rPr>
          <w:sz w:val="20"/>
          <w:szCs w:val="20"/>
          <w:color w:val="auto"/>
        </w:rPr>
      </w:pPr>
      <w:r>
        <w:rPr>
          <w:rFonts w:ascii="Arial" w:cs="Arial" w:eastAsia="Arial" w:hAnsi="Arial"/>
          <w:sz w:val="13"/>
          <w:szCs w:val="13"/>
          <w:b w:val="1"/>
          <w:bCs w:val="1"/>
          <w:i w:val="1"/>
          <w:iCs w:val="1"/>
          <w:color w:val="auto"/>
        </w:rPr>
        <w:t>Item 7. Management’s Discussion and Analysis of Financial Condition and Results of Operations</w:t>
      </w:r>
    </w:p>
    <w:p>
      <w:pPr>
        <w:spacing w:after="0" w:line="133" w:lineRule="exact"/>
        <w:rPr>
          <w:sz w:val="20"/>
          <w:szCs w:val="20"/>
          <w:color w:val="auto"/>
        </w:rPr>
      </w:pPr>
    </w:p>
    <w:p>
      <w:pPr>
        <w:jc w:val="both"/>
        <w:ind w:right="39"/>
        <w:spacing w:after="0" w:line="236" w:lineRule="auto"/>
        <w:rPr>
          <w:sz w:val="20"/>
          <w:szCs w:val="20"/>
          <w:color w:val="auto"/>
        </w:rPr>
      </w:pPr>
      <w:r>
        <w:rPr>
          <w:rFonts w:ascii="Arial" w:cs="Arial" w:eastAsia="Arial" w:hAnsi="Arial"/>
          <w:sz w:val="13"/>
          <w:szCs w:val="13"/>
          <w:color w:val="auto"/>
        </w:rPr>
        <w:t>This section of the Annual Report on Form 10-K generally discusses 2020 and 2019 detail and year-over-year comparisons between 2020 and 2019. For a comparison of our results for 2019 to our results of 2018 and other financial information related to 2018, refer to our Annual Report on Form 10-K for the year ended February 1, 2020 filed with the SEC on March 27, 2020.</w:t>
      </w:r>
    </w:p>
    <w:p>
      <w:pPr>
        <w:spacing w:after="0" w:line="10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Business Overview</w:t>
      </w:r>
    </w:p>
    <w:p>
      <w:pPr>
        <w:spacing w:after="0" w:line="143" w:lineRule="exact"/>
        <w:rPr>
          <w:sz w:val="20"/>
          <w:szCs w:val="20"/>
          <w:color w:val="auto"/>
        </w:rPr>
      </w:pPr>
    </w:p>
    <w:p>
      <w:pPr>
        <w:jc w:val="both"/>
        <w:ind w:right="39"/>
        <w:spacing w:after="0" w:line="234" w:lineRule="auto"/>
        <w:rPr>
          <w:sz w:val="20"/>
          <w:szCs w:val="20"/>
          <w:color w:val="auto"/>
        </w:rPr>
      </w:pPr>
      <w:r>
        <w:rPr>
          <w:rFonts w:ascii="Arial" w:cs="Arial" w:eastAsia="Arial" w:hAnsi="Arial"/>
          <w:sz w:val="13"/>
          <w:szCs w:val="13"/>
          <w:color w:val="auto"/>
        </w:rPr>
        <w:t>Foot Locker, Inc. leads the celebration of sneaker and youth culture around the globe through a portfolio of brands including Foot Locker, Lady Foot Locker, Kids Foot Locker, Champs Sports, Eastbay, Footaction, and Sidestep. As of January 30, 2021, we operated 2,998 primarily mall-based stores, as well as stores in high-traffic urban retail areas and high streets, in 27 countries across the United States, Canada, Europe, Australia, New Zealand, and Asia. Our purpose is to inspire and empower youth culture around the world, by fueling a shared passion for self-expression and creating unrivaled experiences at the heart of the global sneaker community.</w:t>
      </w:r>
    </w:p>
    <w:p>
      <w:pPr>
        <w:spacing w:after="0" w:line="112" w:lineRule="exact"/>
        <w:rPr>
          <w:sz w:val="20"/>
          <w:szCs w:val="20"/>
          <w:color w:val="auto"/>
        </w:rPr>
      </w:pPr>
    </w:p>
    <w:p>
      <w:pPr>
        <w:jc w:val="both"/>
        <w:ind w:right="39"/>
        <w:spacing w:after="0" w:line="233" w:lineRule="auto"/>
        <w:rPr>
          <w:sz w:val="20"/>
          <w:szCs w:val="20"/>
          <w:color w:val="auto"/>
        </w:rPr>
      </w:pPr>
      <w:r>
        <w:rPr>
          <w:rFonts w:ascii="Arial" w:cs="Arial" w:eastAsia="Arial" w:hAnsi="Arial"/>
          <w:sz w:val="13"/>
          <w:szCs w:val="13"/>
          <w:color w:val="auto"/>
        </w:rPr>
        <w:t>Foot Locker, Inc. uses its omni-channel capabilities to bridge the digital world and physical stores, including order-in-store, buy online and pickup-in-store, and buy online and ship-from-store, as well as e-commerce. We operate websites and mobile apps aligned with the brand names of our store banners (including footlocker.com, ladyfootlocker.com, kidsfootlocker.com, champssports.com, footaction.com, footlocker.ca, footlocker.eu (and related e-commerce sites in the various European countries that we operate) footlocker.com.au, footlocker.com.nz, sidestep-shoes.de, sidestep-shoes.nl, footlocker.mo, footlocker.hk, footlocker.sg, and footlocker.my). These sites offer some of the largest online product selections and provide a seamless link between e-commerce and physical stores. We also operate the websites for eastbay.com, final-score.com, and eastbayteamsales.com.</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Segment Reporting</w:t>
      </w:r>
    </w:p>
    <w:p>
      <w:pPr>
        <w:spacing w:after="0" w:line="143" w:lineRule="exact"/>
        <w:rPr>
          <w:sz w:val="20"/>
          <w:szCs w:val="20"/>
          <w:color w:val="auto"/>
        </w:rPr>
      </w:pPr>
    </w:p>
    <w:p>
      <w:pPr>
        <w:jc w:val="both"/>
        <w:ind w:right="39"/>
        <w:spacing w:after="0" w:line="232" w:lineRule="auto"/>
        <w:rPr>
          <w:sz w:val="20"/>
          <w:szCs w:val="20"/>
          <w:color w:val="auto"/>
        </w:rPr>
      </w:pPr>
      <w:r>
        <w:rPr>
          <w:rFonts w:ascii="Arial" w:cs="Arial" w:eastAsia="Arial" w:hAnsi="Arial"/>
          <w:sz w:val="13"/>
          <w:szCs w:val="13"/>
          <w:color w:val="auto"/>
        </w:rPr>
        <w:t>Our operating segments are identified according to how our business activities are managed and evaluated by our chief operating decision maker, our CEO. We have three operating segments, North America, Europe, Middle East, and Africa (“EMEA”), and Asia Pacific. Our North America operating segment includes the results of the following banners operating in the U.S. and Canada: Foot Locker, Kids Foot Locker, Lady Foot Locker, Champs Sports, and Footaction, including each of their related e-commerce businesses, as well as our Eastbay business that includes internet, catalog, and team sales. Our EMEA operating segment includes the results of the following banners operating in Europe: Foot Locker, Sidestep, and Kids Foot Locker, including each of their related e-commerce businesses. Our Asia Pacific operating segment includes the results of Foot Locker and Kids Foot Locker operating in Australia, New Zealand, and Asia as well as the related e-commerce businesses. We have further aggregated these operating segments into one reportable segment based upon their shared customer base and similar economic characteristics.</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COVID-19</w:t>
      </w:r>
    </w:p>
    <w:p>
      <w:pPr>
        <w:spacing w:after="0" w:line="174" w:lineRule="exact"/>
        <w:rPr>
          <w:sz w:val="20"/>
          <w:szCs w:val="20"/>
          <w:color w:val="auto"/>
        </w:rPr>
      </w:pPr>
    </w:p>
    <w:p>
      <w:pPr>
        <w:jc w:val="both"/>
        <w:ind w:right="39"/>
        <w:spacing w:after="0" w:line="237" w:lineRule="auto"/>
        <w:rPr>
          <w:sz w:val="20"/>
          <w:szCs w:val="20"/>
          <w:color w:val="auto"/>
        </w:rPr>
      </w:pPr>
      <w:r>
        <w:rPr>
          <w:rFonts w:ascii="Arial" w:cs="Arial" w:eastAsia="Arial" w:hAnsi="Arial"/>
          <w:sz w:val="13"/>
          <w:szCs w:val="13"/>
          <w:color w:val="auto"/>
        </w:rPr>
        <w:t>COVID-19 had a significant effect on overall economic conditions in the various geographic areas in which we have operations. Our top priority is to protect our team members and their families, our customers, and our operations. We have taken all precautionary measures as directed by health authorities and local, state, and national governments. In response to the COVID-19 pandemic, we temporarily closed our stores across all of our brands in North America, EMEA, and Asia Pacific throughout the year. The following represents a summary of the percentage of time that our stores were open, although there were significant regional variances by quarter and other restrictions that reduced operating hours as well:</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9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Period</w:t>
            </w:r>
          </w:p>
        </w:tc>
        <w:tc>
          <w:tcPr>
            <w:tcW w:w="6220" w:type="dxa"/>
            <w:vAlign w:val="bottom"/>
            <w:tcBorders>
              <w:bottom w:val="single" w:sz="8" w:color="auto"/>
            </w:tcBorders>
          </w:tcPr>
          <w:p>
            <w:pPr>
              <w:ind w:left="1940"/>
              <w:spacing w:after="0"/>
              <w:rPr>
                <w:sz w:val="20"/>
                <w:szCs w:val="20"/>
                <w:color w:val="auto"/>
              </w:rPr>
            </w:pPr>
            <w:r>
              <w:rPr>
                <w:rFonts w:ascii="Arial" w:cs="Arial" w:eastAsia="Arial" w:hAnsi="Arial"/>
                <w:sz w:val="13"/>
                <w:szCs w:val="13"/>
                <w:b w:val="1"/>
                <w:bCs w:val="1"/>
                <w:color w:val="auto"/>
              </w:rPr>
              <w:t>Open days</w:t>
            </w:r>
          </w:p>
        </w:tc>
      </w:tr>
      <w:tr>
        <w:trPr>
          <w:trHeight w:val="134"/>
        </w:trPr>
        <w:tc>
          <w:tcPr>
            <w:tcW w:w="2900" w:type="dxa"/>
            <w:vAlign w:val="bottom"/>
            <w:shd w:val="clear" w:color="auto" w:fill="CCEEFF"/>
          </w:tcPr>
          <w:p>
            <w:pPr>
              <w:ind w:left="80"/>
              <w:spacing w:after="0" w:line="134" w:lineRule="exact"/>
              <w:rPr>
                <w:sz w:val="20"/>
                <w:szCs w:val="20"/>
                <w:color w:val="auto"/>
              </w:rPr>
            </w:pPr>
            <w:r>
              <w:rPr>
                <w:rFonts w:ascii="Arial" w:cs="Arial" w:eastAsia="Arial" w:hAnsi="Arial"/>
                <w:sz w:val="13"/>
                <w:szCs w:val="13"/>
                <w:color w:val="auto"/>
              </w:rPr>
              <w:t>First Quarter</w:t>
            </w:r>
          </w:p>
        </w:tc>
        <w:tc>
          <w:tcPr>
            <w:tcW w:w="6220" w:type="dxa"/>
            <w:vAlign w:val="bottom"/>
            <w:shd w:val="clear" w:color="auto" w:fill="CCEEFF"/>
          </w:tcPr>
          <w:p>
            <w:pPr>
              <w:ind w:left="1940"/>
              <w:spacing w:after="0" w:line="134" w:lineRule="exact"/>
              <w:rPr>
                <w:sz w:val="20"/>
                <w:szCs w:val="20"/>
                <w:color w:val="auto"/>
              </w:rPr>
            </w:pPr>
            <w:r>
              <w:rPr>
                <w:rFonts w:ascii="Arial" w:cs="Arial" w:eastAsia="Arial" w:hAnsi="Arial"/>
                <w:sz w:val="13"/>
                <w:szCs w:val="13"/>
                <w:color w:val="auto"/>
              </w:rPr>
              <w:t>48 percent</w:t>
            </w:r>
          </w:p>
        </w:tc>
      </w:tr>
      <w:tr>
        <w:trPr>
          <w:trHeight w:val="144"/>
        </w:trPr>
        <w:tc>
          <w:tcPr>
            <w:tcW w:w="2900" w:type="dxa"/>
            <w:vAlign w:val="bottom"/>
          </w:tcPr>
          <w:p>
            <w:pPr>
              <w:ind w:left="80"/>
              <w:spacing w:after="0" w:line="144" w:lineRule="exact"/>
              <w:rPr>
                <w:sz w:val="20"/>
                <w:szCs w:val="20"/>
                <w:color w:val="auto"/>
              </w:rPr>
            </w:pPr>
            <w:r>
              <w:rPr>
                <w:rFonts w:ascii="Arial" w:cs="Arial" w:eastAsia="Arial" w:hAnsi="Arial"/>
                <w:sz w:val="13"/>
                <w:szCs w:val="13"/>
                <w:color w:val="auto"/>
              </w:rPr>
              <w:t>Second Quarter</w:t>
            </w:r>
          </w:p>
        </w:tc>
        <w:tc>
          <w:tcPr>
            <w:tcW w:w="6220" w:type="dxa"/>
            <w:vAlign w:val="bottom"/>
          </w:tcPr>
          <w:p>
            <w:pPr>
              <w:ind w:left="1940"/>
              <w:spacing w:after="0" w:line="144" w:lineRule="exact"/>
              <w:rPr>
                <w:sz w:val="20"/>
                <w:szCs w:val="20"/>
                <w:color w:val="auto"/>
              </w:rPr>
            </w:pPr>
            <w:r>
              <w:rPr>
                <w:rFonts w:ascii="Arial" w:cs="Arial" w:eastAsia="Arial" w:hAnsi="Arial"/>
                <w:sz w:val="13"/>
                <w:szCs w:val="13"/>
                <w:color w:val="auto"/>
              </w:rPr>
              <w:t>70 percent</w:t>
            </w:r>
          </w:p>
        </w:tc>
      </w:tr>
      <w:tr>
        <w:trPr>
          <w:trHeight w:val="144"/>
        </w:trPr>
        <w:tc>
          <w:tcPr>
            <w:tcW w:w="2900" w:type="dxa"/>
            <w:vAlign w:val="bottom"/>
            <w:shd w:val="clear" w:color="auto" w:fill="CCEEFF"/>
          </w:tcPr>
          <w:p>
            <w:pPr>
              <w:ind w:left="80"/>
              <w:spacing w:after="0" w:line="144" w:lineRule="exact"/>
              <w:rPr>
                <w:sz w:val="20"/>
                <w:szCs w:val="20"/>
                <w:color w:val="auto"/>
              </w:rPr>
            </w:pPr>
            <w:r>
              <w:rPr>
                <w:rFonts w:ascii="Arial" w:cs="Arial" w:eastAsia="Arial" w:hAnsi="Arial"/>
                <w:sz w:val="13"/>
                <w:szCs w:val="13"/>
                <w:color w:val="auto"/>
              </w:rPr>
              <w:t>Third Quarter</w:t>
            </w:r>
          </w:p>
        </w:tc>
        <w:tc>
          <w:tcPr>
            <w:tcW w:w="6220" w:type="dxa"/>
            <w:vAlign w:val="bottom"/>
            <w:shd w:val="clear" w:color="auto" w:fill="CCEEFF"/>
          </w:tcPr>
          <w:p>
            <w:pPr>
              <w:ind w:left="1940"/>
              <w:spacing w:after="0" w:line="144" w:lineRule="exact"/>
              <w:rPr>
                <w:sz w:val="20"/>
                <w:szCs w:val="20"/>
                <w:color w:val="auto"/>
              </w:rPr>
            </w:pPr>
            <w:r>
              <w:rPr>
                <w:rFonts w:ascii="Arial" w:cs="Arial" w:eastAsia="Arial" w:hAnsi="Arial"/>
                <w:sz w:val="13"/>
                <w:szCs w:val="13"/>
                <w:color w:val="auto"/>
              </w:rPr>
              <w:t>93 percent</w:t>
            </w:r>
          </w:p>
        </w:tc>
      </w:tr>
      <w:tr>
        <w:trPr>
          <w:trHeight w:val="144"/>
        </w:trPr>
        <w:tc>
          <w:tcPr>
            <w:tcW w:w="2900" w:type="dxa"/>
            <w:vAlign w:val="bottom"/>
          </w:tcPr>
          <w:p>
            <w:pPr>
              <w:ind w:left="80"/>
              <w:spacing w:after="0" w:line="144" w:lineRule="exact"/>
              <w:rPr>
                <w:sz w:val="20"/>
                <w:szCs w:val="20"/>
                <w:color w:val="auto"/>
              </w:rPr>
            </w:pPr>
            <w:r>
              <w:rPr>
                <w:rFonts w:ascii="Arial" w:cs="Arial" w:eastAsia="Arial" w:hAnsi="Arial"/>
                <w:sz w:val="13"/>
                <w:szCs w:val="13"/>
                <w:color w:val="auto"/>
              </w:rPr>
              <w:t>Fourth Quarter</w:t>
            </w:r>
          </w:p>
        </w:tc>
        <w:tc>
          <w:tcPr>
            <w:tcW w:w="6220" w:type="dxa"/>
            <w:vAlign w:val="bottom"/>
          </w:tcPr>
          <w:p>
            <w:pPr>
              <w:ind w:left="1940"/>
              <w:spacing w:after="0" w:line="144" w:lineRule="exact"/>
              <w:rPr>
                <w:sz w:val="20"/>
                <w:szCs w:val="20"/>
                <w:color w:val="auto"/>
              </w:rPr>
            </w:pPr>
            <w:r>
              <w:rPr>
                <w:rFonts w:ascii="Arial" w:cs="Arial" w:eastAsia="Arial" w:hAnsi="Arial"/>
                <w:sz w:val="13"/>
                <w:szCs w:val="13"/>
                <w:color w:val="auto"/>
              </w:rPr>
              <w:t>87 percent</w:t>
            </w:r>
          </w:p>
        </w:tc>
      </w:tr>
      <w:tr>
        <w:trPr>
          <w:trHeight w:val="144"/>
        </w:trPr>
        <w:tc>
          <w:tcPr>
            <w:tcW w:w="2900" w:type="dxa"/>
            <w:vAlign w:val="bottom"/>
            <w:shd w:val="clear" w:color="auto" w:fill="CCEEFF"/>
          </w:tcPr>
          <w:p>
            <w:pPr>
              <w:ind w:left="80"/>
              <w:spacing w:after="0" w:line="144" w:lineRule="exact"/>
              <w:rPr>
                <w:sz w:val="20"/>
                <w:szCs w:val="20"/>
                <w:color w:val="auto"/>
              </w:rPr>
            </w:pPr>
            <w:r>
              <w:rPr>
                <w:rFonts w:ascii="Arial" w:cs="Arial" w:eastAsia="Arial" w:hAnsi="Arial"/>
                <w:sz w:val="13"/>
                <w:szCs w:val="13"/>
                <w:color w:val="auto"/>
              </w:rPr>
              <w:t>Full Year</w:t>
            </w:r>
          </w:p>
        </w:tc>
        <w:tc>
          <w:tcPr>
            <w:tcW w:w="6220" w:type="dxa"/>
            <w:vAlign w:val="bottom"/>
            <w:shd w:val="clear" w:color="auto" w:fill="CCEEFF"/>
          </w:tcPr>
          <w:p>
            <w:pPr>
              <w:ind w:left="1940"/>
              <w:spacing w:after="0" w:line="144" w:lineRule="exact"/>
              <w:rPr>
                <w:sz w:val="20"/>
                <w:szCs w:val="20"/>
                <w:color w:val="auto"/>
              </w:rPr>
            </w:pPr>
            <w:r>
              <w:rPr>
                <w:rFonts w:ascii="Arial" w:cs="Arial" w:eastAsia="Arial" w:hAnsi="Arial"/>
                <w:sz w:val="13"/>
                <w:szCs w:val="13"/>
                <w:color w:val="auto"/>
              </w:rPr>
              <w:t>75 percent</w:t>
            </w:r>
          </w:p>
        </w:tc>
      </w:tr>
    </w:tbl>
    <w:p>
      <w:pPr>
        <w:spacing w:after="0" w:line="149" w:lineRule="exact"/>
        <w:rPr>
          <w:sz w:val="20"/>
          <w:szCs w:val="20"/>
          <w:color w:val="auto"/>
        </w:rPr>
      </w:pPr>
    </w:p>
    <w:p>
      <w:pPr>
        <w:jc w:val="both"/>
        <w:ind w:right="39"/>
        <w:spacing w:after="0" w:line="236" w:lineRule="auto"/>
        <w:rPr>
          <w:sz w:val="20"/>
          <w:szCs w:val="20"/>
          <w:color w:val="auto"/>
        </w:rPr>
      </w:pPr>
      <w:r>
        <w:rPr>
          <w:rFonts w:ascii="Arial" w:cs="Arial" w:eastAsia="Arial" w:hAnsi="Arial"/>
          <w:sz w:val="13"/>
          <w:szCs w:val="13"/>
          <w:color w:val="auto"/>
        </w:rPr>
        <w:t>We continue to monitor the outbreak of COVID-19 and other closures, or closures for a longer period of time, reduced operating hours, capacity limitations, and social distancing may be required to help ensure the health and safety of our team members and our customers. COVID-19 has and may continue to have an effect on ports and trade, as well as global travel.</w:t>
      </w:r>
    </w:p>
    <w:p>
      <w:pPr>
        <w:spacing w:after="0" w:line="154" w:lineRule="exact"/>
        <w:rPr>
          <w:sz w:val="20"/>
          <w:szCs w:val="20"/>
          <w:color w:val="auto"/>
        </w:rPr>
      </w:pPr>
    </w:p>
    <w:p>
      <w:pPr>
        <w:ind w:left="7660"/>
        <w:spacing w:after="0"/>
        <w:rPr>
          <w:sz w:val="20"/>
          <w:szCs w:val="20"/>
          <w:color w:val="auto"/>
        </w:rPr>
      </w:pPr>
      <w:r>
        <w:rPr>
          <w:rFonts w:ascii="Arial" w:cs="Arial" w:eastAsia="Arial" w:hAnsi="Arial"/>
          <w:sz w:val="12"/>
          <w:szCs w:val="12"/>
          <w:color w:val="auto"/>
        </w:rPr>
        <w:t>2020 Form 10-K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365125</wp:posOffset>
            </wp:positionV>
            <wp:extent cx="5790565" cy="13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90565" cy="13335"/>
                    </a:xfrm>
                    <a:prstGeom prst="rect">
                      <a:avLst/>
                    </a:prstGeom>
                    <a:noFill/>
                  </pic:spPr>
                </pic:pic>
              </a:graphicData>
            </a:graphic>
          </wp:anchor>
        </w:drawing>
      </w:r>
    </w:p>
    <w:p>
      <w:pPr>
        <w:sectPr>
          <w:pgSz w:w="11900" w:h="16838" w:orient="portrait"/>
          <w:cols w:equalWidth="0" w:num="1">
            <w:col w:w="9159"/>
          </w:cols>
          <w:pgMar w:left="1300" w:top="662" w:right="1440" w:bottom="1440" w:gutter="0" w:footer="0" w:header="0"/>
        </w:sectPr>
      </w:pPr>
    </w:p>
    <w:bookmarkStart w:id="21" w:name="page22"/>
    <w:bookmarkEnd w:id="21"/>
    <w:p>
      <w:pPr>
        <w:jc w:val="both"/>
        <w:ind w:right="39"/>
        <w:spacing w:after="0"/>
        <w:rPr>
          <w:sz w:val="20"/>
          <w:szCs w:val="20"/>
          <w:color w:val="auto"/>
        </w:rPr>
      </w:pPr>
      <w:r>
        <w:rPr>
          <w:rFonts w:ascii="Arial" w:cs="Arial" w:eastAsia="Arial" w:hAnsi="Arial"/>
          <w:sz w:val="13"/>
          <w:szCs w:val="13"/>
          <w:color w:val="auto"/>
        </w:rPr>
        <w:t>We have set up a special COVID-19 task force which is overseeing the necessary precautionary measures to protect the health and safety of our team members as well as following the guidance provided by local health authorities.</w:t>
      </w:r>
    </w:p>
    <w:p>
      <w:pPr>
        <w:spacing w:after="0" w:line="152" w:lineRule="exact"/>
        <w:rPr>
          <w:sz w:val="20"/>
          <w:szCs w:val="20"/>
          <w:color w:val="auto"/>
        </w:rPr>
      </w:pPr>
    </w:p>
    <w:p>
      <w:pPr>
        <w:jc w:val="both"/>
        <w:ind w:right="59"/>
        <w:spacing w:after="0"/>
        <w:rPr>
          <w:sz w:val="20"/>
          <w:szCs w:val="20"/>
          <w:color w:val="auto"/>
        </w:rPr>
      </w:pPr>
      <w:r>
        <w:rPr>
          <w:rFonts w:ascii="Arial" w:cs="Arial" w:eastAsia="Arial" w:hAnsi="Arial"/>
          <w:sz w:val="13"/>
          <w:szCs w:val="13"/>
          <w:color w:val="auto"/>
        </w:rPr>
        <w:t>Given the dynamic nature of these circumstances, the duration of business disruption, and reduced customer traffic, the related financial affect cannot be reasonably estimated at this time but may materially affect our business for the full year of 2021.</w:t>
      </w:r>
    </w:p>
    <w:p>
      <w:pPr>
        <w:spacing w:after="0" w:line="9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Reconciliation of Non-GAAP Measures</w:t>
      </w:r>
    </w:p>
    <w:p>
      <w:pPr>
        <w:spacing w:after="0" w:line="148" w:lineRule="exact"/>
        <w:rPr>
          <w:sz w:val="20"/>
          <w:szCs w:val="20"/>
          <w:color w:val="auto"/>
        </w:rPr>
      </w:pPr>
    </w:p>
    <w:p>
      <w:pPr>
        <w:jc w:val="both"/>
        <w:ind w:right="39"/>
        <w:spacing w:after="0" w:line="237" w:lineRule="auto"/>
        <w:rPr>
          <w:sz w:val="20"/>
          <w:szCs w:val="20"/>
          <w:color w:val="auto"/>
        </w:rPr>
      </w:pPr>
      <w:r>
        <w:rPr>
          <w:rFonts w:ascii="Arial" w:cs="Arial" w:eastAsia="Arial" w:hAnsi="Arial"/>
          <w:sz w:val="13"/>
          <w:szCs w:val="13"/>
          <w:color w:val="auto"/>
        </w:rPr>
        <w:t xml:space="preserve">In addition to reporting our financial results in accordance with generally accepted accounting principles </w:t>
      </w:r>
      <w:r>
        <w:rPr>
          <w:rFonts w:ascii="Arial" w:cs="Arial" w:eastAsia="Arial" w:hAnsi="Arial"/>
          <w:sz w:val="13"/>
          <w:szCs w:val="13"/>
          <w:color w:val="212529"/>
        </w:rPr>
        <w:t>(“</w:t>
      </w:r>
      <w:r>
        <w:rPr>
          <w:rFonts w:ascii="Arial" w:cs="Arial" w:eastAsia="Arial" w:hAnsi="Arial"/>
          <w:sz w:val="13"/>
          <w:szCs w:val="13"/>
          <w:color w:val="auto"/>
        </w:rPr>
        <w:t>GAAP”), we report certain financial results that differ from what is reported under GAAP. In the following tables, we have presented certain financial measures and ratios identified as non-GAAP such as Earnings Before Interest and Taxes (“EBIT”), adjusted EBIT, adjusted EBIT margin, adjusted income before income taxes, adjusted net income, adjusted net income margin, adjusted diluted earnings per share, Return on Invested Capital (“ROIC”), and free cash flow.</w:t>
      </w:r>
    </w:p>
    <w:p>
      <w:pPr>
        <w:spacing w:after="0" w:line="124" w:lineRule="exact"/>
        <w:rPr>
          <w:sz w:val="20"/>
          <w:szCs w:val="20"/>
          <w:color w:val="auto"/>
        </w:rPr>
      </w:pPr>
    </w:p>
    <w:p>
      <w:pPr>
        <w:jc w:val="both"/>
        <w:ind w:right="39"/>
        <w:spacing w:after="0" w:line="236" w:lineRule="auto"/>
        <w:rPr>
          <w:sz w:val="20"/>
          <w:szCs w:val="20"/>
          <w:color w:val="auto"/>
        </w:rPr>
      </w:pPr>
      <w:r>
        <w:rPr>
          <w:rFonts w:ascii="Arial" w:cs="Arial" w:eastAsia="Arial" w:hAnsi="Arial"/>
          <w:sz w:val="13"/>
          <w:szCs w:val="13"/>
          <w:color w:val="auto"/>
        </w:rPr>
        <w:t>We present these non-GAAP measures because we believe they assist investors in comparing our performance across reporting periods on a consistent basis by excluding items that are not indicative of our core business or which affect comparability. These non-GAAP measures are also useful in assessing our progress in achieving our long-term financial objectives.</w:t>
      </w:r>
    </w:p>
    <w:p>
      <w:pPr>
        <w:spacing w:after="0" w:line="113" w:lineRule="exact"/>
        <w:rPr>
          <w:sz w:val="20"/>
          <w:szCs w:val="20"/>
          <w:color w:val="auto"/>
        </w:rPr>
      </w:pPr>
    </w:p>
    <w:p>
      <w:pPr>
        <w:jc w:val="both"/>
        <w:ind w:right="39"/>
        <w:spacing w:after="0" w:line="235" w:lineRule="auto"/>
        <w:rPr>
          <w:sz w:val="20"/>
          <w:szCs w:val="20"/>
          <w:color w:val="auto"/>
        </w:rPr>
      </w:pPr>
      <w:r>
        <w:rPr>
          <w:rFonts w:ascii="Arial" w:cs="Arial" w:eastAsia="Arial" w:hAnsi="Arial"/>
          <w:sz w:val="13"/>
          <w:szCs w:val="13"/>
          <w:color w:val="auto"/>
        </w:rPr>
        <w:t>Additionally, we present certain amounts as excluding the effects of foreign currency fluctuations, which are also considered non-GAAP measures. Throughout the following discussions, where amounts are expressed as excluding the effects of foreign currency fluctuations, such changes are determined by translating all amounts in both years using the prior-year average foreign exchange rates. Presenting amounts on a constant currency basis is useful to investors because it enables them to better understand the changes in our businesses that are not related to currency movements.</w:t>
      </w:r>
    </w:p>
    <w:p>
      <w:pPr>
        <w:spacing w:after="0" w:line="122" w:lineRule="exact"/>
        <w:rPr>
          <w:sz w:val="20"/>
          <w:szCs w:val="20"/>
          <w:color w:val="auto"/>
        </w:rPr>
      </w:pPr>
    </w:p>
    <w:p>
      <w:pPr>
        <w:jc w:val="both"/>
        <w:ind w:right="39"/>
        <w:spacing w:after="0"/>
        <w:rPr>
          <w:sz w:val="20"/>
          <w:szCs w:val="20"/>
          <w:color w:val="auto"/>
        </w:rPr>
      </w:pPr>
      <w:r>
        <w:rPr>
          <w:rFonts w:ascii="Arial" w:cs="Arial" w:eastAsia="Arial" w:hAnsi="Arial"/>
          <w:sz w:val="13"/>
          <w:szCs w:val="13"/>
          <w:color w:val="auto"/>
        </w:rPr>
        <w:t>We estimate the tax effect of the non-GAAP adjustments by applying a marginal rate to each of the respective items. The income tax items represent the discrete amount that affected the period.</w:t>
      </w:r>
    </w:p>
    <w:p>
      <w:pPr>
        <w:spacing w:after="0" w:line="122" w:lineRule="exact"/>
        <w:rPr>
          <w:sz w:val="20"/>
          <w:szCs w:val="20"/>
          <w:color w:val="auto"/>
        </w:rPr>
      </w:pPr>
    </w:p>
    <w:p>
      <w:pPr>
        <w:jc w:val="both"/>
        <w:ind w:right="39"/>
        <w:spacing w:after="0" w:line="236" w:lineRule="auto"/>
        <w:rPr>
          <w:sz w:val="20"/>
          <w:szCs w:val="20"/>
          <w:color w:val="auto"/>
        </w:rPr>
      </w:pPr>
      <w:r>
        <w:rPr>
          <w:rFonts w:ascii="Arial" w:cs="Arial" w:eastAsia="Arial" w:hAnsi="Arial"/>
          <w:sz w:val="13"/>
          <w:szCs w:val="13"/>
          <w:color w:val="auto"/>
        </w:rPr>
        <w:t>The non-GAAP financial information is provided in addition to, and not as an alternative to, our reported results prepared in accordance with GAAP. Presented below is a reconciliation of GAAP and non-GAAP results discussed throughout this Annual Report on Form 10-K. Please see the non-GAAP reconciliations for free cash flow in the “</w:t>
      </w:r>
      <w:r>
        <w:rPr>
          <w:rFonts w:ascii="Arial" w:cs="Arial" w:eastAsia="Arial" w:hAnsi="Arial"/>
          <w:sz w:val="13"/>
          <w:szCs w:val="13"/>
          <w:i w:val="1"/>
          <w:iCs w:val="1"/>
          <w:color w:val="auto"/>
        </w:rPr>
        <w:t>Liquidity and Capital Resources</w:t>
      </w:r>
      <w:r>
        <w:rPr>
          <w:rFonts w:ascii="Arial" w:cs="Arial" w:eastAsia="Arial" w:hAnsi="Arial"/>
          <w:sz w:val="13"/>
          <w:szCs w:val="13"/>
          <w:color w:val="auto"/>
        </w:rPr>
        <w:t>” section.</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540" w:type="dxa"/>
            <w:vAlign w:val="bottom"/>
            <w:gridSpan w:val="2"/>
          </w:tcPr>
          <w:p>
            <w:pPr>
              <w:spacing w:after="0"/>
              <w:rPr>
                <w:sz w:val="20"/>
                <w:szCs w:val="20"/>
                <w:color w:val="auto"/>
              </w:rPr>
            </w:pPr>
            <w:r>
              <w:rPr>
                <w:rFonts w:ascii="Arial" w:cs="Arial" w:eastAsia="Arial" w:hAnsi="Arial"/>
                <w:sz w:val="13"/>
                <w:szCs w:val="13"/>
                <w:i w:val="1"/>
                <w:iCs w:val="1"/>
                <w:color w:val="auto"/>
              </w:rPr>
              <w:t>Reconciliation:</w:t>
            </w:r>
          </w:p>
        </w:tc>
        <w:tc>
          <w:tcPr>
            <w:tcW w:w="14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88"/>
        </w:trPr>
        <w:tc>
          <w:tcPr>
            <w:tcW w:w="84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 in millions)</w:t>
            </w:r>
          </w:p>
        </w:tc>
        <w:tc>
          <w:tcPr>
            <w:tcW w:w="37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15"/>
              <w:spacing w:after="0"/>
              <w:rPr>
                <w:sz w:val="20"/>
                <w:szCs w:val="20"/>
                <w:color w:val="auto"/>
              </w:rPr>
            </w:pPr>
            <w:r>
              <w:rPr>
                <w:rFonts w:ascii="Arial" w:cs="Arial" w:eastAsia="Arial" w:hAnsi="Arial"/>
                <w:sz w:val="13"/>
                <w:szCs w:val="13"/>
                <w:b w:val="1"/>
                <w:bCs w:val="1"/>
                <w:color w:val="auto"/>
              </w:rPr>
              <w:t>2020</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15"/>
              <w:spacing w:after="0"/>
              <w:rPr>
                <w:sz w:val="20"/>
                <w:szCs w:val="20"/>
                <w:color w:val="auto"/>
              </w:rPr>
            </w:pPr>
            <w:r>
              <w:rPr>
                <w:rFonts w:ascii="Arial" w:cs="Arial" w:eastAsia="Arial" w:hAnsi="Arial"/>
                <w:sz w:val="13"/>
                <w:szCs w:val="13"/>
                <w:color w:val="auto"/>
              </w:rPr>
              <w:t>2019</w:t>
            </w: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color w:val="auto"/>
              </w:rPr>
              <w:t>2018</w:t>
            </w:r>
          </w:p>
        </w:tc>
        <w:tc>
          <w:tcPr>
            <w:tcW w:w="160" w:type="dxa"/>
            <w:vAlign w:val="bottom"/>
            <w:tcBorders>
              <w:bottom w:val="single" w:sz="8" w:color="auto"/>
            </w:tcBorders>
          </w:tcPr>
          <w:p>
            <w:pPr>
              <w:spacing w:after="0"/>
              <w:rPr>
                <w:sz w:val="24"/>
                <w:szCs w:val="24"/>
                <w:color w:val="auto"/>
              </w:rPr>
            </w:pPr>
          </w:p>
        </w:tc>
      </w:tr>
      <w:tr>
        <w:trPr>
          <w:trHeight w:val="134"/>
        </w:trPr>
        <w:tc>
          <w:tcPr>
            <w:tcW w:w="4540" w:type="dxa"/>
            <w:vAlign w:val="bottom"/>
            <w:gridSpan w:val="2"/>
          </w:tcPr>
          <w:p>
            <w:pPr>
              <w:spacing w:after="0" w:line="134" w:lineRule="exact"/>
              <w:rPr>
                <w:sz w:val="20"/>
                <w:szCs w:val="20"/>
                <w:color w:val="auto"/>
              </w:rPr>
            </w:pPr>
            <w:r>
              <w:rPr>
                <w:rFonts w:ascii="Arial" w:cs="Arial" w:eastAsia="Arial" w:hAnsi="Arial"/>
                <w:sz w:val="13"/>
                <w:szCs w:val="13"/>
                <w:b w:val="1"/>
                <w:bCs w:val="1"/>
                <w:color w:val="auto"/>
              </w:rPr>
              <w:t>Pre-tax income:</w:t>
            </w:r>
          </w:p>
        </w:tc>
        <w:tc>
          <w:tcPr>
            <w:tcW w:w="14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4"/>
        </w:trPr>
        <w:tc>
          <w:tcPr>
            <w:tcW w:w="45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Income before income taxes</w:t>
            </w:r>
          </w:p>
        </w:tc>
        <w:tc>
          <w:tcPr>
            <w:tcW w:w="142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b w:val="1"/>
                <w:bCs w:val="1"/>
                <w:color w:val="auto"/>
              </w:rPr>
              <w:t>$</w:t>
            </w:r>
          </w:p>
        </w:tc>
        <w:tc>
          <w:tcPr>
            <w:tcW w:w="880" w:type="dxa"/>
            <w:vAlign w:val="bottom"/>
            <w:shd w:val="clear" w:color="auto" w:fill="CCEEFF"/>
          </w:tcPr>
          <w:p>
            <w:pPr>
              <w:jc w:val="right"/>
              <w:ind w:right="155"/>
              <w:spacing w:after="0" w:line="144" w:lineRule="exact"/>
              <w:rPr>
                <w:sz w:val="20"/>
                <w:szCs w:val="20"/>
                <w:color w:val="auto"/>
              </w:rPr>
            </w:pPr>
            <w:r>
              <w:rPr>
                <w:rFonts w:ascii="Arial" w:cs="Arial" w:eastAsia="Arial" w:hAnsi="Arial"/>
                <w:sz w:val="13"/>
                <w:szCs w:val="13"/>
                <w:b w:val="1"/>
                <w:bCs w:val="1"/>
                <w:color w:val="auto"/>
              </w:rPr>
              <w:t>494</w:t>
            </w:r>
          </w:p>
        </w:tc>
        <w:tc>
          <w:tcPr>
            <w:tcW w:w="26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155"/>
              <w:spacing w:after="0" w:line="144" w:lineRule="exact"/>
              <w:rPr>
                <w:sz w:val="20"/>
                <w:szCs w:val="20"/>
                <w:color w:val="auto"/>
              </w:rPr>
            </w:pPr>
            <w:r>
              <w:rPr>
                <w:rFonts w:ascii="Arial" w:cs="Arial" w:eastAsia="Arial" w:hAnsi="Arial"/>
                <w:sz w:val="13"/>
                <w:szCs w:val="13"/>
                <w:color w:val="auto"/>
              </w:rPr>
              <w:t>672</w:t>
            </w:r>
          </w:p>
        </w:tc>
        <w:tc>
          <w:tcPr>
            <w:tcW w:w="26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713</w:t>
            </w:r>
          </w:p>
        </w:tc>
        <w:tc>
          <w:tcPr>
            <w:tcW w:w="160" w:type="dxa"/>
            <w:vAlign w:val="bottom"/>
            <w:shd w:val="clear" w:color="auto" w:fill="CCEEFF"/>
          </w:tcPr>
          <w:p>
            <w:pPr>
              <w:spacing w:after="0"/>
              <w:rPr>
                <w:sz w:val="12"/>
                <w:szCs w:val="12"/>
                <w:color w:val="auto"/>
              </w:rPr>
            </w:pPr>
          </w:p>
        </w:tc>
      </w:tr>
      <w:tr>
        <w:trPr>
          <w:trHeight w:val="144"/>
        </w:trPr>
        <w:tc>
          <w:tcPr>
            <w:tcW w:w="4540" w:type="dxa"/>
            <w:vAlign w:val="bottom"/>
            <w:gridSpan w:val="2"/>
          </w:tcPr>
          <w:p>
            <w:pPr>
              <w:spacing w:after="0" w:line="144" w:lineRule="exact"/>
              <w:rPr>
                <w:sz w:val="20"/>
                <w:szCs w:val="20"/>
                <w:color w:val="auto"/>
              </w:rPr>
            </w:pPr>
            <w:r>
              <w:rPr>
                <w:rFonts w:ascii="Arial" w:cs="Arial" w:eastAsia="Arial" w:hAnsi="Arial"/>
                <w:sz w:val="13"/>
                <w:szCs w:val="13"/>
                <w:color w:val="auto"/>
              </w:rPr>
              <w:t>Pre-tax adjustments excluded from GAAP:</w:t>
            </w:r>
          </w:p>
        </w:tc>
        <w:tc>
          <w:tcPr>
            <w:tcW w:w="1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4"/>
        </w:trPr>
        <w:tc>
          <w:tcPr>
            <w:tcW w:w="4540" w:type="dxa"/>
            <w:vAlign w:val="bottom"/>
            <w:gridSpan w:val="2"/>
            <w:shd w:val="clear" w:color="auto" w:fill="CCEEFF"/>
          </w:tcPr>
          <w:p>
            <w:pPr>
              <w:ind w:left="80"/>
              <w:spacing w:after="0" w:line="144" w:lineRule="exact"/>
              <w:rPr>
                <w:sz w:val="20"/>
                <w:szCs w:val="20"/>
                <w:color w:val="auto"/>
              </w:rPr>
            </w:pPr>
            <w:r>
              <w:rPr>
                <w:rFonts w:ascii="Arial" w:cs="Arial" w:eastAsia="Arial" w:hAnsi="Arial"/>
                <w:sz w:val="11"/>
                <w:szCs w:val="11"/>
                <w:color w:val="auto"/>
              </w:rPr>
              <w:t xml:space="preserve">Impairment and other charges </w:t>
            </w:r>
            <w:r>
              <w:rPr>
                <w:rFonts w:ascii="Arial" w:cs="Arial" w:eastAsia="Arial" w:hAnsi="Arial"/>
                <w:sz w:val="16"/>
                <w:szCs w:val="16"/>
                <w:color w:val="auto"/>
                <w:vertAlign w:val="superscript"/>
              </w:rPr>
              <w:t>(1)</w:t>
            </w:r>
          </w:p>
        </w:tc>
        <w:tc>
          <w:tcPr>
            <w:tcW w:w="14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55"/>
              <w:spacing w:after="0" w:line="144" w:lineRule="exact"/>
              <w:rPr>
                <w:sz w:val="20"/>
                <w:szCs w:val="20"/>
                <w:color w:val="auto"/>
              </w:rPr>
            </w:pPr>
            <w:r>
              <w:rPr>
                <w:rFonts w:ascii="Arial" w:cs="Arial" w:eastAsia="Arial" w:hAnsi="Arial"/>
                <w:sz w:val="13"/>
                <w:szCs w:val="13"/>
                <w:b w:val="1"/>
                <w:bCs w:val="1"/>
                <w:color w:val="auto"/>
              </w:rPr>
              <w:t>117</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55"/>
              <w:spacing w:after="0" w:line="144" w:lineRule="exact"/>
              <w:rPr>
                <w:sz w:val="20"/>
                <w:szCs w:val="20"/>
                <w:color w:val="auto"/>
              </w:rPr>
            </w:pPr>
            <w:r>
              <w:rPr>
                <w:rFonts w:ascii="Arial" w:cs="Arial" w:eastAsia="Arial" w:hAnsi="Arial"/>
                <w:sz w:val="13"/>
                <w:szCs w:val="13"/>
                <w:color w:val="auto"/>
              </w:rPr>
              <w:t>65</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37</w:t>
            </w:r>
          </w:p>
        </w:tc>
        <w:tc>
          <w:tcPr>
            <w:tcW w:w="160" w:type="dxa"/>
            <w:vAlign w:val="bottom"/>
            <w:shd w:val="clear" w:color="auto" w:fill="CCEEFF"/>
          </w:tcPr>
          <w:p>
            <w:pPr>
              <w:spacing w:after="0"/>
              <w:rPr>
                <w:sz w:val="12"/>
                <w:szCs w:val="12"/>
                <w:color w:val="auto"/>
              </w:rPr>
            </w:pPr>
          </w:p>
        </w:tc>
      </w:tr>
      <w:tr>
        <w:trPr>
          <w:trHeight w:val="144"/>
        </w:trPr>
        <w:tc>
          <w:tcPr>
            <w:tcW w:w="4540" w:type="dxa"/>
            <w:vAlign w:val="bottom"/>
            <w:gridSpan w:val="2"/>
          </w:tcPr>
          <w:p>
            <w:pPr>
              <w:ind w:left="80"/>
              <w:spacing w:after="0" w:line="144" w:lineRule="exact"/>
              <w:rPr>
                <w:sz w:val="20"/>
                <w:szCs w:val="20"/>
                <w:color w:val="auto"/>
              </w:rPr>
            </w:pPr>
            <w:r>
              <w:rPr>
                <w:rFonts w:ascii="Arial" w:cs="Arial" w:eastAsia="Arial" w:hAnsi="Arial"/>
                <w:sz w:val="11"/>
                <w:szCs w:val="11"/>
                <w:color w:val="auto"/>
              </w:rPr>
              <w:t xml:space="preserve">Other income, net </w:t>
            </w:r>
            <w:r>
              <w:rPr>
                <w:rFonts w:ascii="Arial" w:cs="Arial" w:eastAsia="Arial" w:hAnsi="Arial"/>
                <w:sz w:val="16"/>
                <w:szCs w:val="16"/>
                <w:color w:val="auto"/>
                <w:vertAlign w:val="superscript"/>
              </w:rPr>
              <w:t>(2)</w:t>
            </w:r>
          </w:p>
        </w:tc>
        <w:tc>
          <w:tcPr>
            <w:tcW w:w="1420" w:type="dxa"/>
            <w:vAlign w:val="bottom"/>
          </w:tcPr>
          <w:p>
            <w:pPr>
              <w:spacing w:after="0"/>
              <w:rPr>
                <w:sz w:val="12"/>
                <w:szCs w:val="12"/>
                <w:color w:val="auto"/>
              </w:rPr>
            </w:pPr>
          </w:p>
        </w:tc>
        <w:tc>
          <w:tcPr>
            <w:tcW w:w="880" w:type="dxa"/>
            <w:vAlign w:val="bottom"/>
          </w:tcPr>
          <w:p>
            <w:pPr>
              <w:jc w:val="right"/>
              <w:ind w:right="115"/>
              <w:spacing w:after="0" w:line="144" w:lineRule="exact"/>
              <w:rPr>
                <w:sz w:val="20"/>
                <w:szCs w:val="20"/>
                <w:color w:val="auto"/>
              </w:rPr>
            </w:pPr>
            <w:r>
              <w:rPr>
                <w:rFonts w:ascii="Arial" w:cs="Arial" w:eastAsia="Arial" w:hAnsi="Arial"/>
                <w:sz w:val="13"/>
                <w:szCs w:val="13"/>
                <w:b w:val="1"/>
                <w:bCs w:val="1"/>
                <w:color w:val="auto"/>
              </w:rPr>
              <w:t>(190)</w:t>
            </w:r>
          </w:p>
        </w:tc>
        <w:tc>
          <w:tcPr>
            <w:tcW w:w="260" w:type="dxa"/>
            <w:vAlign w:val="bottom"/>
          </w:tcPr>
          <w:p>
            <w:pPr>
              <w:spacing w:after="0"/>
              <w:rPr>
                <w:sz w:val="12"/>
                <w:szCs w:val="12"/>
                <w:color w:val="auto"/>
              </w:rPr>
            </w:pPr>
          </w:p>
        </w:tc>
        <w:tc>
          <w:tcPr>
            <w:tcW w:w="880" w:type="dxa"/>
            <w:vAlign w:val="bottom"/>
          </w:tcPr>
          <w:p>
            <w:pPr>
              <w:jc w:val="right"/>
              <w:ind w:right="115"/>
              <w:spacing w:after="0" w:line="144" w:lineRule="exact"/>
              <w:rPr>
                <w:sz w:val="20"/>
                <w:szCs w:val="20"/>
                <w:color w:val="auto"/>
              </w:rPr>
            </w:pPr>
            <w:r>
              <w:rPr>
                <w:rFonts w:ascii="Arial" w:cs="Arial" w:eastAsia="Arial" w:hAnsi="Arial"/>
                <w:sz w:val="13"/>
                <w:szCs w:val="13"/>
                <w:color w:val="auto"/>
              </w:rPr>
              <w:t>(4)</w:t>
            </w:r>
          </w:p>
        </w:tc>
        <w:tc>
          <w:tcPr>
            <w:tcW w:w="260" w:type="dxa"/>
            <w:vAlign w:val="bottom"/>
          </w:tcPr>
          <w:p>
            <w:pPr>
              <w:spacing w:after="0"/>
              <w:rPr>
                <w:sz w:val="12"/>
                <w:szCs w:val="12"/>
                <w:color w:val="auto"/>
              </w:rPr>
            </w:pPr>
          </w:p>
        </w:tc>
        <w:tc>
          <w:tcPr>
            <w:tcW w:w="880" w:type="dxa"/>
            <w:vAlign w:val="bottom"/>
            <w:gridSpan w:val="2"/>
          </w:tcPr>
          <w:p>
            <w:pPr>
              <w:jc w:val="right"/>
              <w:ind w:right="200"/>
              <w:spacing w:after="0" w:line="144" w:lineRule="exact"/>
              <w:rPr>
                <w:sz w:val="20"/>
                <w:szCs w:val="20"/>
                <w:color w:val="auto"/>
              </w:rPr>
            </w:pPr>
            <w:r>
              <w:rPr>
                <w:rFonts w:ascii="Arial" w:cs="Arial" w:eastAsia="Arial" w:hAnsi="Arial"/>
                <w:sz w:val="13"/>
                <w:szCs w:val="13"/>
                <w:color w:val="auto"/>
              </w:rPr>
              <w:t>—</w:t>
            </w:r>
          </w:p>
        </w:tc>
      </w:tr>
      <w:tr>
        <w:trPr>
          <w:trHeight w:val="134"/>
        </w:trPr>
        <w:tc>
          <w:tcPr>
            <w:tcW w:w="4540" w:type="dxa"/>
            <w:vAlign w:val="bottom"/>
            <w:tcBorders>
              <w:top w:val="single" w:sz="8" w:color="auto"/>
              <w:bottom w:val="single" w:sz="8" w:color="auto"/>
            </w:tcBorders>
            <w:gridSpan w:val="2"/>
            <w:shd w:val="clear" w:color="auto" w:fill="CCEEFF"/>
          </w:tcPr>
          <w:p>
            <w:pPr>
              <w:spacing w:after="0" w:line="134" w:lineRule="exact"/>
              <w:rPr>
                <w:sz w:val="20"/>
                <w:szCs w:val="20"/>
                <w:color w:val="auto"/>
              </w:rPr>
            </w:pPr>
            <w:r>
              <w:rPr>
                <w:rFonts w:ascii="Arial" w:cs="Arial" w:eastAsia="Arial" w:hAnsi="Arial"/>
                <w:sz w:val="13"/>
                <w:szCs w:val="13"/>
                <w:color w:val="auto"/>
              </w:rPr>
              <w:t>Adjusted income before income taxes (non-GAAP)</w:t>
            </w:r>
          </w:p>
        </w:tc>
        <w:tc>
          <w:tcPr>
            <w:tcW w:w="1420" w:type="dxa"/>
            <w:vAlign w:val="bottom"/>
            <w:tcBorders>
              <w:top w:val="single" w:sz="8" w:color="auto"/>
              <w:bottom w:val="single" w:sz="8" w:color="auto"/>
            </w:tcBorders>
            <w:shd w:val="clear" w:color="auto" w:fill="CCEEFF"/>
          </w:tcPr>
          <w:p>
            <w:pPr>
              <w:jc w:val="right"/>
              <w:ind w:right="55"/>
              <w:spacing w:after="0" w:line="134" w:lineRule="exact"/>
              <w:rPr>
                <w:sz w:val="20"/>
                <w:szCs w:val="20"/>
                <w:color w:val="auto"/>
              </w:rPr>
            </w:pPr>
            <w:r>
              <w:rPr>
                <w:rFonts w:ascii="Arial" w:cs="Arial" w:eastAsia="Arial" w:hAnsi="Arial"/>
                <w:sz w:val="13"/>
                <w:szCs w:val="13"/>
                <w:b w:val="1"/>
                <w:bCs w:val="1"/>
                <w:color w:val="auto"/>
              </w:rPr>
              <w:t>$</w:t>
            </w:r>
          </w:p>
        </w:tc>
        <w:tc>
          <w:tcPr>
            <w:tcW w:w="880" w:type="dxa"/>
            <w:vAlign w:val="bottom"/>
            <w:tcBorders>
              <w:top w:val="single" w:sz="8" w:color="auto"/>
              <w:bottom w:val="single" w:sz="8" w:color="auto"/>
            </w:tcBorders>
            <w:shd w:val="clear" w:color="auto" w:fill="CCEEFF"/>
          </w:tcPr>
          <w:p>
            <w:pPr>
              <w:jc w:val="right"/>
              <w:ind w:right="155"/>
              <w:spacing w:after="0" w:line="134" w:lineRule="exact"/>
              <w:rPr>
                <w:sz w:val="20"/>
                <w:szCs w:val="20"/>
                <w:color w:val="auto"/>
              </w:rPr>
            </w:pPr>
            <w:r>
              <w:rPr>
                <w:rFonts w:ascii="Arial" w:cs="Arial" w:eastAsia="Arial" w:hAnsi="Arial"/>
                <w:sz w:val="13"/>
                <w:szCs w:val="13"/>
                <w:b w:val="1"/>
                <w:bCs w:val="1"/>
                <w:color w:val="auto"/>
              </w:rPr>
              <w:t>421</w:t>
            </w:r>
          </w:p>
        </w:tc>
        <w:tc>
          <w:tcPr>
            <w:tcW w:w="260" w:type="dxa"/>
            <w:vAlign w:val="bottom"/>
            <w:tcBorders>
              <w:top w:val="single" w:sz="8" w:color="auto"/>
              <w:bottom w:val="single" w:sz="8" w:color="auto"/>
            </w:tcBorders>
            <w:shd w:val="clear" w:color="auto" w:fill="CCEEFF"/>
          </w:tcPr>
          <w:p>
            <w:pPr>
              <w:jc w:val="right"/>
              <w:ind w:right="55"/>
              <w:spacing w:after="0" w:line="134" w:lineRule="exact"/>
              <w:rPr>
                <w:sz w:val="20"/>
                <w:szCs w:val="20"/>
                <w:color w:val="auto"/>
              </w:rPr>
            </w:pPr>
            <w:r>
              <w:rPr>
                <w:rFonts w:ascii="Arial" w:cs="Arial" w:eastAsia="Arial" w:hAnsi="Arial"/>
                <w:sz w:val="13"/>
                <w:szCs w:val="13"/>
                <w:color w:val="auto"/>
              </w:rPr>
              <w:t>$</w:t>
            </w:r>
          </w:p>
        </w:tc>
        <w:tc>
          <w:tcPr>
            <w:tcW w:w="880" w:type="dxa"/>
            <w:vAlign w:val="bottom"/>
            <w:tcBorders>
              <w:top w:val="single" w:sz="8" w:color="auto"/>
              <w:bottom w:val="single" w:sz="8" w:color="auto"/>
            </w:tcBorders>
            <w:shd w:val="clear" w:color="auto" w:fill="CCEEFF"/>
          </w:tcPr>
          <w:p>
            <w:pPr>
              <w:jc w:val="right"/>
              <w:ind w:right="155"/>
              <w:spacing w:after="0" w:line="134" w:lineRule="exact"/>
              <w:rPr>
                <w:sz w:val="20"/>
                <w:szCs w:val="20"/>
                <w:color w:val="auto"/>
              </w:rPr>
            </w:pPr>
            <w:r>
              <w:rPr>
                <w:rFonts w:ascii="Arial" w:cs="Arial" w:eastAsia="Arial" w:hAnsi="Arial"/>
                <w:sz w:val="13"/>
                <w:szCs w:val="13"/>
                <w:color w:val="auto"/>
              </w:rPr>
              <w:t>733</w:t>
            </w:r>
          </w:p>
        </w:tc>
        <w:tc>
          <w:tcPr>
            <w:tcW w:w="260" w:type="dxa"/>
            <w:vAlign w:val="bottom"/>
            <w:tcBorders>
              <w:top w:val="single" w:sz="8" w:color="auto"/>
              <w:bottom w:val="single" w:sz="8" w:color="auto"/>
            </w:tcBorders>
            <w:shd w:val="clear" w:color="auto" w:fill="CCEEFF"/>
          </w:tcPr>
          <w:p>
            <w:pPr>
              <w:jc w:val="right"/>
              <w:ind w:right="55"/>
              <w:spacing w:after="0" w:line="134" w:lineRule="exact"/>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750</w:t>
            </w:r>
          </w:p>
        </w:tc>
        <w:tc>
          <w:tcPr>
            <w:tcW w:w="160" w:type="dxa"/>
            <w:vAlign w:val="bottom"/>
            <w:tcBorders>
              <w:top w:val="single" w:sz="8" w:color="CCEEFF"/>
              <w:bottom w:val="single" w:sz="8" w:color="auto"/>
            </w:tcBorders>
            <w:shd w:val="clear" w:color="auto" w:fill="CCEEFF"/>
          </w:tcPr>
          <w:p>
            <w:pPr>
              <w:spacing w:after="0"/>
              <w:rPr>
                <w:sz w:val="11"/>
                <w:szCs w:val="11"/>
                <w:color w:val="auto"/>
              </w:rPr>
            </w:pPr>
          </w:p>
        </w:tc>
      </w:tr>
      <w:tr>
        <w:trPr>
          <w:trHeight w:val="20"/>
        </w:trPr>
        <w:tc>
          <w:tcPr>
            <w:tcW w:w="84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114"/>
        </w:trPr>
        <w:tc>
          <w:tcPr>
            <w:tcW w:w="840" w:type="dxa"/>
            <w:vAlign w:val="bottom"/>
          </w:tcPr>
          <w:p>
            <w:pPr>
              <w:spacing w:after="0"/>
              <w:rPr>
                <w:sz w:val="9"/>
                <w:szCs w:val="9"/>
                <w:color w:val="auto"/>
              </w:rPr>
            </w:pPr>
          </w:p>
        </w:tc>
        <w:tc>
          <w:tcPr>
            <w:tcW w:w="37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r>
      <w:tr>
        <w:trPr>
          <w:trHeight w:val="144"/>
        </w:trPr>
        <w:tc>
          <w:tcPr>
            <w:tcW w:w="45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Calculation of Earnings Before Interest and Taxes (EBIT):</w:t>
            </w:r>
          </w:p>
        </w:tc>
        <w:tc>
          <w:tcPr>
            <w:tcW w:w="14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4"/>
        </w:trPr>
        <w:tc>
          <w:tcPr>
            <w:tcW w:w="4540" w:type="dxa"/>
            <w:vAlign w:val="bottom"/>
            <w:gridSpan w:val="2"/>
          </w:tcPr>
          <w:p>
            <w:pPr>
              <w:spacing w:after="0" w:line="144" w:lineRule="exact"/>
              <w:rPr>
                <w:sz w:val="20"/>
                <w:szCs w:val="20"/>
                <w:color w:val="auto"/>
              </w:rPr>
            </w:pPr>
            <w:r>
              <w:rPr>
                <w:rFonts w:ascii="Arial" w:cs="Arial" w:eastAsia="Arial" w:hAnsi="Arial"/>
                <w:sz w:val="13"/>
                <w:szCs w:val="13"/>
                <w:color w:val="auto"/>
              </w:rPr>
              <w:t>Income before income taxes</w:t>
            </w:r>
          </w:p>
        </w:tc>
        <w:tc>
          <w:tcPr>
            <w:tcW w:w="1420" w:type="dxa"/>
            <w:vAlign w:val="bottom"/>
          </w:tcPr>
          <w:p>
            <w:pPr>
              <w:jc w:val="right"/>
              <w:ind w:right="55"/>
              <w:spacing w:after="0" w:line="144" w:lineRule="exact"/>
              <w:rPr>
                <w:sz w:val="20"/>
                <w:szCs w:val="20"/>
                <w:color w:val="auto"/>
              </w:rPr>
            </w:pPr>
            <w:r>
              <w:rPr>
                <w:rFonts w:ascii="Arial" w:cs="Arial" w:eastAsia="Arial" w:hAnsi="Arial"/>
                <w:sz w:val="13"/>
                <w:szCs w:val="13"/>
                <w:b w:val="1"/>
                <w:bCs w:val="1"/>
                <w:color w:val="auto"/>
              </w:rPr>
              <w:t>$</w:t>
            </w:r>
          </w:p>
        </w:tc>
        <w:tc>
          <w:tcPr>
            <w:tcW w:w="880" w:type="dxa"/>
            <w:vAlign w:val="bottom"/>
          </w:tcPr>
          <w:p>
            <w:pPr>
              <w:jc w:val="right"/>
              <w:ind w:right="155"/>
              <w:spacing w:after="0" w:line="144" w:lineRule="exact"/>
              <w:rPr>
                <w:sz w:val="20"/>
                <w:szCs w:val="20"/>
                <w:color w:val="auto"/>
              </w:rPr>
            </w:pPr>
            <w:r>
              <w:rPr>
                <w:rFonts w:ascii="Arial" w:cs="Arial" w:eastAsia="Arial" w:hAnsi="Arial"/>
                <w:sz w:val="13"/>
                <w:szCs w:val="13"/>
                <w:b w:val="1"/>
                <w:bCs w:val="1"/>
                <w:color w:val="auto"/>
              </w:rPr>
              <w:t>494</w:t>
            </w:r>
          </w:p>
        </w:tc>
        <w:tc>
          <w:tcPr>
            <w:tcW w:w="260" w:type="dxa"/>
            <w:vAlign w:val="bottom"/>
          </w:tcPr>
          <w:p>
            <w:pPr>
              <w:jc w:val="right"/>
              <w:ind w:right="55"/>
              <w:spacing w:after="0" w:line="144"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155"/>
              <w:spacing w:after="0" w:line="144" w:lineRule="exact"/>
              <w:rPr>
                <w:sz w:val="20"/>
                <w:szCs w:val="20"/>
                <w:color w:val="auto"/>
              </w:rPr>
            </w:pPr>
            <w:r>
              <w:rPr>
                <w:rFonts w:ascii="Arial" w:cs="Arial" w:eastAsia="Arial" w:hAnsi="Arial"/>
                <w:sz w:val="13"/>
                <w:szCs w:val="13"/>
                <w:color w:val="auto"/>
              </w:rPr>
              <w:t>672</w:t>
            </w:r>
          </w:p>
        </w:tc>
        <w:tc>
          <w:tcPr>
            <w:tcW w:w="260" w:type="dxa"/>
            <w:vAlign w:val="bottom"/>
          </w:tcPr>
          <w:p>
            <w:pPr>
              <w:jc w:val="right"/>
              <w:ind w:right="55"/>
              <w:spacing w:after="0" w:line="144"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4" w:lineRule="exact"/>
              <w:rPr>
                <w:sz w:val="20"/>
                <w:szCs w:val="20"/>
                <w:color w:val="auto"/>
              </w:rPr>
            </w:pPr>
            <w:r>
              <w:rPr>
                <w:rFonts w:ascii="Arial" w:cs="Arial" w:eastAsia="Arial" w:hAnsi="Arial"/>
                <w:sz w:val="13"/>
                <w:szCs w:val="13"/>
                <w:color w:val="auto"/>
              </w:rPr>
              <w:t>713</w:t>
            </w:r>
          </w:p>
        </w:tc>
        <w:tc>
          <w:tcPr>
            <w:tcW w:w="160" w:type="dxa"/>
            <w:vAlign w:val="bottom"/>
          </w:tcPr>
          <w:p>
            <w:pPr>
              <w:spacing w:after="0"/>
              <w:rPr>
                <w:sz w:val="12"/>
                <w:szCs w:val="12"/>
                <w:color w:val="auto"/>
              </w:rPr>
            </w:pPr>
          </w:p>
        </w:tc>
      </w:tr>
      <w:tr>
        <w:trPr>
          <w:trHeight w:val="144"/>
        </w:trPr>
        <w:tc>
          <w:tcPr>
            <w:tcW w:w="4540" w:type="dxa"/>
            <w:vAlign w:val="bottom"/>
            <w:tcBorders>
              <w:bottom w:val="single" w:sz="8" w:color="auto"/>
            </w:tcBorders>
            <w:gridSpan w:val="2"/>
            <w:shd w:val="clear" w:color="auto" w:fill="CCEEFF"/>
          </w:tcPr>
          <w:p>
            <w:pPr>
              <w:spacing w:after="0" w:line="144" w:lineRule="exact"/>
              <w:rPr>
                <w:sz w:val="20"/>
                <w:szCs w:val="20"/>
                <w:color w:val="auto"/>
              </w:rPr>
            </w:pPr>
            <w:r>
              <w:rPr>
                <w:rFonts w:ascii="Arial" w:cs="Arial" w:eastAsia="Arial" w:hAnsi="Arial"/>
                <w:sz w:val="13"/>
                <w:szCs w:val="13"/>
                <w:color w:val="auto"/>
              </w:rPr>
              <w:t>Interest (expense)/income, net</w:t>
            </w:r>
          </w:p>
        </w:tc>
        <w:tc>
          <w:tcPr>
            <w:tcW w:w="14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115"/>
              <w:spacing w:after="0" w:line="144" w:lineRule="exact"/>
              <w:rPr>
                <w:sz w:val="20"/>
                <w:szCs w:val="20"/>
                <w:color w:val="auto"/>
              </w:rPr>
            </w:pPr>
            <w:r>
              <w:rPr>
                <w:rFonts w:ascii="Arial" w:cs="Arial" w:eastAsia="Arial" w:hAnsi="Arial"/>
                <w:sz w:val="13"/>
                <w:szCs w:val="13"/>
                <w:b w:val="1"/>
                <w:bCs w:val="1"/>
                <w:color w:val="auto"/>
              </w:rPr>
              <w:t>(7)</w:t>
            </w: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155"/>
              <w:spacing w:after="0" w:line="144" w:lineRule="exact"/>
              <w:rPr>
                <w:sz w:val="20"/>
                <w:szCs w:val="20"/>
                <w:color w:val="auto"/>
              </w:rPr>
            </w:pPr>
            <w:r>
              <w:rPr>
                <w:rFonts w:ascii="Arial" w:cs="Arial" w:eastAsia="Arial" w:hAnsi="Arial"/>
                <w:sz w:val="13"/>
                <w:szCs w:val="13"/>
                <w:color w:val="auto"/>
              </w:rPr>
              <w:t>11</w:t>
            </w:r>
          </w:p>
        </w:tc>
        <w:tc>
          <w:tcPr>
            <w:tcW w:w="2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9</w:t>
            </w:r>
          </w:p>
        </w:tc>
        <w:tc>
          <w:tcPr>
            <w:tcW w:w="160" w:type="dxa"/>
            <w:vAlign w:val="bottom"/>
            <w:tcBorders>
              <w:bottom w:val="single" w:sz="8" w:color="auto"/>
            </w:tcBorders>
            <w:shd w:val="clear" w:color="auto" w:fill="CCEEFF"/>
          </w:tcPr>
          <w:p>
            <w:pPr>
              <w:spacing w:after="0"/>
              <w:rPr>
                <w:sz w:val="12"/>
                <w:szCs w:val="12"/>
                <w:color w:val="auto"/>
              </w:rPr>
            </w:pPr>
          </w:p>
        </w:tc>
      </w:tr>
      <w:tr>
        <w:trPr>
          <w:trHeight w:val="134"/>
        </w:trPr>
        <w:tc>
          <w:tcPr>
            <w:tcW w:w="4540" w:type="dxa"/>
            <w:vAlign w:val="bottom"/>
            <w:tcBorders>
              <w:bottom w:val="single" w:sz="8" w:color="auto"/>
            </w:tcBorders>
            <w:gridSpan w:val="2"/>
          </w:tcPr>
          <w:p>
            <w:pPr>
              <w:spacing w:after="0" w:line="134" w:lineRule="exact"/>
              <w:rPr>
                <w:sz w:val="20"/>
                <w:szCs w:val="20"/>
                <w:color w:val="auto"/>
              </w:rPr>
            </w:pPr>
            <w:r>
              <w:rPr>
                <w:rFonts w:ascii="Arial" w:cs="Arial" w:eastAsia="Arial" w:hAnsi="Arial"/>
                <w:sz w:val="13"/>
                <w:szCs w:val="13"/>
                <w:color w:val="auto"/>
              </w:rPr>
              <w:t>EBIT</w:t>
            </w:r>
          </w:p>
        </w:tc>
        <w:tc>
          <w:tcPr>
            <w:tcW w:w="1420" w:type="dxa"/>
            <w:vAlign w:val="bottom"/>
            <w:tcBorders>
              <w:bottom w:val="single" w:sz="8" w:color="auto"/>
            </w:tcBorders>
          </w:tcPr>
          <w:p>
            <w:pPr>
              <w:jc w:val="right"/>
              <w:ind w:right="55"/>
              <w:spacing w:after="0" w:line="134" w:lineRule="exact"/>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ind w:right="155"/>
              <w:spacing w:after="0" w:line="134" w:lineRule="exact"/>
              <w:rPr>
                <w:sz w:val="20"/>
                <w:szCs w:val="20"/>
                <w:color w:val="auto"/>
              </w:rPr>
            </w:pPr>
            <w:r>
              <w:rPr>
                <w:rFonts w:ascii="Arial" w:cs="Arial" w:eastAsia="Arial" w:hAnsi="Arial"/>
                <w:sz w:val="13"/>
                <w:szCs w:val="13"/>
                <w:b w:val="1"/>
                <w:bCs w:val="1"/>
                <w:color w:val="auto"/>
              </w:rPr>
              <w:t>501</w:t>
            </w:r>
          </w:p>
        </w:tc>
        <w:tc>
          <w:tcPr>
            <w:tcW w:w="260" w:type="dxa"/>
            <w:vAlign w:val="bottom"/>
            <w:tcBorders>
              <w:bottom w:val="single" w:sz="8" w:color="auto"/>
            </w:tcBorders>
          </w:tcPr>
          <w:p>
            <w:pPr>
              <w:jc w:val="right"/>
              <w:ind w:right="55"/>
              <w:spacing w:after="0" w:line="134"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155"/>
              <w:spacing w:after="0" w:line="134" w:lineRule="exact"/>
              <w:rPr>
                <w:sz w:val="20"/>
                <w:szCs w:val="20"/>
                <w:color w:val="auto"/>
              </w:rPr>
            </w:pPr>
            <w:r>
              <w:rPr>
                <w:rFonts w:ascii="Arial" w:cs="Arial" w:eastAsia="Arial" w:hAnsi="Arial"/>
                <w:sz w:val="13"/>
                <w:szCs w:val="13"/>
                <w:color w:val="auto"/>
              </w:rPr>
              <w:t>661</w:t>
            </w:r>
          </w:p>
        </w:tc>
        <w:tc>
          <w:tcPr>
            <w:tcW w:w="260" w:type="dxa"/>
            <w:vAlign w:val="bottom"/>
            <w:tcBorders>
              <w:bottom w:val="single" w:sz="8" w:color="auto"/>
            </w:tcBorders>
          </w:tcPr>
          <w:p>
            <w:pPr>
              <w:jc w:val="right"/>
              <w:ind w:right="55"/>
              <w:spacing w:after="0" w:line="134"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704</w:t>
            </w:r>
          </w:p>
        </w:tc>
        <w:tc>
          <w:tcPr>
            <w:tcW w:w="160" w:type="dxa"/>
            <w:vAlign w:val="bottom"/>
            <w:tcBorders>
              <w:bottom w:val="single" w:sz="8" w:color="auto"/>
            </w:tcBorders>
          </w:tcPr>
          <w:p>
            <w:pPr>
              <w:spacing w:after="0"/>
              <w:rPr>
                <w:sz w:val="11"/>
                <w:szCs w:val="11"/>
                <w:color w:val="auto"/>
              </w:rPr>
            </w:pPr>
          </w:p>
        </w:tc>
      </w:tr>
      <w:tr>
        <w:trPr>
          <w:trHeight w:val="134"/>
        </w:trPr>
        <w:tc>
          <w:tcPr>
            <w:tcW w:w="840" w:type="dxa"/>
            <w:vAlign w:val="bottom"/>
            <w:shd w:val="clear" w:color="auto" w:fill="CCEEFF"/>
          </w:tcPr>
          <w:p>
            <w:pPr>
              <w:spacing w:after="0"/>
              <w:rPr>
                <w:sz w:val="11"/>
                <w:szCs w:val="11"/>
                <w:color w:val="auto"/>
              </w:rPr>
            </w:pPr>
          </w:p>
        </w:tc>
        <w:tc>
          <w:tcPr>
            <w:tcW w:w="37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4"/>
        </w:trPr>
        <w:tc>
          <w:tcPr>
            <w:tcW w:w="4540" w:type="dxa"/>
            <w:vAlign w:val="bottom"/>
            <w:gridSpan w:val="2"/>
          </w:tcPr>
          <w:p>
            <w:pPr>
              <w:spacing w:after="0" w:line="144" w:lineRule="exact"/>
              <w:rPr>
                <w:sz w:val="20"/>
                <w:szCs w:val="20"/>
                <w:color w:val="auto"/>
              </w:rPr>
            </w:pPr>
            <w:r>
              <w:rPr>
                <w:rFonts w:ascii="Arial" w:cs="Arial" w:eastAsia="Arial" w:hAnsi="Arial"/>
                <w:sz w:val="13"/>
                <w:szCs w:val="13"/>
                <w:color w:val="auto"/>
              </w:rPr>
              <w:t>Adjusted income before income taxes</w:t>
            </w:r>
          </w:p>
        </w:tc>
        <w:tc>
          <w:tcPr>
            <w:tcW w:w="1420" w:type="dxa"/>
            <w:vAlign w:val="bottom"/>
          </w:tcPr>
          <w:p>
            <w:pPr>
              <w:jc w:val="right"/>
              <w:ind w:right="55"/>
              <w:spacing w:after="0" w:line="144" w:lineRule="exact"/>
              <w:rPr>
                <w:sz w:val="20"/>
                <w:szCs w:val="20"/>
                <w:color w:val="auto"/>
              </w:rPr>
            </w:pPr>
            <w:r>
              <w:rPr>
                <w:rFonts w:ascii="Arial" w:cs="Arial" w:eastAsia="Arial" w:hAnsi="Arial"/>
                <w:sz w:val="13"/>
                <w:szCs w:val="13"/>
                <w:b w:val="1"/>
                <w:bCs w:val="1"/>
                <w:color w:val="auto"/>
              </w:rPr>
              <w:t>$</w:t>
            </w:r>
          </w:p>
        </w:tc>
        <w:tc>
          <w:tcPr>
            <w:tcW w:w="880" w:type="dxa"/>
            <w:vAlign w:val="bottom"/>
          </w:tcPr>
          <w:p>
            <w:pPr>
              <w:jc w:val="right"/>
              <w:ind w:right="155"/>
              <w:spacing w:after="0" w:line="144" w:lineRule="exact"/>
              <w:rPr>
                <w:sz w:val="20"/>
                <w:szCs w:val="20"/>
                <w:color w:val="auto"/>
              </w:rPr>
            </w:pPr>
            <w:r>
              <w:rPr>
                <w:rFonts w:ascii="Arial" w:cs="Arial" w:eastAsia="Arial" w:hAnsi="Arial"/>
                <w:sz w:val="13"/>
                <w:szCs w:val="13"/>
                <w:b w:val="1"/>
                <w:bCs w:val="1"/>
                <w:color w:val="auto"/>
              </w:rPr>
              <w:t>421</w:t>
            </w:r>
          </w:p>
        </w:tc>
        <w:tc>
          <w:tcPr>
            <w:tcW w:w="260" w:type="dxa"/>
            <w:vAlign w:val="bottom"/>
          </w:tcPr>
          <w:p>
            <w:pPr>
              <w:jc w:val="right"/>
              <w:ind w:right="55"/>
              <w:spacing w:after="0" w:line="144"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155"/>
              <w:spacing w:after="0" w:line="144" w:lineRule="exact"/>
              <w:rPr>
                <w:sz w:val="20"/>
                <w:szCs w:val="20"/>
                <w:color w:val="auto"/>
              </w:rPr>
            </w:pPr>
            <w:r>
              <w:rPr>
                <w:rFonts w:ascii="Arial" w:cs="Arial" w:eastAsia="Arial" w:hAnsi="Arial"/>
                <w:sz w:val="13"/>
                <w:szCs w:val="13"/>
                <w:color w:val="auto"/>
              </w:rPr>
              <w:t>733</w:t>
            </w:r>
          </w:p>
        </w:tc>
        <w:tc>
          <w:tcPr>
            <w:tcW w:w="260" w:type="dxa"/>
            <w:vAlign w:val="bottom"/>
          </w:tcPr>
          <w:p>
            <w:pPr>
              <w:jc w:val="right"/>
              <w:ind w:right="55"/>
              <w:spacing w:after="0" w:line="144"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44" w:lineRule="exact"/>
              <w:rPr>
                <w:sz w:val="20"/>
                <w:szCs w:val="20"/>
                <w:color w:val="auto"/>
              </w:rPr>
            </w:pPr>
            <w:r>
              <w:rPr>
                <w:rFonts w:ascii="Arial" w:cs="Arial" w:eastAsia="Arial" w:hAnsi="Arial"/>
                <w:sz w:val="13"/>
                <w:szCs w:val="13"/>
                <w:color w:val="auto"/>
              </w:rPr>
              <w:t>750</w:t>
            </w:r>
          </w:p>
        </w:tc>
        <w:tc>
          <w:tcPr>
            <w:tcW w:w="160" w:type="dxa"/>
            <w:vAlign w:val="bottom"/>
          </w:tcPr>
          <w:p>
            <w:pPr>
              <w:spacing w:after="0"/>
              <w:rPr>
                <w:sz w:val="12"/>
                <w:szCs w:val="12"/>
                <w:color w:val="auto"/>
              </w:rPr>
            </w:pPr>
          </w:p>
        </w:tc>
      </w:tr>
      <w:tr>
        <w:trPr>
          <w:trHeight w:val="144"/>
        </w:trPr>
        <w:tc>
          <w:tcPr>
            <w:tcW w:w="4540" w:type="dxa"/>
            <w:vAlign w:val="bottom"/>
            <w:tcBorders>
              <w:bottom w:val="single" w:sz="8" w:color="auto"/>
            </w:tcBorders>
            <w:gridSpan w:val="2"/>
            <w:shd w:val="clear" w:color="auto" w:fill="CCEEFF"/>
          </w:tcPr>
          <w:p>
            <w:pPr>
              <w:spacing w:after="0" w:line="144" w:lineRule="exact"/>
              <w:rPr>
                <w:sz w:val="20"/>
                <w:szCs w:val="20"/>
                <w:color w:val="auto"/>
              </w:rPr>
            </w:pPr>
            <w:r>
              <w:rPr>
                <w:rFonts w:ascii="Arial" w:cs="Arial" w:eastAsia="Arial" w:hAnsi="Arial"/>
                <w:sz w:val="13"/>
                <w:szCs w:val="13"/>
                <w:color w:val="auto"/>
              </w:rPr>
              <w:t>Interest (expense)/income, net</w:t>
            </w:r>
          </w:p>
        </w:tc>
        <w:tc>
          <w:tcPr>
            <w:tcW w:w="14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115"/>
              <w:spacing w:after="0" w:line="144" w:lineRule="exact"/>
              <w:rPr>
                <w:sz w:val="20"/>
                <w:szCs w:val="20"/>
                <w:color w:val="auto"/>
              </w:rPr>
            </w:pPr>
            <w:r>
              <w:rPr>
                <w:rFonts w:ascii="Arial" w:cs="Arial" w:eastAsia="Arial" w:hAnsi="Arial"/>
                <w:sz w:val="13"/>
                <w:szCs w:val="13"/>
                <w:b w:val="1"/>
                <w:bCs w:val="1"/>
                <w:color w:val="auto"/>
              </w:rPr>
              <w:t>(7)</w:t>
            </w: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ind w:right="155"/>
              <w:spacing w:after="0" w:line="144" w:lineRule="exact"/>
              <w:rPr>
                <w:sz w:val="20"/>
                <w:szCs w:val="20"/>
                <w:color w:val="auto"/>
              </w:rPr>
            </w:pPr>
            <w:r>
              <w:rPr>
                <w:rFonts w:ascii="Arial" w:cs="Arial" w:eastAsia="Arial" w:hAnsi="Arial"/>
                <w:sz w:val="13"/>
                <w:szCs w:val="13"/>
                <w:color w:val="auto"/>
              </w:rPr>
              <w:t>11</w:t>
            </w:r>
          </w:p>
        </w:tc>
        <w:tc>
          <w:tcPr>
            <w:tcW w:w="2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9</w:t>
            </w:r>
          </w:p>
        </w:tc>
        <w:tc>
          <w:tcPr>
            <w:tcW w:w="160" w:type="dxa"/>
            <w:vAlign w:val="bottom"/>
            <w:tcBorders>
              <w:bottom w:val="single" w:sz="8" w:color="auto"/>
            </w:tcBorders>
            <w:shd w:val="clear" w:color="auto" w:fill="CCEEFF"/>
          </w:tcPr>
          <w:p>
            <w:pPr>
              <w:spacing w:after="0"/>
              <w:rPr>
                <w:sz w:val="12"/>
                <w:szCs w:val="12"/>
                <w:color w:val="auto"/>
              </w:rPr>
            </w:pPr>
          </w:p>
        </w:tc>
      </w:tr>
      <w:tr>
        <w:trPr>
          <w:trHeight w:val="134"/>
        </w:trPr>
        <w:tc>
          <w:tcPr>
            <w:tcW w:w="4540" w:type="dxa"/>
            <w:vAlign w:val="bottom"/>
            <w:tcBorders>
              <w:bottom w:val="single" w:sz="8" w:color="auto"/>
            </w:tcBorders>
            <w:gridSpan w:val="2"/>
          </w:tcPr>
          <w:p>
            <w:pPr>
              <w:spacing w:after="0" w:line="134" w:lineRule="exact"/>
              <w:rPr>
                <w:sz w:val="20"/>
                <w:szCs w:val="20"/>
                <w:color w:val="auto"/>
              </w:rPr>
            </w:pPr>
            <w:r>
              <w:rPr>
                <w:rFonts w:ascii="Arial" w:cs="Arial" w:eastAsia="Arial" w:hAnsi="Arial"/>
                <w:sz w:val="13"/>
                <w:szCs w:val="13"/>
                <w:color w:val="auto"/>
              </w:rPr>
              <w:t>Adjusted EBIT (non-GAAP)</w:t>
            </w:r>
          </w:p>
        </w:tc>
        <w:tc>
          <w:tcPr>
            <w:tcW w:w="1420" w:type="dxa"/>
            <w:vAlign w:val="bottom"/>
            <w:tcBorders>
              <w:bottom w:val="single" w:sz="8" w:color="auto"/>
            </w:tcBorders>
          </w:tcPr>
          <w:p>
            <w:pPr>
              <w:jc w:val="right"/>
              <w:ind w:right="55"/>
              <w:spacing w:after="0" w:line="134" w:lineRule="exact"/>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tcPr>
          <w:p>
            <w:pPr>
              <w:jc w:val="right"/>
              <w:ind w:right="155"/>
              <w:spacing w:after="0" w:line="134" w:lineRule="exact"/>
              <w:rPr>
                <w:sz w:val="20"/>
                <w:szCs w:val="20"/>
                <w:color w:val="auto"/>
              </w:rPr>
            </w:pPr>
            <w:r>
              <w:rPr>
                <w:rFonts w:ascii="Arial" w:cs="Arial" w:eastAsia="Arial" w:hAnsi="Arial"/>
                <w:sz w:val="13"/>
                <w:szCs w:val="13"/>
                <w:b w:val="1"/>
                <w:bCs w:val="1"/>
                <w:color w:val="auto"/>
              </w:rPr>
              <w:t>428</w:t>
            </w:r>
          </w:p>
        </w:tc>
        <w:tc>
          <w:tcPr>
            <w:tcW w:w="260" w:type="dxa"/>
            <w:vAlign w:val="bottom"/>
            <w:tcBorders>
              <w:bottom w:val="single" w:sz="8" w:color="auto"/>
            </w:tcBorders>
          </w:tcPr>
          <w:p>
            <w:pPr>
              <w:jc w:val="right"/>
              <w:ind w:right="55"/>
              <w:spacing w:after="0" w:line="134"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tcPr>
          <w:p>
            <w:pPr>
              <w:jc w:val="right"/>
              <w:ind w:right="155"/>
              <w:spacing w:after="0" w:line="134" w:lineRule="exact"/>
              <w:rPr>
                <w:sz w:val="20"/>
                <w:szCs w:val="20"/>
                <w:color w:val="auto"/>
              </w:rPr>
            </w:pPr>
            <w:r>
              <w:rPr>
                <w:rFonts w:ascii="Arial" w:cs="Arial" w:eastAsia="Arial" w:hAnsi="Arial"/>
                <w:sz w:val="13"/>
                <w:szCs w:val="13"/>
                <w:color w:val="auto"/>
              </w:rPr>
              <w:t>722</w:t>
            </w:r>
          </w:p>
        </w:tc>
        <w:tc>
          <w:tcPr>
            <w:tcW w:w="260" w:type="dxa"/>
            <w:vAlign w:val="bottom"/>
            <w:tcBorders>
              <w:bottom w:val="single" w:sz="8" w:color="auto"/>
            </w:tcBorders>
          </w:tcPr>
          <w:p>
            <w:pPr>
              <w:jc w:val="right"/>
              <w:ind w:right="55"/>
              <w:spacing w:after="0" w:line="134"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741</w:t>
            </w:r>
          </w:p>
        </w:tc>
        <w:tc>
          <w:tcPr>
            <w:tcW w:w="160" w:type="dxa"/>
            <w:vAlign w:val="bottom"/>
            <w:tcBorders>
              <w:bottom w:val="single" w:sz="8" w:color="auto"/>
            </w:tcBorders>
          </w:tcPr>
          <w:p>
            <w:pPr>
              <w:spacing w:after="0"/>
              <w:rPr>
                <w:sz w:val="11"/>
                <w:szCs w:val="11"/>
                <w:color w:val="auto"/>
              </w:rPr>
            </w:pPr>
          </w:p>
        </w:tc>
      </w:tr>
      <w:tr>
        <w:trPr>
          <w:trHeight w:val="134"/>
        </w:trPr>
        <w:tc>
          <w:tcPr>
            <w:tcW w:w="840" w:type="dxa"/>
            <w:vAlign w:val="bottom"/>
            <w:shd w:val="clear" w:color="auto" w:fill="CCEEFF"/>
          </w:tcPr>
          <w:p>
            <w:pPr>
              <w:spacing w:after="0"/>
              <w:rPr>
                <w:sz w:val="11"/>
                <w:szCs w:val="11"/>
                <w:color w:val="auto"/>
              </w:rPr>
            </w:pPr>
          </w:p>
        </w:tc>
        <w:tc>
          <w:tcPr>
            <w:tcW w:w="370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4"/>
        </w:trPr>
        <w:tc>
          <w:tcPr>
            <w:tcW w:w="4540" w:type="dxa"/>
            <w:vAlign w:val="bottom"/>
            <w:gridSpan w:val="2"/>
          </w:tcPr>
          <w:p>
            <w:pPr>
              <w:spacing w:after="0" w:line="144" w:lineRule="exact"/>
              <w:rPr>
                <w:sz w:val="20"/>
                <w:szCs w:val="20"/>
                <w:color w:val="auto"/>
              </w:rPr>
            </w:pPr>
            <w:r>
              <w:rPr>
                <w:rFonts w:ascii="Arial" w:cs="Arial" w:eastAsia="Arial" w:hAnsi="Arial"/>
                <w:sz w:val="13"/>
                <w:szCs w:val="13"/>
                <w:color w:val="auto"/>
              </w:rPr>
              <w:t>EBIT margin %</w:t>
            </w:r>
          </w:p>
        </w:tc>
        <w:tc>
          <w:tcPr>
            <w:tcW w:w="1420" w:type="dxa"/>
            <w:vAlign w:val="bottom"/>
          </w:tcPr>
          <w:p>
            <w:pPr>
              <w:spacing w:after="0"/>
              <w:rPr>
                <w:sz w:val="12"/>
                <w:szCs w:val="12"/>
                <w:color w:val="auto"/>
              </w:rPr>
            </w:pPr>
          </w:p>
        </w:tc>
        <w:tc>
          <w:tcPr>
            <w:tcW w:w="88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6.6 %</w:t>
            </w:r>
          </w:p>
        </w:tc>
        <w:tc>
          <w:tcPr>
            <w:tcW w:w="260" w:type="dxa"/>
            <w:vAlign w:val="bottom"/>
          </w:tcPr>
          <w:p>
            <w:pPr>
              <w:spacing w:after="0"/>
              <w:rPr>
                <w:sz w:val="12"/>
                <w:szCs w:val="12"/>
                <w:color w:val="auto"/>
              </w:rPr>
            </w:pPr>
          </w:p>
        </w:tc>
        <w:tc>
          <w:tcPr>
            <w:tcW w:w="880" w:type="dxa"/>
            <w:vAlign w:val="bottom"/>
          </w:tcPr>
          <w:p>
            <w:pPr>
              <w:jc w:val="right"/>
              <w:spacing w:after="0" w:line="144" w:lineRule="exact"/>
              <w:rPr>
                <w:sz w:val="20"/>
                <w:szCs w:val="20"/>
                <w:color w:val="auto"/>
              </w:rPr>
            </w:pPr>
            <w:r>
              <w:rPr>
                <w:rFonts w:ascii="Arial" w:cs="Arial" w:eastAsia="Arial" w:hAnsi="Arial"/>
                <w:sz w:val="13"/>
                <w:szCs w:val="13"/>
                <w:color w:val="auto"/>
              </w:rPr>
              <w:t>8.3 %</w:t>
            </w:r>
          </w:p>
        </w:tc>
        <w:tc>
          <w:tcPr>
            <w:tcW w:w="260" w:type="dxa"/>
            <w:vAlign w:val="bottom"/>
          </w:tcPr>
          <w:p>
            <w:pPr>
              <w:spacing w:after="0"/>
              <w:rPr>
                <w:sz w:val="12"/>
                <w:szCs w:val="12"/>
                <w:color w:val="auto"/>
              </w:rPr>
            </w:pPr>
          </w:p>
        </w:tc>
        <w:tc>
          <w:tcPr>
            <w:tcW w:w="88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8.9 %</w:t>
            </w:r>
          </w:p>
        </w:tc>
      </w:tr>
      <w:tr>
        <w:trPr>
          <w:trHeight w:val="144"/>
        </w:trPr>
        <w:tc>
          <w:tcPr>
            <w:tcW w:w="4540" w:type="dxa"/>
            <w:vAlign w:val="bottom"/>
            <w:tcBorders>
              <w:bottom w:val="single" w:sz="8" w:color="auto"/>
            </w:tcBorders>
            <w:gridSpan w:val="2"/>
            <w:shd w:val="clear" w:color="auto" w:fill="CCEEFF"/>
          </w:tcPr>
          <w:p>
            <w:pPr>
              <w:spacing w:after="0" w:line="144" w:lineRule="exact"/>
              <w:rPr>
                <w:sz w:val="20"/>
                <w:szCs w:val="20"/>
                <w:color w:val="auto"/>
              </w:rPr>
            </w:pPr>
            <w:r>
              <w:rPr>
                <w:rFonts w:ascii="Arial" w:cs="Arial" w:eastAsia="Arial" w:hAnsi="Arial"/>
                <w:sz w:val="13"/>
                <w:szCs w:val="13"/>
                <w:color w:val="auto"/>
              </w:rPr>
              <w:t>Adjusted EBIT margin %</w:t>
            </w:r>
          </w:p>
        </w:tc>
        <w:tc>
          <w:tcPr>
            <w:tcW w:w="142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5.7 %</w:t>
            </w: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9.0 %</w:t>
            </w: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9.3 %</w:t>
            </w:r>
          </w:p>
        </w:tc>
      </w:tr>
    </w:tbl>
    <w:p>
      <w:pPr>
        <w:spacing w:after="0" w:line="200" w:lineRule="exact"/>
        <w:rPr>
          <w:sz w:val="20"/>
          <w:szCs w:val="20"/>
          <w:color w:val="auto"/>
        </w:rPr>
      </w:pPr>
    </w:p>
    <w:p>
      <w:pPr>
        <w:spacing w:after="0" w:line="360" w:lineRule="exact"/>
        <w:rPr>
          <w:sz w:val="20"/>
          <w:szCs w:val="20"/>
          <w:color w:val="auto"/>
        </w:rPr>
      </w:pPr>
    </w:p>
    <w:p>
      <w:pPr>
        <w:ind w:left="7660"/>
        <w:spacing w:after="0"/>
        <w:rPr>
          <w:sz w:val="20"/>
          <w:szCs w:val="20"/>
          <w:color w:val="auto"/>
        </w:rPr>
      </w:pPr>
      <w:r>
        <w:rPr>
          <w:rFonts w:ascii="Arial" w:cs="Arial" w:eastAsia="Arial" w:hAnsi="Arial"/>
          <w:sz w:val="12"/>
          <w:szCs w:val="12"/>
          <w:color w:val="auto"/>
        </w:rPr>
        <w:t>2020 Form 10-K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365125</wp:posOffset>
            </wp:positionV>
            <wp:extent cx="5790565" cy="13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90565" cy="13335"/>
                    </a:xfrm>
                    <a:prstGeom prst="rect">
                      <a:avLst/>
                    </a:prstGeom>
                    <a:noFill/>
                  </pic:spPr>
                </pic:pic>
              </a:graphicData>
            </a:graphic>
          </wp:anchor>
        </w:drawing>
      </w:r>
    </w:p>
    <w:p>
      <w:pPr>
        <w:sectPr>
          <w:pgSz w:w="11900" w:h="16838" w:orient="portrait"/>
          <w:cols w:equalWidth="0" w:num="1">
            <w:col w:w="9159"/>
          </w:cols>
          <w:pgMar w:left="1300" w:top="678" w:right="1440" w:bottom="1440" w:gutter="0" w:footer="0" w:header="0"/>
        </w:sectPr>
      </w:pPr>
    </w:p>
    <w:bookmarkStart w:id="22" w:name="page23"/>
    <w:bookmarkEnd w:id="22"/>
    <w:tbl>
      <w:tblPr>
        <w:tblLayout w:type="fixed"/>
        <w:tblInd w:w="3" w:type="dxa"/>
        <w:tblCellMar>
          <w:top w:w="0" w:type="dxa"/>
          <w:left w:w="0" w:type="dxa"/>
          <w:bottom w:w="0" w:type="dxa"/>
          <w:right w:w="0" w:type="dxa"/>
        </w:tblCellMar>
      </w:tblPr>
      <w:tr>
        <w:trPr>
          <w:trHeight w:val="164"/>
        </w:trPr>
        <w:tc>
          <w:tcPr>
            <w:tcW w:w="55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 in millions)</w:t>
            </w:r>
          </w:p>
        </w:tc>
        <w:tc>
          <w:tcPr>
            <w:tcW w:w="4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15"/>
              <w:spacing w:after="0"/>
              <w:rPr>
                <w:sz w:val="20"/>
                <w:szCs w:val="20"/>
                <w:color w:val="auto"/>
              </w:rPr>
            </w:pPr>
            <w:r>
              <w:rPr>
                <w:rFonts w:ascii="Arial" w:cs="Arial" w:eastAsia="Arial" w:hAnsi="Arial"/>
                <w:sz w:val="13"/>
                <w:szCs w:val="13"/>
                <w:b w:val="1"/>
                <w:bCs w:val="1"/>
                <w:color w:val="auto"/>
              </w:rPr>
              <w:t>2020</w:t>
            </w: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15"/>
              <w:spacing w:after="0"/>
              <w:rPr>
                <w:sz w:val="20"/>
                <w:szCs w:val="20"/>
                <w:color w:val="auto"/>
              </w:rPr>
            </w:pPr>
            <w:r>
              <w:rPr>
                <w:rFonts w:ascii="Arial" w:cs="Arial" w:eastAsia="Arial" w:hAnsi="Arial"/>
                <w:sz w:val="13"/>
                <w:szCs w:val="13"/>
                <w:color w:val="auto"/>
              </w:rPr>
              <w:t>2019</w:t>
            </w:r>
          </w:p>
        </w:tc>
        <w:tc>
          <w:tcPr>
            <w:tcW w:w="2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color w:val="auto"/>
              </w:rPr>
              <w:t>2018</w:t>
            </w:r>
          </w:p>
        </w:tc>
        <w:tc>
          <w:tcPr>
            <w:tcW w:w="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5560" w:type="dxa"/>
            <w:vAlign w:val="bottom"/>
          </w:tcPr>
          <w:p>
            <w:pPr>
              <w:spacing w:after="0" w:line="134" w:lineRule="exact"/>
              <w:rPr>
                <w:sz w:val="20"/>
                <w:szCs w:val="20"/>
                <w:color w:val="auto"/>
              </w:rPr>
            </w:pPr>
            <w:r>
              <w:rPr>
                <w:rFonts w:ascii="Arial" w:cs="Arial" w:eastAsia="Arial" w:hAnsi="Arial"/>
                <w:sz w:val="13"/>
                <w:szCs w:val="13"/>
                <w:b w:val="1"/>
                <w:bCs w:val="1"/>
                <w:color w:val="auto"/>
              </w:rPr>
              <w:t>After-tax income:</w:t>
            </w: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5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Net income</w:t>
            </w:r>
          </w:p>
        </w:tc>
        <w:tc>
          <w:tcPr>
            <w:tcW w:w="40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b w:val="1"/>
                <w:bCs w:val="1"/>
                <w:color w:val="auto"/>
              </w:rPr>
              <w:t>$</w:t>
            </w:r>
          </w:p>
        </w:tc>
        <w:tc>
          <w:tcPr>
            <w:tcW w:w="880" w:type="dxa"/>
            <w:vAlign w:val="bottom"/>
            <w:shd w:val="clear" w:color="auto" w:fill="CCEEFF"/>
          </w:tcPr>
          <w:p>
            <w:pPr>
              <w:jc w:val="right"/>
              <w:ind w:right="155"/>
              <w:spacing w:after="0" w:line="144" w:lineRule="exact"/>
              <w:rPr>
                <w:sz w:val="20"/>
                <w:szCs w:val="20"/>
                <w:color w:val="auto"/>
              </w:rPr>
            </w:pPr>
            <w:r>
              <w:rPr>
                <w:rFonts w:ascii="Arial" w:cs="Arial" w:eastAsia="Arial" w:hAnsi="Arial"/>
                <w:sz w:val="13"/>
                <w:szCs w:val="13"/>
                <w:b w:val="1"/>
                <w:bCs w:val="1"/>
                <w:color w:val="auto"/>
              </w:rPr>
              <w:t>323</w:t>
            </w:r>
          </w:p>
        </w:tc>
        <w:tc>
          <w:tcPr>
            <w:tcW w:w="26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155"/>
              <w:spacing w:after="0" w:line="144" w:lineRule="exact"/>
              <w:rPr>
                <w:sz w:val="20"/>
                <w:szCs w:val="20"/>
                <w:color w:val="auto"/>
              </w:rPr>
            </w:pPr>
            <w:r>
              <w:rPr>
                <w:rFonts w:ascii="Arial" w:cs="Arial" w:eastAsia="Arial" w:hAnsi="Arial"/>
                <w:sz w:val="13"/>
                <w:szCs w:val="13"/>
                <w:color w:val="auto"/>
              </w:rPr>
              <w:t>491</w:t>
            </w:r>
          </w:p>
        </w:tc>
        <w:tc>
          <w:tcPr>
            <w:tcW w:w="26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541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560" w:type="dxa"/>
            <w:vAlign w:val="bottom"/>
          </w:tcPr>
          <w:p>
            <w:pPr>
              <w:spacing w:after="0" w:line="144" w:lineRule="exact"/>
              <w:rPr>
                <w:sz w:val="20"/>
                <w:szCs w:val="20"/>
                <w:color w:val="auto"/>
              </w:rPr>
            </w:pPr>
            <w:r>
              <w:rPr>
                <w:rFonts w:ascii="Arial" w:cs="Arial" w:eastAsia="Arial" w:hAnsi="Arial"/>
                <w:sz w:val="13"/>
                <w:szCs w:val="13"/>
                <w:color w:val="auto"/>
              </w:rPr>
              <w:t>After-tax adjustments excluded from GAAP:</w:t>
            </w: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560" w:type="dxa"/>
            <w:vAlign w:val="bottom"/>
            <w:shd w:val="clear" w:color="auto" w:fill="CCEEFF"/>
          </w:tcPr>
          <w:p>
            <w:pPr>
              <w:ind w:left="80"/>
              <w:spacing w:after="0" w:line="144" w:lineRule="exact"/>
              <w:rPr>
                <w:sz w:val="20"/>
                <w:szCs w:val="20"/>
                <w:color w:val="auto"/>
              </w:rPr>
            </w:pPr>
            <w:r>
              <w:rPr>
                <w:rFonts w:ascii="Arial" w:cs="Arial" w:eastAsia="Arial" w:hAnsi="Arial"/>
                <w:sz w:val="11"/>
                <w:szCs w:val="11"/>
                <w:color w:val="auto"/>
              </w:rPr>
              <w:t xml:space="preserve">Impairment and other charges, net of income tax benefit of $24, $16, and $6, respectively </w:t>
            </w:r>
            <w:r>
              <w:rPr>
                <w:rFonts w:ascii="Arial" w:cs="Arial" w:eastAsia="Arial" w:hAnsi="Arial"/>
                <w:sz w:val="16"/>
                <w:szCs w:val="16"/>
                <w:color w:val="auto"/>
                <w:vertAlign w:val="superscript"/>
              </w:rPr>
              <w:t>(1)</w:t>
            </w: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55"/>
              <w:spacing w:after="0" w:line="144" w:lineRule="exact"/>
              <w:rPr>
                <w:sz w:val="20"/>
                <w:szCs w:val="20"/>
                <w:color w:val="auto"/>
              </w:rPr>
            </w:pPr>
            <w:r>
              <w:rPr>
                <w:rFonts w:ascii="Arial" w:cs="Arial" w:eastAsia="Arial" w:hAnsi="Arial"/>
                <w:sz w:val="13"/>
                <w:szCs w:val="13"/>
                <w:b w:val="1"/>
                <w:bCs w:val="1"/>
                <w:color w:val="auto"/>
              </w:rPr>
              <w:t>93</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55"/>
              <w:spacing w:after="0" w:line="144" w:lineRule="exact"/>
              <w:rPr>
                <w:sz w:val="20"/>
                <w:szCs w:val="20"/>
                <w:color w:val="auto"/>
              </w:rPr>
            </w:pPr>
            <w:r>
              <w:rPr>
                <w:rFonts w:ascii="Arial" w:cs="Arial" w:eastAsia="Arial" w:hAnsi="Arial"/>
                <w:sz w:val="13"/>
                <w:szCs w:val="13"/>
                <w:color w:val="auto"/>
              </w:rPr>
              <w:t>49</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560" w:type="dxa"/>
            <w:vAlign w:val="bottom"/>
          </w:tcPr>
          <w:p>
            <w:pPr>
              <w:ind w:left="80"/>
              <w:spacing w:after="0" w:line="144" w:lineRule="exact"/>
              <w:rPr>
                <w:sz w:val="20"/>
                <w:szCs w:val="20"/>
                <w:color w:val="auto"/>
              </w:rPr>
            </w:pPr>
            <w:r>
              <w:rPr>
                <w:rFonts w:ascii="Arial" w:cs="Arial" w:eastAsia="Arial" w:hAnsi="Arial"/>
                <w:sz w:val="11"/>
                <w:szCs w:val="11"/>
                <w:color w:val="auto"/>
              </w:rPr>
              <w:t xml:space="preserve">Other income, net, net of income tax expense of $50, $-, and $- </w:t>
            </w:r>
            <w:r>
              <w:rPr>
                <w:rFonts w:ascii="Arial" w:cs="Arial" w:eastAsia="Arial" w:hAnsi="Arial"/>
                <w:sz w:val="16"/>
                <w:szCs w:val="16"/>
                <w:color w:val="auto"/>
                <w:vertAlign w:val="superscript"/>
              </w:rPr>
              <w:t>(2)</w:t>
            </w:r>
          </w:p>
        </w:tc>
        <w:tc>
          <w:tcPr>
            <w:tcW w:w="400" w:type="dxa"/>
            <w:vAlign w:val="bottom"/>
          </w:tcPr>
          <w:p>
            <w:pPr>
              <w:spacing w:after="0"/>
              <w:rPr>
                <w:sz w:val="12"/>
                <w:szCs w:val="12"/>
                <w:color w:val="auto"/>
              </w:rPr>
            </w:pPr>
          </w:p>
        </w:tc>
        <w:tc>
          <w:tcPr>
            <w:tcW w:w="880" w:type="dxa"/>
            <w:vAlign w:val="bottom"/>
          </w:tcPr>
          <w:p>
            <w:pPr>
              <w:jc w:val="right"/>
              <w:ind w:right="115"/>
              <w:spacing w:after="0" w:line="144" w:lineRule="exact"/>
              <w:rPr>
                <w:sz w:val="20"/>
                <w:szCs w:val="20"/>
                <w:color w:val="auto"/>
              </w:rPr>
            </w:pPr>
            <w:r>
              <w:rPr>
                <w:rFonts w:ascii="Arial" w:cs="Arial" w:eastAsia="Arial" w:hAnsi="Arial"/>
                <w:sz w:val="13"/>
                <w:szCs w:val="13"/>
                <w:b w:val="1"/>
                <w:bCs w:val="1"/>
                <w:color w:val="auto"/>
              </w:rPr>
              <w:t>(140)</w:t>
            </w:r>
          </w:p>
        </w:tc>
        <w:tc>
          <w:tcPr>
            <w:tcW w:w="260" w:type="dxa"/>
            <w:vAlign w:val="bottom"/>
          </w:tcPr>
          <w:p>
            <w:pPr>
              <w:spacing w:after="0"/>
              <w:rPr>
                <w:sz w:val="12"/>
                <w:szCs w:val="12"/>
                <w:color w:val="auto"/>
              </w:rPr>
            </w:pPr>
          </w:p>
        </w:tc>
        <w:tc>
          <w:tcPr>
            <w:tcW w:w="880" w:type="dxa"/>
            <w:vAlign w:val="bottom"/>
          </w:tcPr>
          <w:p>
            <w:pPr>
              <w:jc w:val="right"/>
              <w:ind w:right="115"/>
              <w:spacing w:after="0" w:line="144" w:lineRule="exact"/>
              <w:rPr>
                <w:sz w:val="20"/>
                <w:szCs w:val="20"/>
                <w:color w:val="auto"/>
              </w:rPr>
            </w:pPr>
            <w:r>
              <w:rPr>
                <w:rFonts w:ascii="Arial" w:cs="Arial" w:eastAsia="Arial" w:hAnsi="Arial"/>
                <w:sz w:val="13"/>
                <w:szCs w:val="13"/>
                <w:color w:val="auto"/>
              </w:rPr>
              <w:t>(4)</w:t>
            </w:r>
          </w:p>
        </w:tc>
        <w:tc>
          <w:tcPr>
            <w:tcW w:w="260" w:type="dxa"/>
            <w:vAlign w:val="bottom"/>
          </w:tcPr>
          <w:p>
            <w:pPr>
              <w:spacing w:after="0"/>
              <w:rPr>
                <w:sz w:val="12"/>
                <w:szCs w:val="12"/>
                <w:color w:val="auto"/>
              </w:rPr>
            </w:pPr>
          </w:p>
        </w:tc>
        <w:tc>
          <w:tcPr>
            <w:tcW w:w="880" w:type="dxa"/>
            <w:vAlign w:val="bottom"/>
            <w:gridSpan w:val="2"/>
          </w:tcPr>
          <w:p>
            <w:pPr>
              <w:jc w:val="right"/>
              <w:ind w:right="20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5560" w:type="dxa"/>
            <w:vAlign w:val="bottom"/>
            <w:shd w:val="clear" w:color="auto" w:fill="CCEEFF"/>
          </w:tcPr>
          <w:p>
            <w:pPr>
              <w:ind w:left="80"/>
              <w:spacing w:after="0" w:line="138" w:lineRule="exact"/>
              <w:rPr>
                <w:sz w:val="20"/>
                <w:szCs w:val="20"/>
                <w:color w:val="auto"/>
              </w:rPr>
            </w:pPr>
            <w:r>
              <w:rPr>
                <w:rFonts w:ascii="Arial" w:cs="Arial" w:eastAsia="Arial" w:hAnsi="Arial"/>
                <w:sz w:val="13"/>
                <w:szCs w:val="13"/>
                <w:color w:val="auto"/>
              </w:rPr>
              <w:t>Tax charge related to revaluation of certain intellectual property</w:t>
            </w:r>
          </w:p>
        </w:tc>
        <w:tc>
          <w:tcPr>
            <w:tcW w:w="4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155"/>
              <w:spacing w:after="0"/>
              <w:rPr>
                <w:sz w:val="20"/>
                <w:szCs w:val="20"/>
                <w:color w:val="auto"/>
              </w:rPr>
            </w:pPr>
            <w:r>
              <w:rPr>
                <w:rFonts w:ascii="Arial" w:cs="Arial" w:eastAsia="Arial" w:hAnsi="Arial"/>
                <w:sz w:val="13"/>
                <w:szCs w:val="13"/>
                <w:b w:val="1"/>
                <w:bCs w:val="1"/>
                <w:color w:val="auto"/>
              </w:rPr>
              <w:t>25</w:t>
            </w: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5560" w:type="dxa"/>
            <w:vAlign w:val="bottom"/>
            <w:shd w:val="clear" w:color="auto" w:fill="CCEEFF"/>
          </w:tcPr>
          <w:p>
            <w:pPr>
              <w:ind w:left="220"/>
              <w:spacing w:after="0" w:line="150" w:lineRule="exact"/>
              <w:rPr>
                <w:sz w:val="20"/>
                <w:szCs w:val="20"/>
                <w:color w:val="auto"/>
              </w:rPr>
            </w:pPr>
            <w:r>
              <w:rPr>
                <w:rFonts w:ascii="Arial" w:cs="Arial" w:eastAsia="Arial" w:hAnsi="Arial"/>
                <w:sz w:val="12"/>
                <w:szCs w:val="12"/>
                <w:color w:val="auto"/>
              </w:rPr>
              <w:t xml:space="preserve">rights </w:t>
            </w:r>
            <w:r>
              <w:rPr>
                <w:rFonts w:ascii="Arial" w:cs="Arial" w:eastAsia="Arial" w:hAnsi="Arial"/>
                <w:sz w:val="17"/>
                <w:szCs w:val="17"/>
                <w:color w:val="auto"/>
                <w:vertAlign w:val="superscript"/>
              </w:rPr>
              <w:t>(3)</w:t>
            </w:r>
          </w:p>
        </w:tc>
        <w:tc>
          <w:tcPr>
            <w:tcW w:w="40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55"/>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5560" w:type="dxa"/>
            <w:vAlign w:val="bottom"/>
          </w:tcPr>
          <w:p>
            <w:pPr>
              <w:ind w:left="80"/>
              <w:spacing w:after="0" w:line="144" w:lineRule="exact"/>
              <w:rPr>
                <w:sz w:val="20"/>
                <w:szCs w:val="20"/>
                <w:color w:val="auto"/>
              </w:rPr>
            </w:pPr>
            <w:r>
              <w:rPr>
                <w:rFonts w:ascii="Arial" w:cs="Arial" w:eastAsia="Arial" w:hAnsi="Arial"/>
                <w:sz w:val="11"/>
                <w:szCs w:val="11"/>
                <w:color w:val="auto"/>
              </w:rPr>
              <w:t xml:space="preserve">Tax expense/(benefit) related to tax law rate changes </w:t>
            </w:r>
            <w:r>
              <w:rPr>
                <w:rFonts w:ascii="Arial" w:cs="Arial" w:eastAsia="Arial" w:hAnsi="Arial"/>
                <w:sz w:val="16"/>
                <w:szCs w:val="16"/>
                <w:color w:val="auto"/>
                <w:vertAlign w:val="superscript"/>
              </w:rPr>
              <w:t>(4)</w:t>
            </w:r>
          </w:p>
        </w:tc>
        <w:tc>
          <w:tcPr>
            <w:tcW w:w="400" w:type="dxa"/>
            <w:vAlign w:val="bottom"/>
          </w:tcPr>
          <w:p>
            <w:pPr>
              <w:spacing w:after="0"/>
              <w:rPr>
                <w:sz w:val="12"/>
                <w:szCs w:val="12"/>
                <w:color w:val="auto"/>
              </w:rPr>
            </w:pPr>
          </w:p>
        </w:tc>
        <w:tc>
          <w:tcPr>
            <w:tcW w:w="880" w:type="dxa"/>
            <w:vAlign w:val="bottom"/>
          </w:tcPr>
          <w:p>
            <w:pPr>
              <w:jc w:val="right"/>
              <w:ind w:right="115"/>
              <w:spacing w:after="0" w:line="144" w:lineRule="exact"/>
              <w:rPr>
                <w:sz w:val="20"/>
                <w:szCs w:val="20"/>
                <w:color w:val="auto"/>
              </w:rPr>
            </w:pPr>
            <w:r>
              <w:rPr>
                <w:rFonts w:ascii="Arial" w:cs="Arial" w:eastAsia="Arial" w:hAnsi="Arial"/>
                <w:sz w:val="13"/>
                <w:szCs w:val="13"/>
                <w:b w:val="1"/>
                <w:bCs w:val="1"/>
                <w:color w:val="auto"/>
              </w:rPr>
              <w:t>(5)</w:t>
            </w:r>
          </w:p>
        </w:tc>
        <w:tc>
          <w:tcPr>
            <w:tcW w:w="260" w:type="dxa"/>
            <w:vAlign w:val="bottom"/>
          </w:tcPr>
          <w:p>
            <w:pPr>
              <w:spacing w:after="0"/>
              <w:rPr>
                <w:sz w:val="12"/>
                <w:szCs w:val="12"/>
                <w:color w:val="auto"/>
              </w:rPr>
            </w:pPr>
          </w:p>
        </w:tc>
        <w:tc>
          <w:tcPr>
            <w:tcW w:w="880" w:type="dxa"/>
            <w:vAlign w:val="bottom"/>
          </w:tcPr>
          <w:p>
            <w:pPr>
              <w:jc w:val="right"/>
              <w:ind w:right="115"/>
              <w:spacing w:after="0" w:line="144" w:lineRule="exact"/>
              <w:rPr>
                <w:sz w:val="20"/>
                <w:szCs w:val="20"/>
                <w:color w:val="auto"/>
              </w:rPr>
            </w:pPr>
            <w:r>
              <w:rPr>
                <w:rFonts w:ascii="Arial" w:cs="Arial" w:eastAsia="Arial" w:hAnsi="Arial"/>
                <w:sz w:val="13"/>
                <w:szCs w:val="13"/>
                <w:color w:val="auto"/>
              </w:rPr>
              <w:t>(2)</w:t>
            </w:r>
          </w:p>
        </w:tc>
        <w:tc>
          <w:tcPr>
            <w:tcW w:w="260" w:type="dxa"/>
            <w:vAlign w:val="bottom"/>
          </w:tcPr>
          <w:p>
            <w:pPr>
              <w:spacing w:after="0"/>
              <w:rPr>
                <w:sz w:val="12"/>
                <w:szCs w:val="12"/>
                <w:color w:val="auto"/>
              </w:rPr>
            </w:pPr>
          </w:p>
        </w:tc>
        <w:tc>
          <w:tcPr>
            <w:tcW w:w="720" w:type="dxa"/>
            <w:vAlign w:val="bottom"/>
          </w:tcPr>
          <w:p>
            <w:pPr>
              <w:jc w:val="right"/>
              <w:spacing w:after="0" w:line="144" w:lineRule="exact"/>
              <w:rPr>
                <w:sz w:val="20"/>
                <w:szCs w:val="20"/>
                <w:color w:val="auto"/>
              </w:rPr>
            </w:pPr>
            <w:r>
              <w:rPr>
                <w:rFonts w:ascii="Arial" w:cs="Arial" w:eastAsia="Arial" w:hAnsi="Arial"/>
                <w:sz w:val="13"/>
                <w:szCs w:val="13"/>
                <w:color w:val="auto"/>
              </w:rPr>
              <w:t>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560" w:type="dxa"/>
            <w:vAlign w:val="bottom"/>
            <w:shd w:val="clear" w:color="auto" w:fill="CCEEFF"/>
          </w:tcPr>
          <w:p>
            <w:pPr>
              <w:ind w:left="80"/>
              <w:spacing w:after="0" w:line="144" w:lineRule="exact"/>
              <w:rPr>
                <w:sz w:val="20"/>
                <w:szCs w:val="20"/>
                <w:color w:val="auto"/>
              </w:rPr>
            </w:pPr>
            <w:r>
              <w:rPr>
                <w:rFonts w:ascii="Arial" w:cs="Arial" w:eastAsia="Arial" w:hAnsi="Arial"/>
                <w:sz w:val="11"/>
                <w:szCs w:val="11"/>
                <w:color w:val="auto"/>
              </w:rPr>
              <w:t xml:space="preserve">U.S. tax reform </w:t>
            </w:r>
            <w:r>
              <w:rPr>
                <w:rFonts w:ascii="Arial" w:cs="Arial" w:eastAsia="Arial" w:hAnsi="Arial"/>
                <w:sz w:val="16"/>
                <w:szCs w:val="16"/>
                <w:color w:val="auto"/>
                <w:vertAlign w:val="superscript"/>
              </w:rPr>
              <w:t>(5)</w:t>
            </w: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55"/>
              <w:spacing w:after="0" w:line="144" w:lineRule="exact"/>
              <w:rPr>
                <w:sz w:val="20"/>
                <w:szCs w:val="20"/>
                <w:color w:val="auto"/>
              </w:rPr>
            </w:pPr>
            <w:r>
              <w:rPr>
                <w:rFonts w:ascii="Arial" w:cs="Arial" w:eastAsia="Arial" w:hAnsi="Arial"/>
                <w:sz w:val="13"/>
                <w:szCs w:val="13"/>
                <w:b w:val="1"/>
                <w:bCs w:val="1"/>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55"/>
              <w:spacing w:after="0" w:line="144" w:lineRule="exact"/>
              <w:rPr>
                <w:sz w:val="20"/>
                <w:szCs w:val="20"/>
                <w:color w:val="auto"/>
              </w:rPr>
            </w:pPr>
            <w:r>
              <w:rPr>
                <w:rFonts w:ascii="Arial" w:cs="Arial" w:eastAsia="Arial" w:hAnsi="Arial"/>
                <w:sz w:val="13"/>
                <w:szCs w:val="13"/>
                <w:color w:val="auto"/>
              </w:rPr>
              <w:t>2</w:t>
            </w: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44"/>
        </w:trPr>
        <w:tc>
          <w:tcPr>
            <w:tcW w:w="5560" w:type="dxa"/>
            <w:vAlign w:val="bottom"/>
          </w:tcPr>
          <w:p>
            <w:pPr>
              <w:ind w:left="80"/>
              <w:spacing w:after="0" w:line="144" w:lineRule="exact"/>
              <w:rPr>
                <w:sz w:val="20"/>
                <w:szCs w:val="20"/>
                <w:color w:val="auto"/>
              </w:rPr>
            </w:pPr>
            <w:r>
              <w:rPr>
                <w:rFonts w:ascii="Arial" w:cs="Arial" w:eastAsia="Arial" w:hAnsi="Arial"/>
                <w:sz w:val="11"/>
                <w:szCs w:val="11"/>
                <w:color w:val="auto"/>
              </w:rPr>
              <w:t xml:space="preserve">Income tax valuation allowances </w:t>
            </w:r>
            <w:r>
              <w:rPr>
                <w:rFonts w:ascii="Arial" w:cs="Arial" w:eastAsia="Arial" w:hAnsi="Arial"/>
                <w:sz w:val="16"/>
                <w:szCs w:val="16"/>
                <w:color w:val="auto"/>
                <w:vertAlign w:val="superscript"/>
              </w:rPr>
              <w:t>(6)</w:t>
            </w:r>
          </w:p>
        </w:tc>
        <w:tc>
          <w:tcPr>
            <w:tcW w:w="400" w:type="dxa"/>
            <w:vAlign w:val="bottom"/>
          </w:tcPr>
          <w:p>
            <w:pPr>
              <w:spacing w:after="0"/>
              <w:rPr>
                <w:sz w:val="12"/>
                <w:szCs w:val="12"/>
                <w:color w:val="auto"/>
              </w:rPr>
            </w:pPr>
          </w:p>
        </w:tc>
        <w:tc>
          <w:tcPr>
            <w:tcW w:w="880" w:type="dxa"/>
            <w:vAlign w:val="bottom"/>
          </w:tcPr>
          <w:p>
            <w:pPr>
              <w:jc w:val="right"/>
              <w:ind w:right="155"/>
              <w:spacing w:after="0" w:line="144"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2"/>
                <w:szCs w:val="12"/>
                <w:color w:val="auto"/>
              </w:rPr>
            </w:pPr>
          </w:p>
        </w:tc>
        <w:tc>
          <w:tcPr>
            <w:tcW w:w="880" w:type="dxa"/>
            <w:vAlign w:val="bottom"/>
          </w:tcPr>
          <w:p>
            <w:pPr>
              <w:jc w:val="right"/>
              <w:ind w:right="155"/>
              <w:spacing w:after="0" w:line="144" w:lineRule="exact"/>
              <w:rPr>
                <w:sz w:val="20"/>
                <w:szCs w:val="20"/>
                <w:color w:val="auto"/>
              </w:rPr>
            </w:pPr>
            <w:r>
              <w:rPr>
                <w:rFonts w:ascii="Arial" w:cs="Arial" w:eastAsia="Arial" w:hAnsi="Arial"/>
                <w:sz w:val="13"/>
                <w:szCs w:val="13"/>
                <w:color w:val="auto"/>
              </w:rPr>
              <w:t>2</w:t>
            </w:r>
          </w:p>
        </w:tc>
        <w:tc>
          <w:tcPr>
            <w:tcW w:w="260" w:type="dxa"/>
            <w:vAlign w:val="bottom"/>
          </w:tcPr>
          <w:p>
            <w:pPr>
              <w:spacing w:after="0"/>
              <w:rPr>
                <w:sz w:val="12"/>
                <w:szCs w:val="12"/>
                <w:color w:val="auto"/>
              </w:rPr>
            </w:pPr>
          </w:p>
        </w:tc>
        <w:tc>
          <w:tcPr>
            <w:tcW w:w="880" w:type="dxa"/>
            <w:vAlign w:val="bottom"/>
            <w:gridSpan w:val="2"/>
          </w:tcPr>
          <w:p>
            <w:pPr>
              <w:jc w:val="right"/>
              <w:ind w:right="20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5560" w:type="dxa"/>
            <w:vAlign w:val="bottom"/>
            <w:shd w:val="clear" w:color="auto" w:fill="CCEEFF"/>
          </w:tcPr>
          <w:p>
            <w:pPr>
              <w:ind w:left="80"/>
              <w:spacing w:after="0" w:line="144" w:lineRule="exact"/>
              <w:rPr>
                <w:sz w:val="20"/>
                <w:szCs w:val="20"/>
                <w:color w:val="auto"/>
              </w:rPr>
            </w:pPr>
            <w:r>
              <w:rPr>
                <w:rFonts w:ascii="Arial" w:cs="Arial" w:eastAsia="Arial" w:hAnsi="Arial"/>
                <w:sz w:val="11"/>
                <w:szCs w:val="11"/>
                <w:color w:val="auto"/>
              </w:rPr>
              <w:t xml:space="preserve">Tax benefit related to enacted change in foreign branch currency regulations </w:t>
            </w:r>
            <w:r>
              <w:rPr>
                <w:rFonts w:ascii="Arial" w:cs="Arial" w:eastAsia="Arial" w:hAnsi="Arial"/>
                <w:sz w:val="16"/>
                <w:szCs w:val="16"/>
                <w:color w:val="auto"/>
                <w:vertAlign w:val="superscript"/>
              </w:rPr>
              <w:t>(7)</w:t>
            </w: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55"/>
              <w:spacing w:after="0" w:line="144" w:lineRule="exact"/>
              <w:rPr>
                <w:sz w:val="20"/>
                <w:szCs w:val="20"/>
                <w:color w:val="auto"/>
              </w:rPr>
            </w:pPr>
            <w:r>
              <w:rPr>
                <w:rFonts w:ascii="Arial" w:cs="Arial" w:eastAsia="Arial" w:hAnsi="Arial"/>
                <w:sz w:val="13"/>
                <w:szCs w:val="13"/>
                <w:b w:val="1"/>
                <w:bCs w:val="1"/>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55"/>
              <w:spacing w:after="0" w:line="144"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4"/>
        </w:trPr>
        <w:tc>
          <w:tcPr>
            <w:tcW w:w="5560" w:type="dxa"/>
            <w:vAlign w:val="bottom"/>
            <w:tcBorders>
              <w:top w:val="single" w:sz="8" w:color="auto"/>
              <w:bottom w:val="single" w:sz="8" w:color="auto"/>
            </w:tcBorders>
          </w:tcPr>
          <w:p>
            <w:pPr>
              <w:spacing w:after="0" w:line="134" w:lineRule="exact"/>
              <w:rPr>
                <w:sz w:val="20"/>
                <w:szCs w:val="20"/>
                <w:color w:val="auto"/>
              </w:rPr>
            </w:pPr>
            <w:r>
              <w:rPr>
                <w:rFonts w:ascii="Arial" w:cs="Arial" w:eastAsia="Arial" w:hAnsi="Arial"/>
                <w:sz w:val="13"/>
                <w:szCs w:val="13"/>
                <w:color w:val="auto"/>
              </w:rPr>
              <w:t>Adjusted net income (non-GAAP)</w:t>
            </w:r>
          </w:p>
        </w:tc>
        <w:tc>
          <w:tcPr>
            <w:tcW w:w="400" w:type="dxa"/>
            <w:vAlign w:val="bottom"/>
            <w:tcBorders>
              <w:top w:val="single" w:sz="8" w:color="auto"/>
              <w:bottom w:val="single" w:sz="8" w:color="auto"/>
            </w:tcBorders>
          </w:tcPr>
          <w:p>
            <w:pPr>
              <w:jc w:val="right"/>
              <w:ind w:right="55"/>
              <w:spacing w:after="0" w:line="134" w:lineRule="exact"/>
              <w:rPr>
                <w:sz w:val="20"/>
                <w:szCs w:val="20"/>
                <w:color w:val="auto"/>
              </w:rPr>
            </w:pPr>
            <w:r>
              <w:rPr>
                <w:rFonts w:ascii="Arial" w:cs="Arial" w:eastAsia="Arial" w:hAnsi="Arial"/>
                <w:sz w:val="13"/>
                <w:szCs w:val="13"/>
                <w:b w:val="1"/>
                <w:bCs w:val="1"/>
                <w:color w:val="auto"/>
              </w:rPr>
              <w:t>$</w:t>
            </w:r>
          </w:p>
        </w:tc>
        <w:tc>
          <w:tcPr>
            <w:tcW w:w="880" w:type="dxa"/>
            <w:vAlign w:val="bottom"/>
            <w:tcBorders>
              <w:top w:val="single" w:sz="8" w:color="auto"/>
              <w:bottom w:val="single" w:sz="8" w:color="auto"/>
            </w:tcBorders>
          </w:tcPr>
          <w:p>
            <w:pPr>
              <w:jc w:val="right"/>
              <w:ind w:right="155"/>
              <w:spacing w:after="0" w:line="134" w:lineRule="exact"/>
              <w:rPr>
                <w:sz w:val="20"/>
                <w:szCs w:val="20"/>
                <w:color w:val="auto"/>
              </w:rPr>
            </w:pPr>
            <w:r>
              <w:rPr>
                <w:rFonts w:ascii="Arial" w:cs="Arial" w:eastAsia="Arial" w:hAnsi="Arial"/>
                <w:sz w:val="13"/>
                <w:szCs w:val="13"/>
                <w:b w:val="1"/>
                <w:bCs w:val="1"/>
                <w:color w:val="auto"/>
              </w:rPr>
              <w:t>296</w:t>
            </w:r>
          </w:p>
        </w:tc>
        <w:tc>
          <w:tcPr>
            <w:tcW w:w="260" w:type="dxa"/>
            <w:vAlign w:val="bottom"/>
            <w:tcBorders>
              <w:top w:val="single" w:sz="8" w:color="auto"/>
              <w:bottom w:val="single" w:sz="8" w:color="auto"/>
            </w:tcBorders>
          </w:tcPr>
          <w:p>
            <w:pPr>
              <w:jc w:val="right"/>
              <w:ind w:right="55"/>
              <w:spacing w:after="0" w:line="134" w:lineRule="exact"/>
              <w:rPr>
                <w:sz w:val="20"/>
                <w:szCs w:val="20"/>
                <w:color w:val="auto"/>
              </w:rPr>
            </w:pPr>
            <w:r>
              <w:rPr>
                <w:rFonts w:ascii="Arial" w:cs="Arial" w:eastAsia="Arial" w:hAnsi="Arial"/>
                <w:sz w:val="13"/>
                <w:szCs w:val="13"/>
                <w:color w:val="auto"/>
              </w:rPr>
              <w:t>$</w:t>
            </w:r>
          </w:p>
        </w:tc>
        <w:tc>
          <w:tcPr>
            <w:tcW w:w="880" w:type="dxa"/>
            <w:vAlign w:val="bottom"/>
            <w:tcBorders>
              <w:top w:val="single" w:sz="8" w:color="auto"/>
              <w:bottom w:val="single" w:sz="8" w:color="auto"/>
            </w:tcBorders>
          </w:tcPr>
          <w:p>
            <w:pPr>
              <w:jc w:val="right"/>
              <w:ind w:right="155"/>
              <w:spacing w:after="0" w:line="134" w:lineRule="exact"/>
              <w:rPr>
                <w:sz w:val="20"/>
                <w:szCs w:val="20"/>
                <w:color w:val="auto"/>
              </w:rPr>
            </w:pPr>
            <w:r>
              <w:rPr>
                <w:rFonts w:ascii="Arial" w:cs="Arial" w:eastAsia="Arial" w:hAnsi="Arial"/>
                <w:sz w:val="13"/>
                <w:szCs w:val="13"/>
                <w:color w:val="auto"/>
              </w:rPr>
              <w:t>538</w:t>
            </w:r>
          </w:p>
        </w:tc>
        <w:tc>
          <w:tcPr>
            <w:tcW w:w="260" w:type="dxa"/>
            <w:vAlign w:val="bottom"/>
            <w:tcBorders>
              <w:top w:val="single" w:sz="8" w:color="auto"/>
              <w:bottom w:val="single" w:sz="8" w:color="auto"/>
            </w:tcBorders>
          </w:tcPr>
          <w:p>
            <w:pPr>
              <w:jc w:val="right"/>
              <w:ind w:right="55"/>
              <w:spacing w:after="0" w:line="134" w:lineRule="exact"/>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547</w:t>
            </w: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55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5560" w:type="dxa"/>
            <w:vAlign w:val="bottom"/>
          </w:tcPr>
          <w:p>
            <w:pPr>
              <w:spacing w:after="0" w:line="144" w:lineRule="exact"/>
              <w:rPr>
                <w:sz w:val="20"/>
                <w:szCs w:val="20"/>
                <w:color w:val="auto"/>
              </w:rPr>
            </w:pPr>
            <w:r>
              <w:rPr>
                <w:rFonts w:ascii="Arial" w:cs="Arial" w:eastAsia="Arial" w:hAnsi="Arial"/>
                <w:sz w:val="13"/>
                <w:szCs w:val="13"/>
                <w:b w:val="1"/>
                <w:bCs w:val="1"/>
                <w:color w:val="auto"/>
              </w:rPr>
              <w:t>Earnings per share:</w:t>
            </w: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5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Diluted EPS</w:t>
            </w:r>
          </w:p>
        </w:tc>
        <w:tc>
          <w:tcPr>
            <w:tcW w:w="40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b w:val="1"/>
                <w:bCs w:val="1"/>
                <w:color w:val="auto"/>
              </w:rPr>
              <w:t>$</w:t>
            </w:r>
          </w:p>
        </w:tc>
        <w:tc>
          <w:tcPr>
            <w:tcW w:w="880" w:type="dxa"/>
            <w:vAlign w:val="bottom"/>
            <w:shd w:val="clear" w:color="auto" w:fill="CCEEFF"/>
          </w:tcPr>
          <w:p>
            <w:pPr>
              <w:jc w:val="right"/>
              <w:ind w:right="155"/>
              <w:spacing w:after="0" w:line="144" w:lineRule="exact"/>
              <w:rPr>
                <w:sz w:val="20"/>
                <w:szCs w:val="20"/>
                <w:color w:val="auto"/>
              </w:rPr>
            </w:pPr>
            <w:r>
              <w:rPr>
                <w:rFonts w:ascii="Arial" w:cs="Arial" w:eastAsia="Arial" w:hAnsi="Arial"/>
                <w:sz w:val="13"/>
                <w:szCs w:val="13"/>
                <w:b w:val="1"/>
                <w:bCs w:val="1"/>
                <w:color w:val="auto"/>
              </w:rPr>
              <w:t>3.08</w:t>
            </w:r>
          </w:p>
        </w:tc>
        <w:tc>
          <w:tcPr>
            <w:tcW w:w="26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155"/>
              <w:spacing w:after="0" w:line="144" w:lineRule="exact"/>
              <w:rPr>
                <w:sz w:val="20"/>
                <w:szCs w:val="20"/>
                <w:color w:val="auto"/>
              </w:rPr>
            </w:pPr>
            <w:r>
              <w:rPr>
                <w:rFonts w:ascii="Arial" w:cs="Arial" w:eastAsia="Arial" w:hAnsi="Arial"/>
                <w:sz w:val="13"/>
                <w:szCs w:val="13"/>
                <w:color w:val="auto"/>
              </w:rPr>
              <w:t>4.50</w:t>
            </w:r>
          </w:p>
        </w:tc>
        <w:tc>
          <w:tcPr>
            <w:tcW w:w="26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4.66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560" w:type="dxa"/>
            <w:vAlign w:val="bottom"/>
          </w:tcPr>
          <w:p>
            <w:pPr>
              <w:spacing w:after="0" w:line="144" w:lineRule="exact"/>
              <w:rPr>
                <w:sz w:val="20"/>
                <w:szCs w:val="20"/>
                <w:color w:val="auto"/>
              </w:rPr>
            </w:pPr>
            <w:r>
              <w:rPr>
                <w:rFonts w:ascii="Arial" w:cs="Arial" w:eastAsia="Arial" w:hAnsi="Arial"/>
                <w:sz w:val="13"/>
                <w:szCs w:val="13"/>
                <w:color w:val="auto"/>
              </w:rPr>
              <w:t>Diluted EPS amounts excluded from GAAP:</w:t>
            </w: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560" w:type="dxa"/>
            <w:vAlign w:val="bottom"/>
            <w:shd w:val="clear" w:color="auto" w:fill="CCEEFF"/>
          </w:tcPr>
          <w:p>
            <w:pPr>
              <w:ind w:left="80"/>
              <w:spacing w:after="0" w:line="144" w:lineRule="exact"/>
              <w:rPr>
                <w:sz w:val="20"/>
                <w:szCs w:val="20"/>
                <w:color w:val="auto"/>
              </w:rPr>
            </w:pPr>
            <w:r>
              <w:rPr>
                <w:rFonts w:ascii="Arial" w:cs="Arial" w:eastAsia="Arial" w:hAnsi="Arial"/>
                <w:sz w:val="11"/>
                <w:szCs w:val="11"/>
                <w:color w:val="auto"/>
              </w:rPr>
              <w:t xml:space="preserve">Impairment and other charges </w:t>
            </w:r>
            <w:r>
              <w:rPr>
                <w:rFonts w:ascii="Arial" w:cs="Arial" w:eastAsia="Arial" w:hAnsi="Arial"/>
                <w:sz w:val="16"/>
                <w:szCs w:val="16"/>
                <w:color w:val="auto"/>
                <w:vertAlign w:val="superscript"/>
              </w:rPr>
              <w:t>(1)</w:t>
            </w: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55"/>
              <w:spacing w:after="0" w:line="144" w:lineRule="exact"/>
              <w:rPr>
                <w:sz w:val="20"/>
                <w:szCs w:val="20"/>
                <w:color w:val="auto"/>
              </w:rPr>
            </w:pPr>
            <w:r>
              <w:rPr>
                <w:rFonts w:ascii="Arial" w:cs="Arial" w:eastAsia="Arial" w:hAnsi="Arial"/>
                <w:sz w:val="13"/>
                <w:szCs w:val="13"/>
                <w:b w:val="1"/>
                <w:bCs w:val="1"/>
                <w:color w:val="auto"/>
              </w:rPr>
              <w:t>0.87</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55"/>
              <w:spacing w:after="0" w:line="144" w:lineRule="exact"/>
              <w:rPr>
                <w:sz w:val="20"/>
                <w:szCs w:val="20"/>
                <w:color w:val="auto"/>
              </w:rPr>
            </w:pPr>
            <w:r>
              <w:rPr>
                <w:rFonts w:ascii="Arial" w:cs="Arial" w:eastAsia="Arial" w:hAnsi="Arial"/>
                <w:sz w:val="13"/>
                <w:szCs w:val="13"/>
                <w:color w:val="auto"/>
              </w:rPr>
              <w:t>0.44</w:t>
            </w: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0.27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560" w:type="dxa"/>
            <w:vAlign w:val="bottom"/>
          </w:tcPr>
          <w:p>
            <w:pPr>
              <w:ind w:left="80"/>
              <w:spacing w:after="0" w:line="144" w:lineRule="exact"/>
              <w:rPr>
                <w:sz w:val="20"/>
                <w:szCs w:val="20"/>
                <w:color w:val="auto"/>
              </w:rPr>
            </w:pPr>
            <w:r>
              <w:rPr>
                <w:rFonts w:ascii="Arial" w:cs="Arial" w:eastAsia="Arial" w:hAnsi="Arial"/>
                <w:sz w:val="11"/>
                <w:szCs w:val="11"/>
                <w:color w:val="auto"/>
              </w:rPr>
              <w:t xml:space="preserve">Other income, net </w:t>
            </w:r>
            <w:r>
              <w:rPr>
                <w:rFonts w:ascii="Arial" w:cs="Arial" w:eastAsia="Arial" w:hAnsi="Arial"/>
                <w:sz w:val="16"/>
                <w:szCs w:val="16"/>
                <w:color w:val="auto"/>
                <w:vertAlign w:val="superscript"/>
              </w:rPr>
              <w:t>(2)</w:t>
            </w:r>
          </w:p>
        </w:tc>
        <w:tc>
          <w:tcPr>
            <w:tcW w:w="400" w:type="dxa"/>
            <w:vAlign w:val="bottom"/>
          </w:tcPr>
          <w:p>
            <w:pPr>
              <w:spacing w:after="0"/>
              <w:rPr>
                <w:sz w:val="12"/>
                <w:szCs w:val="12"/>
                <w:color w:val="auto"/>
              </w:rPr>
            </w:pPr>
          </w:p>
        </w:tc>
        <w:tc>
          <w:tcPr>
            <w:tcW w:w="880" w:type="dxa"/>
            <w:vAlign w:val="bottom"/>
          </w:tcPr>
          <w:p>
            <w:pPr>
              <w:jc w:val="right"/>
              <w:ind w:right="115"/>
              <w:spacing w:after="0" w:line="144" w:lineRule="exact"/>
              <w:rPr>
                <w:sz w:val="20"/>
                <w:szCs w:val="20"/>
                <w:color w:val="auto"/>
              </w:rPr>
            </w:pPr>
            <w:r>
              <w:rPr>
                <w:rFonts w:ascii="Arial" w:cs="Arial" w:eastAsia="Arial" w:hAnsi="Arial"/>
                <w:sz w:val="13"/>
                <w:szCs w:val="13"/>
                <w:b w:val="1"/>
                <w:bCs w:val="1"/>
                <w:color w:val="auto"/>
              </w:rPr>
              <w:t>(1.33)</w:t>
            </w:r>
          </w:p>
        </w:tc>
        <w:tc>
          <w:tcPr>
            <w:tcW w:w="260" w:type="dxa"/>
            <w:vAlign w:val="bottom"/>
          </w:tcPr>
          <w:p>
            <w:pPr>
              <w:spacing w:after="0"/>
              <w:rPr>
                <w:sz w:val="12"/>
                <w:szCs w:val="12"/>
                <w:color w:val="auto"/>
              </w:rPr>
            </w:pPr>
          </w:p>
        </w:tc>
        <w:tc>
          <w:tcPr>
            <w:tcW w:w="880" w:type="dxa"/>
            <w:vAlign w:val="bottom"/>
          </w:tcPr>
          <w:p>
            <w:pPr>
              <w:jc w:val="right"/>
              <w:ind w:right="115"/>
              <w:spacing w:after="0" w:line="144" w:lineRule="exact"/>
              <w:rPr>
                <w:sz w:val="20"/>
                <w:szCs w:val="20"/>
                <w:color w:val="auto"/>
              </w:rPr>
            </w:pPr>
            <w:r>
              <w:rPr>
                <w:rFonts w:ascii="Arial" w:cs="Arial" w:eastAsia="Arial" w:hAnsi="Arial"/>
                <w:sz w:val="13"/>
                <w:szCs w:val="13"/>
                <w:color w:val="auto"/>
              </w:rPr>
              <w:t>(0.04)</w:t>
            </w:r>
          </w:p>
        </w:tc>
        <w:tc>
          <w:tcPr>
            <w:tcW w:w="260" w:type="dxa"/>
            <w:vAlign w:val="bottom"/>
          </w:tcPr>
          <w:p>
            <w:pPr>
              <w:spacing w:after="0"/>
              <w:rPr>
                <w:sz w:val="12"/>
                <w:szCs w:val="12"/>
                <w:color w:val="auto"/>
              </w:rPr>
            </w:pPr>
          </w:p>
        </w:tc>
        <w:tc>
          <w:tcPr>
            <w:tcW w:w="880" w:type="dxa"/>
            <w:vAlign w:val="bottom"/>
            <w:gridSpan w:val="2"/>
          </w:tcPr>
          <w:p>
            <w:pPr>
              <w:jc w:val="right"/>
              <w:ind w:right="20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5560" w:type="dxa"/>
            <w:vAlign w:val="bottom"/>
            <w:shd w:val="clear" w:color="auto" w:fill="CCEEFF"/>
          </w:tcPr>
          <w:p>
            <w:pPr>
              <w:ind w:left="80"/>
              <w:spacing w:after="0" w:line="138" w:lineRule="exact"/>
              <w:rPr>
                <w:sz w:val="20"/>
                <w:szCs w:val="20"/>
                <w:color w:val="auto"/>
              </w:rPr>
            </w:pPr>
            <w:r>
              <w:rPr>
                <w:rFonts w:ascii="Arial" w:cs="Arial" w:eastAsia="Arial" w:hAnsi="Arial"/>
                <w:sz w:val="13"/>
                <w:szCs w:val="13"/>
                <w:color w:val="auto"/>
              </w:rPr>
              <w:t>Tax charge related to revaluation of certain intellectual property</w:t>
            </w:r>
          </w:p>
        </w:tc>
        <w:tc>
          <w:tcPr>
            <w:tcW w:w="4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155"/>
              <w:spacing w:after="0"/>
              <w:rPr>
                <w:sz w:val="20"/>
                <w:szCs w:val="20"/>
                <w:color w:val="auto"/>
              </w:rPr>
            </w:pPr>
            <w:r>
              <w:rPr>
                <w:rFonts w:ascii="Arial" w:cs="Arial" w:eastAsia="Arial" w:hAnsi="Arial"/>
                <w:sz w:val="13"/>
                <w:szCs w:val="13"/>
                <w:b w:val="1"/>
                <w:bCs w:val="1"/>
                <w:color w:val="auto"/>
              </w:rPr>
              <w:t>0.24</w:t>
            </w: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5560" w:type="dxa"/>
            <w:vAlign w:val="bottom"/>
            <w:shd w:val="clear" w:color="auto" w:fill="CCEEFF"/>
          </w:tcPr>
          <w:p>
            <w:pPr>
              <w:ind w:left="220"/>
              <w:spacing w:after="0" w:line="150" w:lineRule="exact"/>
              <w:rPr>
                <w:sz w:val="20"/>
                <w:szCs w:val="20"/>
                <w:color w:val="auto"/>
              </w:rPr>
            </w:pPr>
            <w:r>
              <w:rPr>
                <w:rFonts w:ascii="Arial" w:cs="Arial" w:eastAsia="Arial" w:hAnsi="Arial"/>
                <w:sz w:val="12"/>
                <w:szCs w:val="12"/>
                <w:color w:val="auto"/>
              </w:rPr>
              <w:t xml:space="preserve">rights </w:t>
            </w:r>
            <w:r>
              <w:rPr>
                <w:rFonts w:ascii="Arial" w:cs="Arial" w:eastAsia="Arial" w:hAnsi="Arial"/>
                <w:sz w:val="17"/>
                <w:szCs w:val="17"/>
                <w:color w:val="auto"/>
                <w:vertAlign w:val="superscript"/>
              </w:rPr>
              <w:t>(3)</w:t>
            </w:r>
          </w:p>
        </w:tc>
        <w:tc>
          <w:tcPr>
            <w:tcW w:w="40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560" w:type="dxa"/>
            <w:vAlign w:val="bottom"/>
          </w:tcPr>
          <w:p>
            <w:pPr>
              <w:ind w:left="80"/>
              <w:spacing w:after="0" w:line="144" w:lineRule="exact"/>
              <w:rPr>
                <w:sz w:val="20"/>
                <w:szCs w:val="20"/>
                <w:color w:val="auto"/>
              </w:rPr>
            </w:pPr>
            <w:r>
              <w:rPr>
                <w:rFonts w:ascii="Arial" w:cs="Arial" w:eastAsia="Arial" w:hAnsi="Arial"/>
                <w:sz w:val="11"/>
                <w:szCs w:val="11"/>
                <w:color w:val="auto"/>
              </w:rPr>
              <w:t xml:space="preserve">Tax expense/(benefit) related to tax law rate changes </w:t>
            </w:r>
            <w:r>
              <w:rPr>
                <w:rFonts w:ascii="Arial" w:cs="Arial" w:eastAsia="Arial" w:hAnsi="Arial"/>
                <w:sz w:val="16"/>
                <w:szCs w:val="16"/>
                <w:color w:val="auto"/>
                <w:vertAlign w:val="superscript"/>
              </w:rPr>
              <w:t>(4)</w:t>
            </w:r>
          </w:p>
        </w:tc>
        <w:tc>
          <w:tcPr>
            <w:tcW w:w="400" w:type="dxa"/>
            <w:vAlign w:val="bottom"/>
          </w:tcPr>
          <w:p>
            <w:pPr>
              <w:spacing w:after="0"/>
              <w:rPr>
                <w:sz w:val="12"/>
                <w:szCs w:val="12"/>
                <w:color w:val="auto"/>
              </w:rPr>
            </w:pPr>
          </w:p>
        </w:tc>
        <w:tc>
          <w:tcPr>
            <w:tcW w:w="880" w:type="dxa"/>
            <w:vAlign w:val="bottom"/>
          </w:tcPr>
          <w:p>
            <w:pPr>
              <w:jc w:val="right"/>
              <w:ind w:right="115"/>
              <w:spacing w:after="0" w:line="144" w:lineRule="exact"/>
              <w:rPr>
                <w:sz w:val="20"/>
                <w:szCs w:val="20"/>
                <w:color w:val="auto"/>
              </w:rPr>
            </w:pPr>
            <w:r>
              <w:rPr>
                <w:rFonts w:ascii="Arial" w:cs="Arial" w:eastAsia="Arial" w:hAnsi="Arial"/>
                <w:sz w:val="13"/>
                <w:szCs w:val="13"/>
                <w:b w:val="1"/>
                <w:bCs w:val="1"/>
                <w:color w:val="auto"/>
              </w:rPr>
              <w:t>(0.05)</w:t>
            </w:r>
          </w:p>
        </w:tc>
        <w:tc>
          <w:tcPr>
            <w:tcW w:w="260" w:type="dxa"/>
            <w:vAlign w:val="bottom"/>
          </w:tcPr>
          <w:p>
            <w:pPr>
              <w:spacing w:after="0"/>
              <w:rPr>
                <w:sz w:val="12"/>
                <w:szCs w:val="12"/>
                <w:color w:val="auto"/>
              </w:rPr>
            </w:pPr>
          </w:p>
        </w:tc>
        <w:tc>
          <w:tcPr>
            <w:tcW w:w="880" w:type="dxa"/>
            <w:vAlign w:val="bottom"/>
          </w:tcPr>
          <w:p>
            <w:pPr>
              <w:jc w:val="right"/>
              <w:ind w:right="115"/>
              <w:spacing w:after="0" w:line="144" w:lineRule="exact"/>
              <w:rPr>
                <w:sz w:val="20"/>
                <w:szCs w:val="20"/>
                <w:color w:val="auto"/>
              </w:rPr>
            </w:pPr>
            <w:r>
              <w:rPr>
                <w:rFonts w:ascii="Arial" w:cs="Arial" w:eastAsia="Arial" w:hAnsi="Arial"/>
                <w:sz w:val="13"/>
                <w:szCs w:val="13"/>
                <w:color w:val="auto"/>
              </w:rPr>
              <w:t>(0.02)</w:t>
            </w:r>
          </w:p>
        </w:tc>
        <w:tc>
          <w:tcPr>
            <w:tcW w:w="260" w:type="dxa"/>
            <w:vAlign w:val="bottom"/>
          </w:tcPr>
          <w:p>
            <w:pPr>
              <w:spacing w:after="0"/>
              <w:rPr>
                <w:sz w:val="12"/>
                <w:szCs w:val="12"/>
                <w:color w:val="auto"/>
              </w:rPr>
            </w:pPr>
          </w:p>
        </w:tc>
        <w:tc>
          <w:tcPr>
            <w:tcW w:w="720" w:type="dxa"/>
            <w:vAlign w:val="bottom"/>
          </w:tcPr>
          <w:p>
            <w:pPr>
              <w:jc w:val="right"/>
              <w:spacing w:after="0" w:line="144" w:lineRule="exact"/>
              <w:rPr>
                <w:sz w:val="20"/>
                <w:szCs w:val="20"/>
                <w:color w:val="auto"/>
              </w:rPr>
            </w:pPr>
            <w:r>
              <w:rPr>
                <w:rFonts w:ascii="Arial" w:cs="Arial" w:eastAsia="Arial" w:hAnsi="Arial"/>
                <w:sz w:val="13"/>
                <w:szCs w:val="13"/>
                <w:color w:val="auto"/>
              </w:rPr>
              <w:t>0.04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560" w:type="dxa"/>
            <w:vAlign w:val="bottom"/>
            <w:shd w:val="clear" w:color="auto" w:fill="CCEEFF"/>
          </w:tcPr>
          <w:p>
            <w:pPr>
              <w:ind w:left="80"/>
              <w:spacing w:after="0" w:line="144" w:lineRule="exact"/>
              <w:rPr>
                <w:sz w:val="20"/>
                <w:szCs w:val="20"/>
                <w:color w:val="auto"/>
              </w:rPr>
            </w:pPr>
            <w:r>
              <w:rPr>
                <w:rFonts w:ascii="Arial" w:cs="Arial" w:eastAsia="Arial" w:hAnsi="Arial"/>
                <w:sz w:val="11"/>
                <w:szCs w:val="11"/>
                <w:color w:val="auto"/>
              </w:rPr>
              <w:t xml:space="preserve">U.S. tax reform </w:t>
            </w:r>
            <w:r>
              <w:rPr>
                <w:rFonts w:ascii="Arial" w:cs="Arial" w:eastAsia="Arial" w:hAnsi="Arial"/>
                <w:sz w:val="16"/>
                <w:szCs w:val="16"/>
                <w:color w:val="auto"/>
                <w:vertAlign w:val="superscript"/>
              </w:rPr>
              <w:t>(5)</w:t>
            </w: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55"/>
              <w:spacing w:after="0" w:line="144" w:lineRule="exact"/>
              <w:rPr>
                <w:sz w:val="20"/>
                <w:szCs w:val="20"/>
                <w:color w:val="auto"/>
              </w:rPr>
            </w:pPr>
            <w:r>
              <w:rPr>
                <w:rFonts w:ascii="Arial" w:cs="Arial" w:eastAsia="Arial" w:hAnsi="Arial"/>
                <w:sz w:val="13"/>
                <w:szCs w:val="13"/>
                <w:b w:val="1"/>
                <w:bCs w:val="1"/>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55"/>
              <w:spacing w:after="0" w:line="144" w:lineRule="exact"/>
              <w:rPr>
                <w:sz w:val="20"/>
                <w:szCs w:val="20"/>
                <w:color w:val="auto"/>
              </w:rPr>
            </w:pPr>
            <w:r>
              <w:rPr>
                <w:rFonts w:ascii="Arial" w:cs="Arial" w:eastAsia="Arial" w:hAnsi="Arial"/>
                <w:sz w:val="13"/>
                <w:szCs w:val="13"/>
                <w:color w:val="auto"/>
              </w:rPr>
              <w:t>0.02</w:t>
            </w: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(0.25)</w:t>
            </w:r>
          </w:p>
        </w:tc>
        <w:tc>
          <w:tcPr>
            <w:tcW w:w="0" w:type="dxa"/>
            <w:vAlign w:val="bottom"/>
          </w:tcPr>
          <w:p>
            <w:pPr>
              <w:spacing w:after="0"/>
              <w:rPr>
                <w:sz w:val="1"/>
                <w:szCs w:val="1"/>
                <w:color w:val="auto"/>
              </w:rPr>
            </w:pPr>
          </w:p>
        </w:tc>
      </w:tr>
      <w:tr>
        <w:trPr>
          <w:trHeight w:val="144"/>
        </w:trPr>
        <w:tc>
          <w:tcPr>
            <w:tcW w:w="5560" w:type="dxa"/>
            <w:vAlign w:val="bottom"/>
          </w:tcPr>
          <w:p>
            <w:pPr>
              <w:ind w:left="80"/>
              <w:spacing w:after="0" w:line="144" w:lineRule="exact"/>
              <w:rPr>
                <w:sz w:val="20"/>
                <w:szCs w:val="20"/>
                <w:color w:val="auto"/>
              </w:rPr>
            </w:pPr>
            <w:r>
              <w:rPr>
                <w:rFonts w:ascii="Arial" w:cs="Arial" w:eastAsia="Arial" w:hAnsi="Arial"/>
                <w:sz w:val="11"/>
                <w:szCs w:val="11"/>
                <w:color w:val="auto"/>
              </w:rPr>
              <w:t xml:space="preserve">Income tax valuation allowances </w:t>
            </w:r>
            <w:r>
              <w:rPr>
                <w:rFonts w:ascii="Arial" w:cs="Arial" w:eastAsia="Arial" w:hAnsi="Arial"/>
                <w:sz w:val="16"/>
                <w:szCs w:val="16"/>
                <w:color w:val="auto"/>
                <w:vertAlign w:val="superscript"/>
              </w:rPr>
              <w:t>(6)</w:t>
            </w:r>
          </w:p>
        </w:tc>
        <w:tc>
          <w:tcPr>
            <w:tcW w:w="400" w:type="dxa"/>
            <w:vAlign w:val="bottom"/>
          </w:tcPr>
          <w:p>
            <w:pPr>
              <w:spacing w:after="0"/>
              <w:rPr>
                <w:sz w:val="12"/>
                <w:szCs w:val="12"/>
                <w:color w:val="auto"/>
              </w:rPr>
            </w:pPr>
          </w:p>
        </w:tc>
        <w:tc>
          <w:tcPr>
            <w:tcW w:w="880" w:type="dxa"/>
            <w:vAlign w:val="bottom"/>
          </w:tcPr>
          <w:p>
            <w:pPr>
              <w:jc w:val="right"/>
              <w:ind w:right="155"/>
              <w:spacing w:after="0" w:line="144"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2"/>
                <w:szCs w:val="12"/>
                <w:color w:val="auto"/>
              </w:rPr>
            </w:pPr>
          </w:p>
        </w:tc>
        <w:tc>
          <w:tcPr>
            <w:tcW w:w="880" w:type="dxa"/>
            <w:vAlign w:val="bottom"/>
          </w:tcPr>
          <w:p>
            <w:pPr>
              <w:jc w:val="right"/>
              <w:ind w:right="155"/>
              <w:spacing w:after="0" w:line="144" w:lineRule="exact"/>
              <w:rPr>
                <w:sz w:val="20"/>
                <w:szCs w:val="20"/>
                <w:color w:val="auto"/>
              </w:rPr>
            </w:pPr>
            <w:r>
              <w:rPr>
                <w:rFonts w:ascii="Arial" w:cs="Arial" w:eastAsia="Arial" w:hAnsi="Arial"/>
                <w:sz w:val="13"/>
                <w:szCs w:val="13"/>
                <w:color w:val="auto"/>
              </w:rPr>
              <w:t>0.03</w:t>
            </w:r>
          </w:p>
        </w:tc>
        <w:tc>
          <w:tcPr>
            <w:tcW w:w="260" w:type="dxa"/>
            <w:vAlign w:val="bottom"/>
          </w:tcPr>
          <w:p>
            <w:pPr>
              <w:spacing w:after="0"/>
              <w:rPr>
                <w:sz w:val="12"/>
                <w:szCs w:val="12"/>
                <w:color w:val="auto"/>
              </w:rPr>
            </w:pPr>
          </w:p>
        </w:tc>
        <w:tc>
          <w:tcPr>
            <w:tcW w:w="880" w:type="dxa"/>
            <w:vAlign w:val="bottom"/>
            <w:gridSpan w:val="2"/>
          </w:tcPr>
          <w:p>
            <w:pPr>
              <w:jc w:val="right"/>
              <w:ind w:right="20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5560" w:type="dxa"/>
            <w:vAlign w:val="bottom"/>
            <w:shd w:val="clear" w:color="auto" w:fill="CCEEFF"/>
          </w:tcPr>
          <w:p>
            <w:pPr>
              <w:ind w:left="80"/>
              <w:spacing w:after="0" w:line="144" w:lineRule="exact"/>
              <w:rPr>
                <w:sz w:val="20"/>
                <w:szCs w:val="20"/>
                <w:color w:val="auto"/>
              </w:rPr>
            </w:pPr>
            <w:r>
              <w:rPr>
                <w:rFonts w:ascii="Arial" w:cs="Arial" w:eastAsia="Arial" w:hAnsi="Arial"/>
                <w:sz w:val="11"/>
                <w:szCs w:val="11"/>
                <w:color w:val="auto"/>
              </w:rPr>
              <w:t xml:space="preserve">Tax benefit related to enacted change in foreign branch currency regulations </w:t>
            </w:r>
            <w:r>
              <w:rPr>
                <w:rFonts w:ascii="Arial" w:cs="Arial" w:eastAsia="Arial" w:hAnsi="Arial"/>
                <w:sz w:val="16"/>
                <w:szCs w:val="16"/>
                <w:color w:val="auto"/>
                <w:vertAlign w:val="superscript"/>
              </w:rPr>
              <w:t>(7)</w:t>
            </w: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55"/>
              <w:spacing w:after="0" w:line="144" w:lineRule="exact"/>
              <w:rPr>
                <w:sz w:val="20"/>
                <w:szCs w:val="20"/>
                <w:color w:val="auto"/>
              </w:rPr>
            </w:pPr>
            <w:r>
              <w:rPr>
                <w:rFonts w:ascii="Arial" w:cs="Arial" w:eastAsia="Arial" w:hAnsi="Arial"/>
                <w:sz w:val="13"/>
                <w:szCs w:val="13"/>
                <w:b w:val="1"/>
                <w:bCs w:val="1"/>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55"/>
              <w:spacing w:after="0" w:line="144"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line="144" w:lineRule="exact"/>
              <w:rPr>
                <w:sz w:val="20"/>
                <w:szCs w:val="20"/>
                <w:color w:val="auto"/>
              </w:rPr>
            </w:pPr>
            <w:r>
              <w:rPr>
                <w:rFonts w:ascii="Arial" w:cs="Arial" w:eastAsia="Arial" w:hAnsi="Arial"/>
                <w:sz w:val="13"/>
                <w:szCs w:val="13"/>
                <w:color w:val="auto"/>
              </w:rPr>
              <w:t>(0.01)</w:t>
            </w:r>
          </w:p>
        </w:tc>
        <w:tc>
          <w:tcPr>
            <w:tcW w:w="0" w:type="dxa"/>
            <w:vAlign w:val="bottom"/>
          </w:tcPr>
          <w:p>
            <w:pPr>
              <w:spacing w:after="0"/>
              <w:rPr>
                <w:sz w:val="1"/>
                <w:szCs w:val="1"/>
                <w:color w:val="auto"/>
              </w:rPr>
            </w:pPr>
          </w:p>
        </w:tc>
      </w:tr>
      <w:tr>
        <w:trPr>
          <w:trHeight w:val="174"/>
        </w:trPr>
        <w:tc>
          <w:tcPr>
            <w:tcW w:w="5560" w:type="dxa"/>
            <w:vAlign w:val="bottom"/>
            <w:tcBorders>
              <w:top w:val="single" w:sz="8" w:color="auto"/>
              <w:bottom w:val="single" w:sz="8" w:color="auto"/>
            </w:tcBorders>
          </w:tcPr>
          <w:p>
            <w:pPr>
              <w:spacing w:after="0" w:line="134" w:lineRule="exact"/>
              <w:rPr>
                <w:sz w:val="20"/>
                <w:szCs w:val="20"/>
                <w:color w:val="auto"/>
              </w:rPr>
            </w:pPr>
            <w:r>
              <w:rPr>
                <w:rFonts w:ascii="Arial" w:cs="Arial" w:eastAsia="Arial" w:hAnsi="Arial"/>
                <w:sz w:val="13"/>
                <w:szCs w:val="13"/>
                <w:color w:val="auto"/>
              </w:rPr>
              <w:t>Adjusted diluted EPS (non-GAAP)</w:t>
            </w:r>
          </w:p>
        </w:tc>
        <w:tc>
          <w:tcPr>
            <w:tcW w:w="400" w:type="dxa"/>
            <w:vAlign w:val="bottom"/>
            <w:tcBorders>
              <w:top w:val="single" w:sz="8" w:color="auto"/>
              <w:bottom w:val="single" w:sz="8" w:color="auto"/>
            </w:tcBorders>
          </w:tcPr>
          <w:p>
            <w:pPr>
              <w:jc w:val="right"/>
              <w:ind w:right="55"/>
              <w:spacing w:after="0" w:line="134" w:lineRule="exact"/>
              <w:rPr>
                <w:sz w:val="20"/>
                <w:szCs w:val="20"/>
                <w:color w:val="auto"/>
              </w:rPr>
            </w:pPr>
            <w:r>
              <w:rPr>
                <w:rFonts w:ascii="Arial" w:cs="Arial" w:eastAsia="Arial" w:hAnsi="Arial"/>
                <w:sz w:val="13"/>
                <w:szCs w:val="13"/>
                <w:b w:val="1"/>
                <w:bCs w:val="1"/>
                <w:color w:val="auto"/>
              </w:rPr>
              <w:t>$</w:t>
            </w:r>
          </w:p>
        </w:tc>
        <w:tc>
          <w:tcPr>
            <w:tcW w:w="880" w:type="dxa"/>
            <w:vAlign w:val="bottom"/>
            <w:tcBorders>
              <w:top w:val="single" w:sz="8" w:color="auto"/>
              <w:bottom w:val="single" w:sz="8" w:color="auto"/>
            </w:tcBorders>
          </w:tcPr>
          <w:p>
            <w:pPr>
              <w:jc w:val="right"/>
              <w:ind w:right="155"/>
              <w:spacing w:after="0" w:line="134" w:lineRule="exact"/>
              <w:rPr>
                <w:sz w:val="20"/>
                <w:szCs w:val="20"/>
                <w:color w:val="auto"/>
              </w:rPr>
            </w:pPr>
            <w:r>
              <w:rPr>
                <w:rFonts w:ascii="Arial" w:cs="Arial" w:eastAsia="Arial" w:hAnsi="Arial"/>
                <w:sz w:val="13"/>
                <w:szCs w:val="13"/>
                <w:b w:val="1"/>
                <w:bCs w:val="1"/>
                <w:color w:val="auto"/>
              </w:rPr>
              <w:t>2.81</w:t>
            </w:r>
          </w:p>
        </w:tc>
        <w:tc>
          <w:tcPr>
            <w:tcW w:w="260" w:type="dxa"/>
            <w:vAlign w:val="bottom"/>
            <w:tcBorders>
              <w:top w:val="single" w:sz="8" w:color="auto"/>
              <w:bottom w:val="single" w:sz="8" w:color="auto"/>
            </w:tcBorders>
          </w:tcPr>
          <w:p>
            <w:pPr>
              <w:jc w:val="right"/>
              <w:ind w:right="55"/>
              <w:spacing w:after="0" w:line="134" w:lineRule="exact"/>
              <w:rPr>
                <w:sz w:val="20"/>
                <w:szCs w:val="20"/>
                <w:color w:val="auto"/>
              </w:rPr>
            </w:pPr>
            <w:r>
              <w:rPr>
                <w:rFonts w:ascii="Arial" w:cs="Arial" w:eastAsia="Arial" w:hAnsi="Arial"/>
                <w:sz w:val="13"/>
                <w:szCs w:val="13"/>
                <w:color w:val="auto"/>
              </w:rPr>
              <w:t>$</w:t>
            </w:r>
          </w:p>
        </w:tc>
        <w:tc>
          <w:tcPr>
            <w:tcW w:w="880" w:type="dxa"/>
            <w:vAlign w:val="bottom"/>
            <w:tcBorders>
              <w:top w:val="single" w:sz="8" w:color="auto"/>
              <w:bottom w:val="single" w:sz="8" w:color="auto"/>
            </w:tcBorders>
          </w:tcPr>
          <w:p>
            <w:pPr>
              <w:jc w:val="right"/>
              <w:ind w:right="155"/>
              <w:spacing w:after="0" w:line="134" w:lineRule="exact"/>
              <w:rPr>
                <w:sz w:val="20"/>
                <w:szCs w:val="20"/>
                <w:color w:val="auto"/>
              </w:rPr>
            </w:pPr>
            <w:r>
              <w:rPr>
                <w:rFonts w:ascii="Arial" w:cs="Arial" w:eastAsia="Arial" w:hAnsi="Arial"/>
                <w:sz w:val="13"/>
                <w:szCs w:val="13"/>
                <w:color w:val="auto"/>
              </w:rPr>
              <w:t>4.93</w:t>
            </w:r>
          </w:p>
        </w:tc>
        <w:tc>
          <w:tcPr>
            <w:tcW w:w="260" w:type="dxa"/>
            <w:vAlign w:val="bottom"/>
            <w:tcBorders>
              <w:top w:val="single" w:sz="8" w:color="auto"/>
              <w:bottom w:val="single" w:sz="8" w:color="auto"/>
            </w:tcBorders>
          </w:tcPr>
          <w:p>
            <w:pPr>
              <w:jc w:val="right"/>
              <w:ind w:right="55"/>
              <w:spacing w:after="0" w:line="134" w:lineRule="exact"/>
              <w:rPr>
                <w:sz w:val="20"/>
                <w:szCs w:val="20"/>
                <w:color w:val="auto"/>
              </w:rPr>
            </w:pPr>
            <w:r>
              <w:rPr>
                <w:rFonts w:ascii="Arial" w:cs="Arial" w:eastAsia="Arial" w:hAnsi="Arial"/>
                <w:sz w:val="13"/>
                <w:szCs w:val="13"/>
                <w:color w:val="auto"/>
              </w:rPr>
              <w:t>$</w:t>
            </w:r>
          </w:p>
        </w:tc>
        <w:tc>
          <w:tcPr>
            <w:tcW w:w="72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4.71</w:t>
            </w:r>
          </w:p>
        </w:tc>
        <w:tc>
          <w:tcPr>
            <w:tcW w:w="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55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5560" w:type="dxa"/>
            <w:vAlign w:val="bottom"/>
          </w:tcPr>
          <w:p>
            <w:pPr>
              <w:spacing w:after="0" w:line="144" w:lineRule="exact"/>
              <w:rPr>
                <w:sz w:val="20"/>
                <w:szCs w:val="20"/>
                <w:color w:val="auto"/>
              </w:rPr>
            </w:pPr>
            <w:r>
              <w:rPr>
                <w:rFonts w:ascii="Arial" w:cs="Arial" w:eastAsia="Arial" w:hAnsi="Arial"/>
                <w:sz w:val="13"/>
                <w:szCs w:val="13"/>
                <w:color w:val="auto"/>
              </w:rPr>
              <w:t>Net income margin %</w:t>
            </w:r>
          </w:p>
        </w:tc>
        <w:tc>
          <w:tcPr>
            <w:tcW w:w="400" w:type="dxa"/>
            <w:vAlign w:val="bottom"/>
          </w:tcPr>
          <w:p>
            <w:pPr>
              <w:spacing w:after="0"/>
              <w:rPr>
                <w:sz w:val="12"/>
                <w:szCs w:val="12"/>
                <w:color w:val="auto"/>
              </w:rPr>
            </w:pPr>
          </w:p>
        </w:tc>
        <w:tc>
          <w:tcPr>
            <w:tcW w:w="88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4.3 %</w:t>
            </w:r>
          </w:p>
        </w:tc>
        <w:tc>
          <w:tcPr>
            <w:tcW w:w="260" w:type="dxa"/>
            <w:vAlign w:val="bottom"/>
          </w:tcPr>
          <w:p>
            <w:pPr>
              <w:spacing w:after="0"/>
              <w:rPr>
                <w:sz w:val="12"/>
                <w:szCs w:val="12"/>
                <w:color w:val="auto"/>
              </w:rPr>
            </w:pPr>
          </w:p>
        </w:tc>
        <w:tc>
          <w:tcPr>
            <w:tcW w:w="880" w:type="dxa"/>
            <w:vAlign w:val="bottom"/>
          </w:tcPr>
          <w:p>
            <w:pPr>
              <w:jc w:val="right"/>
              <w:spacing w:after="0" w:line="144" w:lineRule="exact"/>
              <w:rPr>
                <w:sz w:val="20"/>
                <w:szCs w:val="20"/>
                <w:color w:val="auto"/>
              </w:rPr>
            </w:pPr>
            <w:r>
              <w:rPr>
                <w:rFonts w:ascii="Arial" w:cs="Arial" w:eastAsia="Arial" w:hAnsi="Arial"/>
                <w:sz w:val="13"/>
                <w:szCs w:val="13"/>
                <w:color w:val="auto"/>
              </w:rPr>
              <w:t>6.1 %</w:t>
            </w:r>
          </w:p>
        </w:tc>
        <w:tc>
          <w:tcPr>
            <w:tcW w:w="260" w:type="dxa"/>
            <w:vAlign w:val="bottom"/>
          </w:tcPr>
          <w:p>
            <w:pPr>
              <w:spacing w:after="0"/>
              <w:rPr>
                <w:sz w:val="12"/>
                <w:szCs w:val="12"/>
                <w:color w:val="auto"/>
              </w:rPr>
            </w:pPr>
          </w:p>
        </w:tc>
        <w:tc>
          <w:tcPr>
            <w:tcW w:w="880" w:type="dxa"/>
            <w:vAlign w:val="bottom"/>
            <w:gridSpan w:val="2"/>
          </w:tcPr>
          <w:p>
            <w:pPr>
              <w:jc w:val="right"/>
              <w:ind w:right="60"/>
              <w:spacing w:after="0" w:line="144" w:lineRule="exact"/>
              <w:rPr>
                <w:sz w:val="20"/>
                <w:szCs w:val="20"/>
                <w:color w:val="auto"/>
              </w:rPr>
            </w:pPr>
            <w:r>
              <w:rPr>
                <w:rFonts w:ascii="Arial" w:cs="Arial" w:eastAsia="Arial" w:hAnsi="Arial"/>
                <w:sz w:val="13"/>
                <w:szCs w:val="13"/>
                <w:color w:val="auto"/>
              </w:rPr>
              <w:t>6.8 %</w:t>
            </w:r>
          </w:p>
        </w:tc>
        <w:tc>
          <w:tcPr>
            <w:tcW w:w="0" w:type="dxa"/>
            <w:vAlign w:val="bottom"/>
          </w:tcPr>
          <w:p>
            <w:pPr>
              <w:spacing w:after="0"/>
              <w:rPr>
                <w:sz w:val="1"/>
                <w:szCs w:val="1"/>
                <w:color w:val="auto"/>
              </w:rPr>
            </w:pPr>
          </w:p>
        </w:tc>
      </w:tr>
      <w:tr>
        <w:trPr>
          <w:trHeight w:val="144"/>
        </w:trPr>
        <w:tc>
          <w:tcPr>
            <w:tcW w:w="5560" w:type="dxa"/>
            <w:vAlign w:val="bottom"/>
            <w:tcBorders>
              <w:bottom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rPr>
              <w:t>Adjusted net income margin %</w:t>
            </w:r>
          </w:p>
        </w:tc>
        <w:tc>
          <w:tcPr>
            <w:tcW w:w="4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3.9 %</w:t>
            </w: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6.7 %</w:t>
            </w: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gridSpan w:val="2"/>
            <w:shd w:val="clear" w:color="auto" w:fill="CCEEFF"/>
          </w:tcPr>
          <w:p>
            <w:pPr>
              <w:jc w:val="right"/>
              <w:ind w:right="60"/>
              <w:spacing w:after="0" w:line="144" w:lineRule="exact"/>
              <w:rPr>
                <w:sz w:val="20"/>
                <w:szCs w:val="20"/>
                <w:color w:val="auto"/>
              </w:rPr>
            </w:pPr>
            <w:r>
              <w:rPr>
                <w:rFonts w:ascii="Arial" w:cs="Arial" w:eastAsia="Arial" w:hAnsi="Arial"/>
                <w:sz w:val="13"/>
                <w:szCs w:val="13"/>
                <w:color w:val="auto"/>
              </w:rPr>
              <w:t>6.9 %</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3"/>
        <w:spacing w:after="0"/>
        <w:rPr>
          <w:sz w:val="20"/>
          <w:szCs w:val="20"/>
          <w:color w:val="auto"/>
        </w:rPr>
      </w:pPr>
      <w:r>
        <w:rPr>
          <w:rFonts w:ascii="Arial" w:cs="Arial" w:eastAsia="Arial" w:hAnsi="Arial"/>
          <w:sz w:val="13"/>
          <w:szCs w:val="13"/>
          <w:i w:val="1"/>
          <w:iCs w:val="1"/>
          <w:u w:val="single" w:color="auto"/>
          <w:color w:val="auto"/>
        </w:rPr>
        <w:t>Notes on Non-GAAP Adjustments:</w:t>
      </w:r>
    </w:p>
    <w:p>
      <w:pPr>
        <w:spacing w:after="0" w:line="156" w:lineRule="exact"/>
        <w:rPr>
          <w:sz w:val="20"/>
          <w:szCs w:val="20"/>
          <w:color w:val="auto"/>
        </w:rPr>
      </w:pPr>
    </w:p>
    <w:p>
      <w:pPr>
        <w:ind w:left="243" w:right="39" w:hanging="243"/>
        <w:spacing w:after="0" w:line="246" w:lineRule="auto"/>
        <w:tabs>
          <w:tab w:leader="none" w:pos="243" w:val="left"/>
        </w:tabs>
        <w:numPr>
          <w:ilvl w:val="0"/>
          <w:numId w:val="7"/>
        </w:numPr>
        <w:rPr>
          <w:rFonts w:ascii="Arial" w:cs="Arial" w:eastAsia="Arial" w:hAnsi="Arial"/>
          <w:sz w:val="10"/>
          <w:szCs w:val="10"/>
          <w:color w:val="auto"/>
        </w:rPr>
      </w:pPr>
      <w:r>
        <w:rPr>
          <w:rFonts w:ascii="Arial" w:cs="Arial" w:eastAsia="Arial" w:hAnsi="Arial"/>
          <w:sz w:val="10"/>
          <w:szCs w:val="10"/>
          <w:color w:val="auto"/>
        </w:rPr>
        <w:t xml:space="preserve">For 2020, 2019, and 2018, we recorded impairment and other charges of $117 million ($93 million net of tax), $65 million ($49 million net of tax), and $37 million ($31 million net of tax), respectively. See the </w:t>
      </w:r>
      <w:r>
        <w:rPr>
          <w:rFonts w:ascii="Arial" w:cs="Arial" w:eastAsia="Arial" w:hAnsi="Arial"/>
          <w:sz w:val="10"/>
          <w:szCs w:val="10"/>
          <w:i w:val="1"/>
          <w:iCs w:val="1"/>
          <w:color w:val="auto"/>
        </w:rPr>
        <w:t>Impairment and Other Charges</w:t>
      </w:r>
      <w:r>
        <w:rPr>
          <w:rFonts w:ascii="Arial" w:cs="Arial" w:eastAsia="Arial" w:hAnsi="Arial"/>
          <w:sz w:val="10"/>
          <w:szCs w:val="10"/>
          <w:color w:val="auto"/>
        </w:rPr>
        <w:t xml:space="preserve"> section for further information.</w:t>
      </w:r>
    </w:p>
    <w:p>
      <w:pPr>
        <w:jc w:val="both"/>
        <w:ind w:left="243" w:right="39" w:hanging="243"/>
        <w:spacing w:after="0" w:line="243" w:lineRule="auto"/>
        <w:tabs>
          <w:tab w:leader="none" w:pos="243" w:val="left"/>
        </w:tabs>
        <w:numPr>
          <w:ilvl w:val="0"/>
          <w:numId w:val="7"/>
        </w:numPr>
        <w:rPr>
          <w:rFonts w:ascii="Arial" w:cs="Arial" w:eastAsia="Arial" w:hAnsi="Arial"/>
          <w:sz w:val="10"/>
          <w:szCs w:val="10"/>
          <w:color w:val="auto"/>
        </w:rPr>
      </w:pPr>
      <w:r>
        <w:rPr>
          <w:rFonts w:ascii="Arial" w:cs="Arial" w:eastAsia="Arial" w:hAnsi="Arial"/>
          <w:sz w:val="10"/>
          <w:szCs w:val="10"/>
          <w:color w:val="auto"/>
        </w:rPr>
        <w:t>During 2020, one of our minority investments, which is measured using the fair value measurement alternative, received additional funding in the third quarter of 2020 at a higher valuation than our initial investment. As a result, we recorded a $190 million non-cash gain, or $140 million net of tax, during the third quarter of 2020. In 2019, Other income, net represented a gain recorded in connection with acquisition of a Canadian distribution center lease and related assets. The tax expense related to this transaction was largely offset by the release of a valuation allowance.</w:t>
      </w:r>
    </w:p>
    <w:p>
      <w:pPr>
        <w:spacing w:after="0" w:line="9" w:lineRule="exact"/>
        <w:rPr>
          <w:rFonts w:ascii="Arial" w:cs="Arial" w:eastAsia="Arial" w:hAnsi="Arial"/>
          <w:sz w:val="10"/>
          <w:szCs w:val="10"/>
          <w:color w:val="auto"/>
        </w:rPr>
      </w:pPr>
    </w:p>
    <w:p>
      <w:pPr>
        <w:ind w:left="243" w:hanging="243"/>
        <w:spacing w:after="0"/>
        <w:tabs>
          <w:tab w:leader="none" w:pos="243" w:val="left"/>
        </w:tabs>
        <w:numPr>
          <w:ilvl w:val="0"/>
          <w:numId w:val="7"/>
        </w:numPr>
        <w:rPr>
          <w:rFonts w:ascii="Arial" w:cs="Arial" w:eastAsia="Arial" w:hAnsi="Arial"/>
          <w:sz w:val="10"/>
          <w:szCs w:val="10"/>
          <w:color w:val="auto"/>
        </w:rPr>
      </w:pPr>
      <w:r>
        <w:rPr>
          <w:rFonts w:ascii="Arial" w:cs="Arial" w:eastAsia="Arial" w:hAnsi="Arial"/>
          <w:sz w:val="10"/>
          <w:szCs w:val="10"/>
          <w:color w:val="auto"/>
        </w:rPr>
        <w:t>We recorded a $25 million tax charge related to the revaluation of certain intellectual property rights, pursuant to a non-U.S. advance pricing agreement.</w:t>
      </w:r>
    </w:p>
    <w:p>
      <w:pPr>
        <w:spacing w:after="0" w:line="8" w:lineRule="exact"/>
        <w:rPr>
          <w:rFonts w:ascii="Arial" w:cs="Arial" w:eastAsia="Arial" w:hAnsi="Arial"/>
          <w:sz w:val="10"/>
          <w:szCs w:val="10"/>
          <w:color w:val="auto"/>
        </w:rPr>
      </w:pPr>
    </w:p>
    <w:p>
      <w:pPr>
        <w:ind w:left="243" w:right="39" w:hanging="243"/>
        <w:spacing w:after="0" w:line="246" w:lineRule="auto"/>
        <w:tabs>
          <w:tab w:leader="none" w:pos="243" w:val="left"/>
        </w:tabs>
        <w:numPr>
          <w:ilvl w:val="0"/>
          <w:numId w:val="7"/>
        </w:numPr>
        <w:rPr>
          <w:rFonts w:ascii="Arial" w:cs="Arial" w:eastAsia="Arial" w:hAnsi="Arial"/>
          <w:sz w:val="10"/>
          <w:szCs w:val="10"/>
          <w:color w:val="auto"/>
        </w:rPr>
      </w:pPr>
      <w:r>
        <w:rPr>
          <w:rFonts w:ascii="Arial" w:cs="Arial" w:eastAsia="Arial" w:hAnsi="Arial"/>
          <w:sz w:val="10"/>
          <w:szCs w:val="10"/>
          <w:color w:val="auto"/>
        </w:rPr>
        <w:t>We recognized a tax benefit of $5 million and $2 million during the fourth quarters of 2020 and 2019, respectively, and a tax expense of $4 million during the fourth quarter 2018 in connection with tax law changes in the Netherlands.</w:t>
      </w:r>
    </w:p>
    <w:p>
      <w:pPr>
        <w:jc w:val="both"/>
        <w:ind w:left="243" w:right="39" w:hanging="243"/>
        <w:spacing w:after="0" w:line="239" w:lineRule="auto"/>
        <w:tabs>
          <w:tab w:leader="none" w:pos="243" w:val="left"/>
        </w:tabs>
        <w:numPr>
          <w:ilvl w:val="0"/>
          <w:numId w:val="7"/>
        </w:numPr>
        <w:rPr>
          <w:rFonts w:ascii="Arial" w:cs="Arial" w:eastAsia="Arial" w:hAnsi="Arial"/>
          <w:sz w:val="10"/>
          <w:szCs w:val="10"/>
          <w:color w:val="auto"/>
        </w:rPr>
      </w:pPr>
      <w:r>
        <w:rPr>
          <w:rFonts w:ascii="Arial" w:cs="Arial" w:eastAsia="Arial" w:hAnsi="Arial"/>
          <w:sz w:val="10"/>
          <w:szCs w:val="10"/>
          <w:color w:val="auto"/>
        </w:rPr>
        <w:t>On December 22, 2017, the United States enacted tax reform legislation that included a broad range of business tax provisions. In 2017, we recognized a $99 million provisional charge for the mandatory deemed repatriation of foreign sourced net earnings and a corresponding change in our permanent reinvestment assertion under ASC 740-30. During 2018, we reduced the provisional amounts by $28 million. This adjustment represented a $21 million reduction in the deemed repatriation tax and a $7 million benefit related to IRS accounting method changes and timing difference adjustments. In 2019, we recorded a charge for $2 million, which reflected an adjustment to U.S. tax on foreign income. We exclude the discrete U.S. tax reform effect from our Adjusted diluted EPS as it does not reflect our ongoing tax obligations under U.S. tax reform.</w:t>
      </w:r>
    </w:p>
    <w:p>
      <w:pPr>
        <w:spacing w:after="0" w:line="12" w:lineRule="exact"/>
        <w:rPr>
          <w:rFonts w:ascii="Arial" w:cs="Arial" w:eastAsia="Arial" w:hAnsi="Arial"/>
          <w:sz w:val="10"/>
          <w:szCs w:val="10"/>
          <w:color w:val="auto"/>
        </w:rPr>
      </w:pPr>
    </w:p>
    <w:p>
      <w:pPr>
        <w:ind w:left="243" w:hanging="243"/>
        <w:spacing w:after="0"/>
        <w:tabs>
          <w:tab w:leader="none" w:pos="243" w:val="left"/>
        </w:tabs>
        <w:numPr>
          <w:ilvl w:val="0"/>
          <w:numId w:val="7"/>
        </w:numPr>
        <w:rPr>
          <w:rFonts w:ascii="Arial" w:cs="Arial" w:eastAsia="Arial" w:hAnsi="Arial"/>
          <w:sz w:val="10"/>
          <w:szCs w:val="10"/>
          <w:color w:val="auto"/>
        </w:rPr>
      </w:pPr>
      <w:r>
        <w:rPr>
          <w:rFonts w:ascii="Arial" w:cs="Arial" w:eastAsia="Arial" w:hAnsi="Arial"/>
          <w:sz w:val="10"/>
          <w:szCs w:val="10"/>
          <w:color w:val="auto"/>
        </w:rPr>
        <w:t>Valuation allowances were established against deferred tax assets associated with certain foreign tax losses.</w:t>
      </w:r>
    </w:p>
    <w:p>
      <w:pPr>
        <w:spacing w:after="0" w:line="28" w:lineRule="exact"/>
        <w:rPr>
          <w:rFonts w:ascii="Arial" w:cs="Arial" w:eastAsia="Arial" w:hAnsi="Arial"/>
          <w:sz w:val="10"/>
          <w:szCs w:val="10"/>
          <w:color w:val="auto"/>
        </w:rPr>
      </w:pPr>
    </w:p>
    <w:p>
      <w:pPr>
        <w:jc w:val="both"/>
        <w:ind w:left="243" w:right="39" w:hanging="243"/>
        <w:spacing w:after="0" w:line="199" w:lineRule="auto"/>
        <w:tabs>
          <w:tab w:leader="none" w:pos="243" w:val="left"/>
        </w:tabs>
        <w:numPr>
          <w:ilvl w:val="0"/>
          <w:numId w:val="7"/>
        </w:numPr>
        <w:rPr>
          <w:rFonts w:ascii="Arial" w:cs="Arial" w:eastAsia="Arial" w:hAnsi="Arial"/>
          <w:sz w:val="21"/>
          <w:szCs w:val="21"/>
          <w:color w:val="auto"/>
          <w:vertAlign w:val="superscript"/>
        </w:rPr>
      </w:pPr>
      <w:r>
        <w:rPr>
          <w:rFonts w:ascii="Arial" w:cs="Arial" w:eastAsia="Arial" w:hAnsi="Arial"/>
          <w:sz w:val="10"/>
          <w:szCs w:val="10"/>
          <w:color w:val="auto"/>
        </w:rPr>
        <w:t>During 2018, the U.S. Treasury issued a notice that delayed the effective date of regulations under Internal Revenue Code Section 987. The effective date was further delayed by a notice issued in the fourth quarter of 2019 and third quarter of 2020. These regulations changed our method for determining the tax effects of foreign currency translation gains and losses for our foreign businesses that are operated as branches and are reported in a currency other than the currency of their parent. As a result of the delay in the effective date, we updated our calculations for the effect of these regulations, which resulted in an increase to deferred tax assets and a corresponding reduction in our income tax provision in the amount of $1 million in 2018. The adjustments recorded in 2020 and 2019 were not significant.</w:t>
      </w:r>
    </w:p>
    <w:p>
      <w:pPr>
        <w:spacing w:after="0" w:line="200" w:lineRule="exact"/>
        <w:rPr>
          <w:sz w:val="20"/>
          <w:szCs w:val="20"/>
          <w:color w:val="auto"/>
        </w:rPr>
      </w:pPr>
    </w:p>
    <w:p>
      <w:pPr>
        <w:spacing w:after="0" w:line="230" w:lineRule="exact"/>
        <w:rPr>
          <w:sz w:val="20"/>
          <w:szCs w:val="20"/>
          <w:color w:val="auto"/>
        </w:rPr>
      </w:pPr>
    </w:p>
    <w:p>
      <w:pPr>
        <w:jc w:val="right"/>
        <w:ind w:right="39"/>
        <w:spacing w:after="0"/>
        <w:rPr>
          <w:sz w:val="20"/>
          <w:szCs w:val="20"/>
          <w:color w:val="auto"/>
        </w:rPr>
      </w:pPr>
      <w:r>
        <w:rPr>
          <w:rFonts w:ascii="Arial" w:cs="Arial" w:eastAsia="Arial" w:hAnsi="Arial"/>
          <w:sz w:val="13"/>
          <w:szCs w:val="13"/>
          <w:color w:val="auto"/>
        </w:rPr>
        <w:t>2020 Form 10-K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357505</wp:posOffset>
            </wp:positionV>
            <wp:extent cx="5790565" cy="13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90565" cy="13335"/>
                    </a:xfrm>
                    <a:prstGeom prst="rect">
                      <a:avLst/>
                    </a:prstGeom>
                    <a:noFill/>
                  </pic:spPr>
                </pic:pic>
              </a:graphicData>
            </a:graphic>
          </wp:anchor>
        </w:drawing>
      </w:r>
    </w:p>
    <w:p>
      <w:pPr>
        <w:sectPr>
          <w:pgSz w:w="11900" w:h="16838" w:orient="portrait"/>
          <w:cols w:equalWidth="0" w:num="1">
            <w:col w:w="9162"/>
          </w:cols>
          <w:pgMar w:left="1297" w:top="673" w:right="1440" w:bottom="1440" w:gutter="0" w:footer="0" w:header="0"/>
        </w:sectPr>
      </w:pPr>
    </w:p>
    <w:bookmarkStart w:id="23" w:name="page24"/>
    <w:bookmarkEnd w:id="23"/>
    <w:p>
      <w:pPr>
        <w:ind w:left="3"/>
        <w:spacing w:after="0"/>
        <w:rPr>
          <w:sz w:val="20"/>
          <w:szCs w:val="20"/>
          <w:color w:val="auto"/>
        </w:rPr>
      </w:pPr>
      <w:r>
        <w:rPr>
          <w:rFonts w:ascii="Arial" w:cs="Arial" w:eastAsia="Arial" w:hAnsi="Arial"/>
          <w:sz w:val="13"/>
          <w:szCs w:val="13"/>
          <w:i w:val="1"/>
          <w:iCs w:val="1"/>
          <w:u w:val="single" w:color="auto"/>
          <w:color w:val="auto"/>
        </w:rPr>
        <w:t>Return on Invested Capital</w:t>
      </w:r>
    </w:p>
    <w:p>
      <w:pPr>
        <w:spacing w:after="0" w:line="131" w:lineRule="exact"/>
        <w:rPr>
          <w:sz w:val="20"/>
          <w:szCs w:val="20"/>
          <w:color w:val="auto"/>
        </w:rPr>
      </w:pPr>
    </w:p>
    <w:p>
      <w:pPr>
        <w:jc w:val="both"/>
        <w:ind w:left="3" w:right="39"/>
        <w:spacing w:after="0" w:line="236" w:lineRule="auto"/>
        <w:rPr>
          <w:sz w:val="20"/>
          <w:szCs w:val="20"/>
          <w:color w:val="auto"/>
        </w:rPr>
      </w:pPr>
      <w:r>
        <w:rPr>
          <w:rFonts w:ascii="Arial" w:cs="Arial" w:eastAsia="Arial" w:hAnsi="Arial"/>
          <w:sz w:val="13"/>
          <w:szCs w:val="13"/>
          <w:color w:val="auto"/>
        </w:rPr>
        <w:t>ROIC is presented below and represents a non-GAAP measure. We believe ROIC is a meaningful measure because it quantifies how efficiently we generated operating income relative to the capital we have invested in the business. ROIC, subject to certain adjustments, is also used as a measure in executive long-term incentive compensation.</w:t>
      </w:r>
    </w:p>
    <w:p>
      <w:pPr>
        <w:spacing w:after="0" w:line="123" w:lineRule="exact"/>
        <w:rPr>
          <w:sz w:val="20"/>
          <w:szCs w:val="20"/>
          <w:color w:val="auto"/>
        </w:rPr>
      </w:pPr>
    </w:p>
    <w:p>
      <w:pPr>
        <w:jc w:val="both"/>
        <w:ind w:left="3" w:right="39"/>
        <w:spacing w:after="0" w:line="236" w:lineRule="auto"/>
        <w:rPr>
          <w:sz w:val="20"/>
          <w:szCs w:val="20"/>
          <w:color w:val="auto"/>
        </w:rPr>
      </w:pPr>
      <w:r>
        <w:rPr>
          <w:rFonts w:ascii="Arial" w:cs="Arial" w:eastAsia="Arial" w:hAnsi="Arial"/>
          <w:sz w:val="13"/>
          <w:szCs w:val="13"/>
          <w:color w:val="auto"/>
        </w:rPr>
        <w:t>The closest U.S. GAAP measure to ROIC is Return on Assets (“ROA”) and is also presented below. ROA is calculated as net income in the fiscal year divided by the two-year average of total assets. ROA decreased to 4.7 percent as compared with 9.4 percent in the prior year. This decrease reflected lower net income and higher average total assets, primarily driven by an increase in cash and cash equivalents partially offset by lower merchandise inventories.</w:t>
      </w:r>
    </w:p>
    <w:p>
      <w:pPr>
        <w:spacing w:after="0" w:line="123" w:lineRule="exact"/>
        <w:rPr>
          <w:sz w:val="20"/>
          <w:szCs w:val="20"/>
          <w:color w:val="auto"/>
        </w:rPr>
      </w:pPr>
    </w:p>
    <w:p>
      <w:pPr>
        <w:jc w:val="both"/>
        <w:ind w:left="3" w:right="39"/>
        <w:spacing w:after="0" w:line="234" w:lineRule="auto"/>
        <w:rPr>
          <w:sz w:val="20"/>
          <w:szCs w:val="20"/>
          <w:color w:val="auto"/>
        </w:rPr>
      </w:pPr>
      <w:r>
        <w:rPr>
          <w:rFonts w:ascii="Arial" w:cs="Arial" w:eastAsia="Arial" w:hAnsi="Arial"/>
          <w:sz w:val="13"/>
          <w:szCs w:val="13"/>
          <w:color w:val="auto"/>
        </w:rPr>
        <w:t>Prior to the adoption of the new lease standard in 2019, we adjusted our results to reflect our operating leases as if they qualified for finance lease treatment or as if the property were purchased. The presentation in 2018 did not reflect the requirements of the new lease standard. With the adoption of this standard, leases are now recorded on the Consolidated Balance Sheet, and therefore, certain adjustments are no longer required. Our ROIC decreased to 8.6 percent in 2020, as compared with 12.5 percent in the prior year. The overall decrease in ROIC reflected a decrease in adjusted return after taxes due to the lower profitability caused by the COVID-19 pandemic.</w:t>
      </w:r>
    </w:p>
    <w:p>
      <w:pPr>
        <w:spacing w:after="0" w:line="107" w:lineRule="exact"/>
        <w:rPr>
          <w:sz w:val="20"/>
          <w:szCs w:val="20"/>
          <w:color w:val="auto"/>
        </w:rPr>
      </w:pPr>
    </w:p>
    <w:tbl>
      <w:tblPr>
        <w:tblLayout w:type="fixed"/>
        <w:tblInd w:w="3" w:type="dxa"/>
        <w:tblCellMar>
          <w:top w:w="0" w:type="dxa"/>
          <w:left w:w="0" w:type="dxa"/>
          <w:bottom w:w="0" w:type="dxa"/>
          <w:right w:w="0" w:type="dxa"/>
        </w:tblCellMar>
      </w:tblPr>
      <w:tr>
        <w:trPr>
          <w:trHeight w:val="164"/>
        </w:trPr>
        <w:tc>
          <w:tcPr>
            <w:tcW w:w="5640" w:type="dxa"/>
            <w:vAlign w:val="bottom"/>
            <w:tcBorders>
              <w:bottom w:val="single" w:sz="8" w:color="auto"/>
            </w:tcBorders>
          </w:tcPr>
          <w:p>
            <w:pPr>
              <w:jc w:val="right"/>
              <w:ind w:right="19"/>
              <w:spacing w:after="0"/>
              <w:rPr>
                <w:sz w:val="20"/>
                <w:szCs w:val="20"/>
                <w:color w:val="auto"/>
              </w:rPr>
            </w:pPr>
            <w:r>
              <w:rPr>
                <w:rFonts w:ascii="Arial" w:cs="Arial" w:eastAsia="Arial" w:hAnsi="Arial"/>
                <w:sz w:val="13"/>
                <w:szCs w:val="13"/>
                <w:b w:val="1"/>
                <w:bCs w:val="1"/>
                <w:color w:val="auto"/>
              </w:rPr>
              <w:t>2020</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2019</w:t>
            </w:r>
          </w:p>
        </w:tc>
        <w:tc>
          <w:tcPr>
            <w:tcW w:w="8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35"/>
              <w:spacing w:after="0"/>
              <w:rPr>
                <w:sz w:val="20"/>
                <w:szCs w:val="20"/>
                <w:color w:val="auto"/>
              </w:rPr>
            </w:pPr>
            <w:r>
              <w:rPr>
                <w:rFonts w:ascii="Arial" w:cs="Arial" w:eastAsia="Arial" w:hAnsi="Arial"/>
                <w:sz w:val="13"/>
                <w:szCs w:val="13"/>
                <w:color w:val="auto"/>
              </w:rPr>
              <w:t>2018</w:t>
            </w:r>
          </w:p>
        </w:tc>
      </w:tr>
      <w:tr>
        <w:trPr>
          <w:trHeight w:val="134"/>
        </w:trPr>
        <w:tc>
          <w:tcPr>
            <w:tcW w:w="5640" w:type="dxa"/>
            <w:vAlign w:val="bottom"/>
            <w:shd w:val="clear" w:color="auto" w:fill="CCEEFF"/>
          </w:tcPr>
          <w:p>
            <w:pPr>
              <w:spacing w:after="0" w:line="134" w:lineRule="exact"/>
              <w:rPr>
                <w:sz w:val="20"/>
                <w:szCs w:val="20"/>
                <w:color w:val="auto"/>
              </w:rPr>
            </w:pPr>
            <w:r>
              <w:rPr>
                <w:rFonts w:ascii="Arial" w:cs="Arial" w:eastAsia="Arial" w:hAnsi="Arial"/>
                <w:sz w:val="11"/>
                <w:szCs w:val="11"/>
                <w:color w:val="auto"/>
              </w:rPr>
              <w:t xml:space="preserve">ROA </w:t>
            </w:r>
            <w:r>
              <w:rPr>
                <w:rFonts w:ascii="Arial" w:cs="Arial" w:eastAsia="Arial" w:hAnsi="Arial"/>
                <w:sz w:val="15"/>
                <w:szCs w:val="15"/>
                <w:color w:val="auto"/>
                <w:vertAlign w:val="superscript"/>
              </w:rPr>
              <w:t>(1)</w:t>
            </w:r>
          </w:p>
        </w:tc>
        <w:tc>
          <w:tcPr>
            <w:tcW w:w="1440" w:type="dxa"/>
            <w:vAlign w:val="bottom"/>
            <w:shd w:val="clear" w:color="auto" w:fill="CCEEFF"/>
          </w:tcPr>
          <w:p>
            <w:pPr>
              <w:jc w:val="right"/>
              <w:ind w:right="975"/>
              <w:spacing w:after="0" w:line="134" w:lineRule="exact"/>
              <w:rPr>
                <w:sz w:val="20"/>
                <w:szCs w:val="20"/>
                <w:color w:val="auto"/>
              </w:rPr>
            </w:pPr>
            <w:r>
              <w:rPr>
                <w:rFonts w:ascii="Arial" w:cs="Arial" w:eastAsia="Arial" w:hAnsi="Arial"/>
                <w:sz w:val="13"/>
                <w:szCs w:val="13"/>
                <w:b w:val="1"/>
                <w:bCs w:val="1"/>
                <w:color w:val="auto"/>
              </w:rPr>
              <w:t>4.7 %</w:t>
            </w:r>
          </w:p>
        </w:tc>
        <w:tc>
          <w:tcPr>
            <w:tcW w:w="800" w:type="dxa"/>
            <w:vAlign w:val="bottom"/>
            <w:shd w:val="clear" w:color="auto" w:fill="CCEEFF"/>
          </w:tcPr>
          <w:p>
            <w:pPr>
              <w:jc w:val="right"/>
              <w:ind w:right="275"/>
              <w:spacing w:after="0" w:line="134" w:lineRule="exact"/>
              <w:rPr>
                <w:sz w:val="20"/>
                <w:szCs w:val="20"/>
                <w:color w:val="auto"/>
              </w:rPr>
            </w:pPr>
            <w:r>
              <w:rPr>
                <w:rFonts w:ascii="Arial" w:cs="Arial" w:eastAsia="Arial" w:hAnsi="Arial"/>
                <w:sz w:val="13"/>
                <w:szCs w:val="13"/>
                <w:color w:val="auto"/>
              </w:rPr>
              <w:t>9.4 %</w:t>
            </w:r>
          </w:p>
        </w:tc>
        <w:tc>
          <w:tcPr>
            <w:tcW w:w="1240" w:type="dxa"/>
            <w:vAlign w:val="bottom"/>
            <w:shd w:val="clear" w:color="auto" w:fill="CCEEFF"/>
          </w:tcPr>
          <w:p>
            <w:pPr>
              <w:jc w:val="right"/>
              <w:ind w:right="35"/>
              <w:spacing w:after="0" w:line="134" w:lineRule="exact"/>
              <w:rPr>
                <w:sz w:val="20"/>
                <w:szCs w:val="20"/>
                <w:color w:val="auto"/>
              </w:rPr>
            </w:pPr>
            <w:r>
              <w:rPr>
                <w:rFonts w:ascii="Arial" w:cs="Arial" w:eastAsia="Arial" w:hAnsi="Arial"/>
                <w:sz w:val="13"/>
                <w:szCs w:val="13"/>
                <w:color w:val="auto"/>
              </w:rPr>
              <w:t>13.9 %</w:t>
            </w:r>
          </w:p>
        </w:tc>
      </w:tr>
      <w:tr>
        <w:trPr>
          <w:trHeight w:val="144"/>
        </w:trPr>
        <w:tc>
          <w:tcPr>
            <w:tcW w:w="564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color w:val="auto"/>
              </w:rPr>
              <w:t>ROIC %</w:t>
            </w:r>
          </w:p>
        </w:tc>
        <w:tc>
          <w:tcPr>
            <w:tcW w:w="1440" w:type="dxa"/>
            <w:vAlign w:val="bottom"/>
            <w:tcBorders>
              <w:bottom w:val="single" w:sz="8" w:color="auto"/>
            </w:tcBorders>
          </w:tcPr>
          <w:p>
            <w:pPr>
              <w:jc w:val="right"/>
              <w:ind w:right="975"/>
              <w:spacing w:after="0" w:line="144" w:lineRule="exact"/>
              <w:rPr>
                <w:sz w:val="20"/>
                <w:szCs w:val="20"/>
                <w:color w:val="auto"/>
              </w:rPr>
            </w:pPr>
            <w:r>
              <w:rPr>
                <w:rFonts w:ascii="Arial" w:cs="Arial" w:eastAsia="Arial" w:hAnsi="Arial"/>
                <w:sz w:val="13"/>
                <w:szCs w:val="13"/>
                <w:b w:val="1"/>
                <w:bCs w:val="1"/>
                <w:color w:val="auto"/>
              </w:rPr>
              <w:t>8.6 %</w:t>
            </w:r>
          </w:p>
        </w:tc>
        <w:tc>
          <w:tcPr>
            <w:tcW w:w="800" w:type="dxa"/>
            <w:vAlign w:val="bottom"/>
            <w:tcBorders>
              <w:bottom w:val="single" w:sz="8" w:color="auto"/>
            </w:tcBorders>
          </w:tcPr>
          <w:p>
            <w:pPr>
              <w:jc w:val="right"/>
              <w:ind w:right="275"/>
              <w:spacing w:after="0" w:line="144" w:lineRule="exact"/>
              <w:rPr>
                <w:sz w:val="20"/>
                <w:szCs w:val="20"/>
                <w:color w:val="auto"/>
              </w:rPr>
            </w:pPr>
            <w:r>
              <w:rPr>
                <w:rFonts w:ascii="Arial" w:cs="Arial" w:eastAsia="Arial" w:hAnsi="Arial"/>
                <w:sz w:val="13"/>
                <w:szCs w:val="13"/>
                <w:color w:val="auto"/>
              </w:rPr>
              <w:t>12.5 %</w:t>
            </w:r>
          </w:p>
        </w:tc>
        <w:tc>
          <w:tcPr>
            <w:tcW w:w="1240" w:type="dxa"/>
            <w:vAlign w:val="bottom"/>
            <w:tcBorders>
              <w:bottom w:val="single" w:sz="8" w:color="auto"/>
            </w:tcBorders>
          </w:tcPr>
          <w:p>
            <w:pPr>
              <w:jc w:val="right"/>
              <w:ind w:right="35"/>
              <w:spacing w:after="0" w:line="144" w:lineRule="exact"/>
              <w:rPr>
                <w:sz w:val="20"/>
                <w:szCs w:val="20"/>
                <w:color w:val="auto"/>
              </w:rPr>
            </w:pPr>
            <w:r>
              <w:rPr>
                <w:rFonts w:ascii="Arial" w:cs="Arial" w:eastAsia="Arial" w:hAnsi="Arial"/>
                <w:sz w:val="13"/>
                <w:szCs w:val="13"/>
                <w:color w:val="auto"/>
              </w:rPr>
              <w:t>12.0 %</w:t>
            </w:r>
          </w:p>
        </w:tc>
      </w:tr>
    </w:tbl>
    <w:p>
      <w:pPr>
        <w:spacing w:after="0" w:line="112" w:lineRule="exact"/>
        <w:rPr>
          <w:sz w:val="20"/>
          <w:szCs w:val="20"/>
          <w:color w:val="auto"/>
        </w:rPr>
      </w:pPr>
    </w:p>
    <w:p>
      <w:pPr>
        <w:ind w:left="243" w:hanging="243"/>
        <w:spacing w:after="0"/>
        <w:tabs>
          <w:tab w:leader="none" w:pos="243" w:val="left"/>
        </w:tabs>
        <w:numPr>
          <w:ilvl w:val="0"/>
          <w:numId w:val="8"/>
        </w:numPr>
        <w:rPr>
          <w:rFonts w:ascii="Arial" w:cs="Arial" w:eastAsia="Arial" w:hAnsi="Arial"/>
          <w:sz w:val="10"/>
          <w:szCs w:val="10"/>
          <w:color w:val="auto"/>
        </w:rPr>
      </w:pPr>
      <w:r>
        <w:rPr>
          <w:rFonts w:ascii="Arial" w:cs="Arial" w:eastAsia="Arial" w:hAnsi="Arial"/>
          <w:sz w:val="10"/>
          <w:szCs w:val="10"/>
          <w:color w:val="auto"/>
        </w:rPr>
        <w:t>Represents net income of $323 million, $491 million, and $541 million divided by average total assets of $6,816 million, $5,205 million, and $3,891 million for 2020, 2019, and 2018, respectively.</w:t>
      </w:r>
    </w:p>
    <w:p>
      <w:pPr>
        <w:spacing w:after="0" w:line="105" w:lineRule="exact"/>
        <w:rPr>
          <w:sz w:val="20"/>
          <w:szCs w:val="20"/>
          <w:color w:val="auto"/>
        </w:rPr>
      </w:pPr>
    </w:p>
    <w:tbl>
      <w:tblPr>
        <w:tblLayout w:type="fixed"/>
        <w:tblInd w:w="3" w:type="dxa"/>
        <w:tblCellMar>
          <w:top w:w="0" w:type="dxa"/>
          <w:left w:w="0" w:type="dxa"/>
          <w:bottom w:w="0" w:type="dxa"/>
          <w:right w:w="0" w:type="dxa"/>
        </w:tblCellMar>
      </w:tblPr>
      <w:tr>
        <w:trPr>
          <w:trHeight w:val="149"/>
        </w:trPr>
        <w:tc>
          <w:tcPr>
            <w:tcW w:w="4400" w:type="dxa"/>
            <w:vAlign w:val="bottom"/>
            <w:gridSpan w:val="3"/>
          </w:tcPr>
          <w:p>
            <w:pPr>
              <w:spacing w:after="0"/>
              <w:rPr>
                <w:sz w:val="20"/>
                <w:szCs w:val="20"/>
                <w:color w:val="auto"/>
              </w:rPr>
            </w:pPr>
            <w:r>
              <w:rPr>
                <w:rFonts w:ascii="Arial" w:cs="Arial" w:eastAsia="Arial" w:hAnsi="Arial"/>
                <w:sz w:val="13"/>
                <w:szCs w:val="13"/>
                <w:i w:val="1"/>
                <w:iCs w:val="1"/>
                <w:color w:val="auto"/>
              </w:rPr>
              <w:t>Calculation of ROIC:</w:t>
            </w:r>
          </w:p>
        </w:tc>
        <w:tc>
          <w:tcPr>
            <w:tcW w:w="13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2020</w:t>
            </w: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0" w:type="dxa"/>
            <w:vAlign w:val="bottom"/>
            <w:tcBorders>
              <w:top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 in millions)</w:t>
            </w:r>
          </w:p>
        </w:tc>
        <w:tc>
          <w:tcPr>
            <w:tcW w:w="322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vMerge w:val="continue"/>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2019</w:t>
            </w:r>
          </w:p>
        </w:tc>
        <w:tc>
          <w:tcPr>
            <w:tcW w:w="6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5"/>
              <w:spacing w:after="0"/>
              <w:rPr>
                <w:sz w:val="20"/>
                <w:szCs w:val="20"/>
                <w:color w:val="auto"/>
              </w:rPr>
            </w:pPr>
            <w:r>
              <w:rPr>
                <w:rFonts w:ascii="Arial" w:cs="Arial" w:eastAsia="Arial" w:hAnsi="Arial"/>
                <w:sz w:val="13"/>
                <w:szCs w:val="13"/>
                <w:color w:val="auto"/>
              </w:rPr>
              <w:t>2018</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4360" w:type="dxa"/>
            <w:vAlign w:val="bottom"/>
            <w:gridSpan w:val="2"/>
            <w:shd w:val="clear" w:color="auto" w:fill="CCEEFF"/>
          </w:tcPr>
          <w:p>
            <w:pPr>
              <w:spacing w:after="0" w:line="134" w:lineRule="exact"/>
              <w:rPr>
                <w:sz w:val="20"/>
                <w:szCs w:val="20"/>
                <w:color w:val="auto"/>
              </w:rPr>
            </w:pPr>
            <w:r>
              <w:rPr>
                <w:rFonts w:ascii="Arial" w:cs="Arial" w:eastAsia="Arial" w:hAnsi="Arial"/>
                <w:sz w:val="13"/>
                <w:szCs w:val="13"/>
                <w:color w:val="auto"/>
              </w:rPr>
              <w:t>Adjusted EBIT</w:t>
            </w:r>
          </w:p>
        </w:tc>
        <w:tc>
          <w:tcPr>
            <w:tcW w:w="1300" w:type="dxa"/>
            <w:vAlign w:val="bottom"/>
            <w:shd w:val="clear" w:color="auto" w:fill="CCEEFF"/>
          </w:tcPr>
          <w:p>
            <w:pPr>
              <w:jc w:val="right"/>
              <w:ind w:right="595"/>
              <w:spacing w:after="0" w:line="134" w:lineRule="exact"/>
              <w:rPr>
                <w:sz w:val="20"/>
                <w:szCs w:val="20"/>
                <w:color w:val="auto"/>
              </w:rPr>
            </w:pPr>
            <w:r>
              <w:rPr>
                <w:rFonts w:ascii="Arial" w:cs="Arial" w:eastAsia="Arial" w:hAnsi="Arial"/>
                <w:sz w:val="13"/>
                <w:szCs w:val="13"/>
                <w:b w:val="1"/>
                <w:bCs w:val="1"/>
                <w:color w:val="auto"/>
              </w:rPr>
              <w:t>$</w:t>
            </w:r>
          </w:p>
        </w:tc>
        <w:tc>
          <w:tcPr>
            <w:tcW w:w="600" w:type="dxa"/>
            <w:vAlign w:val="bottom"/>
            <w:shd w:val="clear" w:color="auto" w:fill="CCEEFF"/>
          </w:tcPr>
          <w:p>
            <w:pPr>
              <w:jc w:val="right"/>
              <w:ind w:right="155"/>
              <w:spacing w:after="0" w:line="134" w:lineRule="exact"/>
              <w:rPr>
                <w:sz w:val="20"/>
                <w:szCs w:val="20"/>
                <w:color w:val="auto"/>
              </w:rPr>
            </w:pPr>
            <w:r>
              <w:rPr>
                <w:rFonts w:ascii="Arial" w:cs="Arial" w:eastAsia="Arial" w:hAnsi="Arial"/>
                <w:sz w:val="13"/>
                <w:szCs w:val="13"/>
                <w:b w:val="1"/>
                <w:bCs w:val="1"/>
                <w:color w:val="auto"/>
              </w:rPr>
              <w:t>428</w:t>
            </w:r>
          </w:p>
        </w:tc>
        <w:tc>
          <w:tcPr>
            <w:tcW w:w="780" w:type="dxa"/>
            <w:vAlign w:val="bottom"/>
            <w:shd w:val="clear" w:color="auto" w:fill="CCEEFF"/>
          </w:tcPr>
          <w:p>
            <w:pPr>
              <w:jc w:val="right"/>
              <w:ind w:right="575"/>
              <w:spacing w:after="0" w:line="134"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155"/>
              <w:spacing w:after="0" w:line="134" w:lineRule="exact"/>
              <w:rPr>
                <w:sz w:val="20"/>
                <w:szCs w:val="20"/>
                <w:color w:val="auto"/>
              </w:rPr>
            </w:pPr>
            <w:r>
              <w:rPr>
                <w:rFonts w:ascii="Arial" w:cs="Arial" w:eastAsia="Arial" w:hAnsi="Arial"/>
                <w:sz w:val="13"/>
                <w:szCs w:val="13"/>
                <w:color w:val="auto"/>
              </w:rPr>
              <w:t>722</w:t>
            </w:r>
          </w:p>
        </w:tc>
        <w:tc>
          <w:tcPr>
            <w:tcW w:w="320" w:type="dxa"/>
            <w:vAlign w:val="bottom"/>
            <w:shd w:val="clear" w:color="auto" w:fill="CCEEFF"/>
          </w:tcPr>
          <w:p>
            <w:pPr>
              <w:jc w:val="right"/>
              <w:ind w:right="115"/>
              <w:spacing w:after="0" w:line="134" w:lineRule="exact"/>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155"/>
              <w:spacing w:after="0" w:line="134" w:lineRule="exact"/>
              <w:rPr>
                <w:sz w:val="20"/>
                <w:szCs w:val="20"/>
                <w:color w:val="auto"/>
              </w:rPr>
            </w:pPr>
            <w:r>
              <w:rPr>
                <w:rFonts w:ascii="Arial" w:cs="Arial" w:eastAsia="Arial" w:hAnsi="Arial"/>
                <w:sz w:val="13"/>
                <w:szCs w:val="13"/>
                <w:color w:val="auto"/>
              </w:rPr>
              <w:t>741</w:t>
            </w: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4360" w:type="dxa"/>
            <w:vAlign w:val="bottom"/>
            <w:gridSpan w:val="2"/>
          </w:tcPr>
          <w:p>
            <w:pPr>
              <w:spacing w:after="0" w:line="144" w:lineRule="exact"/>
              <w:rPr>
                <w:sz w:val="20"/>
                <w:szCs w:val="20"/>
                <w:color w:val="auto"/>
              </w:rPr>
            </w:pPr>
            <w:r>
              <w:rPr>
                <w:rFonts w:ascii="Arial" w:cs="Arial" w:eastAsia="Arial" w:hAnsi="Arial"/>
                <w:sz w:val="11"/>
                <w:szCs w:val="11"/>
                <w:color w:val="auto"/>
              </w:rPr>
              <w:t xml:space="preserve">+ Rent expense </w:t>
            </w:r>
            <w:r>
              <w:rPr>
                <w:rFonts w:ascii="Arial" w:cs="Arial" w:eastAsia="Arial" w:hAnsi="Arial"/>
                <w:sz w:val="16"/>
                <w:szCs w:val="16"/>
                <w:color w:val="auto"/>
                <w:vertAlign w:val="superscript"/>
              </w:rPr>
              <w:t>(1)</w:t>
            </w:r>
          </w:p>
        </w:tc>
        <w:tc>
          <w:tcPr>
            <w:tcW w:w="1300" w:type="dxa"/>
            <w:vAlign w:val="bottom"/>
          </w:tcPr>
          <w:p>
            <w:pPr>
              <w:spacing w:after="0"/>
              <w:rPr>
                <w:sz w:val="12"/>
                <w:szCs w:val="12"/>
                <w:color w:val="auto"/>
              </w:rPr>
            </w:pPr>
          </w:p>
        </w:tc>
        <w:tc>
          <w:tcPr>
            <w:tcW w:w="600" w:type="dxa"/>
            <w:vAlign w:val="bottom"/>
          </w:tcPr>
          <w:p>
            <w:pPr>
              <w:jc w:val="right"/>
              <w:ind w:right="155"/>
              <w:spacing w:after="0" w:line="144" w:lineRule="exact"/>
              <w:rPr>
                <w:sz w:val="20"/>
                <w:szCs w:val="20"/>
                <w:color w:val="auto"/>
              </w:rPr>
            </w:pPr>
            <w:r>
              <w:rPr>
                <w:rFonts w:ascii="Arial" w:cs="Arial" w:eastAsia="Arial" w:hAnsi="Arial"/>
                <w:sz w:val="13"/>
                <w:szCs w:val="13"/>
                <w:b w:val="1"/>
                <w:bCs w:val="1"/>
                <w:color w:val="auto"/>
              </w:rPr>
              <w:t>—</w:t>
            </w:r>
          </w:p>
        </w:tc>
        <w:tc>
          <w:tcPr>
            <w:tcW w:w="780" w:type="dxa"/>
            <w:vAlign w:val="bottom"/>
          </w:tcPr>
          <w:p>
            <w:pPr>
              <w:spacing w:after="0"/>
              <w:rPr>
                <w:sz w:val="12"/>
                <w:szCs w:val="12"/>
                <w:color w:val="auto"/>
              </w:rPr>
            </w:pPr>
          </w:p>
        </w:tc>
        <w:tc>
          <w:tcPr>
            <w:tcW w:w="600" w:type="dxa"/>
            <w:vAlign w:val="bottom"/>
          </w:tcPr>
          <w:p>
            <w:pPr>
              <w:jc w:val="right"/>
              <w:ind w:right="155"/>
              <w:spacing w:after="0" w:line="144"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1080" w:type="dxa"/>
            <w:vAlign w:val="bottom"/>
          </w:tcPr>
          <w:p>
            <w:pPr>
              <w:jc w:val="right"/>
              <w:ind w:right="155"/>
              <w:spacing w:after="0" w:line="144" w:lineRule="exact"/>
              <w:rPr>
                <w:sz w:val="20"/>
                <w:szCs w:val="20"/>
                <w:color w:val="auto"/>
              </w:rPr>
            </w:pPr>
            <w:r>
              <w:rPr>
                <w:rFonts w:ascii="Arial" w:cs="Arial" w:eastAsia="Arial" w:hAnsi="Arial"/>
                <w:sz w:val="13"/>
                <w:szCs w:val="13"/>
                <w:color w:val="auto"/>
              </w:rPr>
              <w:t>750</w:t>
            </w: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4360" w:type="dxa"/>
            <w:vAlign w:val="bottom"/>
            <w:gridSpan w:val="2"/>
            <w:shd w:val="clear" w:color="auto" w:fill="CCEEFF"/>
          </w:tcPr>
          <w:p>
            <w:pPr>
              <w:spacing w:after="0" w:line="144" w:lineRule="exact"/>
              <w:rPr>
                <w:sz w:val="20"/>
                <w:szCs w:val="20"/>
                <w:color w:val="auto"/>
              </w:rPr>
            </w:pPr>
            <w:r>
              <w:rPr>
                <w:rFonts w:ascii="Arial" w:cs="Arial" w:eastAsia="Arial" w:hAnsi="Arial"/>
                <w:sz w:val="11"/>
                <w:szCs w:val="11"/>
                <w:color w:val="auto"/>
              </w:rPr>
              <w:t xml:space="preserve">- Estimated depreciation on capitalized operating leases </w:t>
            </w:r>
            <w:r>
              <w:rPr>
                <w:rFonts w:ascii="Arial" w:cs="Arial" w:eastAsia="Arial" w:hAnsi="Arial"/>
                <w:sz w:val="16"/>
                <w:szCs w:val="16"/>
                <w:color w:val="auto"/>
                <w:vertAlign w:val="superscript"/>
              </w:rPr>
              <w:t>(1)</w:t>
            </w:r>
          </w:p>
        </w:tc>
        <w:tc>
          <w:tcPr>
            <w:tcW w:w="13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55"/>
              <w:spacing w:after="0" w:line="144" w:lineRule="exact"/>
              <w:rPr>
                <w:sz w:val="20"/>
                <w:szCs w:val="20"/>
                <w:color w:val="auto"/>
              </w:rPr>
            </w:pPr>
            <w:r>
              <w:rPr>
                <w:rFonts w:ascii="Arial" w:cs="Arial" w:eastAsia="Arial" w:hAnsi="Arial"/>
                <w:sz w:val="13"/>
                <w:szCs w:val="13"/>
                <w:b w:val="1"/>
                <w:bCs w:val="1"/>
                <w:color w:val="auto"/>
              </w:rPr>
              <w:t>—</w:t>
            </w:r>
          </w:p>
        </w:tc>
        <w:tc>
          <w:tcPr>
            <w:tcW w:w="7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55"/>
              <w:spacing w:after="0" w:line="144"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15"/>
              <w:spacing w:after="0" w:line="144" w:lineRule="exact"/>
              <w:rPr>
                <w:sz w:val="20"/>
                <w:szCs w:val="20"/>
                <w:color w:val="auto"/>
              </w:rPr>
            </w:pPr>
            <w:r>
              <w:rPr>
                <w:rFonts w:ascii="Arial" w:cs="Arial" w:eastAsia="Arial" w:hAnsi="Arial"/>
                <w:sz w:val="13"/>
                <w:szCs w:val="13"/>
                <w:color w:val="auto"/>
              </w:rPr>
              <w:t>(603)</w:t>
            </w: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4360" w:type="dxa"/>
            <w:vAlign w:val="bottom"/>
            <w:tcBorders>
              <w:bottom w:val="single" w:sz="8" w:color="auto"/>
            </w:tcBorders>
            <w:gridSpan w:val="2"/>
          </w:tcPr>
          <w:p>
            <w:pPr>
              <w:spacing w:after="0" w:line="144" w:lineRule="exact"/>
              <w:rPr>
                <w:sz w:val="20"/>
                <w:szCs w:val="20"/>
                <w:color w:val="auto"/>
              </w:rPr>
            </w:pPr>
            <w:r>
              <w:rPr>
                <w:rFonts w:ascii="Arial" w:cs="Arial" w:eastAsia="Arial" w:hAnsi="Arial"/>
                <w:sz w:val="11"/>
                <w:szCs w:val="11"/>
                <w:color w:val="auto"/>
              </w:rPr>
              <w:t xml:space="preserve">+ Interest component of straight-line rent expense </w:t>
            </w:r>
            <w:r>
              <w:rPr>
                <w:rFonts w:ascii="Arial" w:cs="Arial" w:eastAsia="Arial" w:hAnsi="Arial"/>
                <w:sz w:val="16"/>
                <w:szCs w:val="16"/>
                <w:color w:val="auto"/>
                <w:vertAlign w:val="superscript"/>
              </w:rPr>
              <w:t>(2)</w:t>
            </w:r>
          </w:p>
        </w:tc>
        <w:tc>
          <w:tcPr>
            <w:tcW w:w="1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5"/>
              <w:spacing w:after="0" w:line="144" w:lineRule="exact"/>
              <w:rPr>
                <w:sz w:val="20"/>
                <w:szCs w:val="20"/>
                <w:color w:val="auto"/>
              </w:rPr>
            </w:pPr>
            <w:r>
              <w:rPr>
                <w:rFonts w:ascii="Arial" w:cs="Arial" w:eastAsia="Arial" w:hAnsi="Arial"/>
                <w:sz w:val="13"/>
                <w:szCs w:val="13"/>
                <w:b w:val="1"/>
                <w:bCs w:val="1"/>
                <w:color w:val="auto"/>
              </w:rPr>
              <w:t>158</w:t>
            </w:r>
          </w:p>
        </w:tc>
        <w:tc>
          <w:tcPr>
            <w:tcW w:w="7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5"/>
              <w:spacing w:after="0" w:line="144" w:lineRule="exact"/>
              <w:rPr>
                <w:sz w:val="20"/>
                <w:szCs w:val="20"/>
                <w:color w:val="auto"/>
              </w:rPr>
            </w:pPr>
            <w:r>
              <w:rPr>
                <w:rFonts w:ascii="Arial" w:cs="Arial" w:eastAsia="Arial" w:hAnsi="Arial"/>
                <w:sz w:val="13"/>
                <w:szCs w:val="13"/>
                <w:color w:val="auto"/>
              </w:rPr>
              <w:t>173</w:t>
            </w: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155"/>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4360" w:type="dxa"/>
            <w:vAlign w:val="bottom"/>
            <w:gridSpan w:val="2"/>
            <w:shd w:val="clear" w:color="auto" w:fill="CCEEFF"/>
          </w:tcPr>
          <w:p>
            <w:pPr>
              <w:spacing w:after="0" w:line="134" w:lineRule="exact"/>
              <w:rPr>
                <w:sz w:val="20"/>
                <w:szCs w:val="20"/>
                <w:color w:val="auto"/>
              </w:rPr>
            </w:pPr>
            <w:r>
              <w:rPr>
                <w:rFonts w:ascii="Arial" w:cs="Arial" w:eastAsia="Arial" w:hAnsi="Arial"/>
                <w:sz w:val="13"/>
                <w:szCs w:val="13"/>
                <w:color w:val="auto"/>
              </w:rPr>
              <w:t>Adjusted net operating profit</w:t>
            </w:r>
          </w:p>
        </w:tc>
        <w:tc>
          <w:tcPr>
            <w:tcW w:w="130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155"/>
              <w:spacing w:after="0" w:line="134" w:lineRule="exact"/>
              <w:rPr>
                <w:sz w:val="20"/>
                <w:szCs w:val="20"/>
                <w:color w:val="auto"/>
              </w:rPr>
            </w:pPr>
            <w:r>
              <w:rPr>
                <w:rFonts w:ascii="Arial" w:cs="Arial" w:eastAsia="Arial" w:hAnsi="Arial"/>
                <w:sz w:val="13"/>
                <w:szCs w:val="13"/>
                <w:b w:val="1"/>
                <w:bCs w:val="1"/>
                <w:color w:val="auto"/>
              </w:rPr>
              <w:t>586</w:t>
            </w:r>
          </w:p>
        </w:tc>
        <w:tc>
          <w:tcPr>
            <w:tcW w:w="78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155"/>
              <w:spacing w:after="0" w:line="134" w:lineRule="exact"/>
              <w:rPr>
                <w:sz w:val="20"/>
                <w:szCs w:val="20"/>
                <w:color w:val="auto"/>
              </w:rPr>
            </w:pPr>
            <w:r>
              <w:rPr>
                <w:rFonts w:ascii="Arial" w:cs="Arial" w:eastAsia="Arial" w:hAnsi="Arial"/>
                <w:sz w:val="13"/>
                <w:szCs w:val="13"/>
                <w:color w:val="auto"/>
              </w:rPr>
              <w:t>895</w:t>
            </w:r>
          </w:p>
        </w:tc>
        <w:tc>
          <w:tcPr>
            <w:tcW w:w="32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155"/>
              <w:spacing w:after="0" w:line="134" w:lineRule="exact"/>
              <w:rPr>
                <w:sz w:val="20"/>
                <w:szCs w:val="20"/>
                <w:color w:val="auto"/>
              </w:rPr>
            </w:pPr>
            <w:r>
              <w:rPr>
                <w:rFonts w:ascii="Arial" w:cs="Arial" w:eastAsia="Arial" w:hAnsi="Arial"/>
                <w:sz w:val="13"/>
                <w:szCs w:val="13"/>
                <w:color w:val="auto"/>
              </w:rPr>
              <w:t>888</w:t>
            </w: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4360" w:type="dxa"/>
            <w:vAlign w:val="bottom"/>
            <w:tcBorders>
              <w:bottom w:val="single" w:sz="8" w:color="auto"/>
            </w:tcBorders>
            <w:gridSpan w:val="2"/>
          </w:tcPr>
          <w:p>
            <w:pPr>
              <w:spacing w:after="0" w:line="144" w:lineRule="exact"/>
              <w:rPr>
                <w:sz w:val="20"/>
                <w:szCs w:val="20"/>
                <w:color w:val="auto"/>
              </w:rPr>
            </w:pPr>
            <w:r>
              <w:rPr>
                <w:rFonts w:ascii="Arial" w:cs="Arial" w:eastAsia="Arial" w:hAnsi="Arial"/>
                <w:sz w:val="11"/>
                <w:szCs w:val="11"/>
                <w:color w:val="auto"/>
              </w:rPr>
              <w:t xml:space="preserve">- Adjusted income tax expense </w:t>
            </w:r>
            <w:r>
              <w:rPr>
                <w:rFonts w:ascii="Arial" w:cs="Arial" w:eastAsia="Arial" w:hAnsi="Arial"/>
                <w:sz w:val="16"/>
                <w:szCs w:val="16"/>
                <w:color w:val="auto"/>
                <w:vertAlign w:val="superscript"/>
              </w:rPr>
              <w:t>(3)</w:t>
            </w:r>
          </w:p>
        </w:tc>
        <w:tc>
          <w:tcPr>
            <w:tcW w:w="13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5"/>
              <w:spacing w:after="0" w:line="144" w:lineRule="exact"/>
              <w:rPr>
                <w:sz w:val="20"/>
                <w:szCs w:val="20"/>
                <w:color w:val="auto"/>
              </w:rPr>
            </w:pPr>
            <w:r>
              <w:rPr>
                <w:rFonts w:ascii="Arial" w:cs="Arial" w:eastAsia="Arial" w:hAnsi="Arial"/>
                <w:sz w:val="13"/>
                <w:szCs w:val="13"/>
                <w:b w:val="1"/>
                <w:bCs w:val="1"/>
                <w:color w:val="auto"/>
              </w:rPr>
              <w:t>(167)</w:t>
            </w:r>
          </w:p>
        </w:tc>
        <w:tc>
          <w:tcPr>
            <w:tcW w:w="7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5"/>
              <w:spacing w:after="0" w:line="144" w:lineRule="exact"/>
              <w:rPr>
                <w:sz w:val="20"/>
                <w:szCs w:val="20"/>
                <w:color w:val="auto"/>
              </w:rPr>
            </w:pPr>
            <w:r>
              <w:rPr>
                <w:rFonts w:ascii="Arial" w:cs="Arial" w:eastAsia="Arial" w:hAnsi="Arial"/>
                <w:sz w:val="13"/>
                <w:szCs w:val="13"/>
                <w:color w:val="auto"/>
              </w:rPr>
              <w:t>(236)</w:t>
            </w:r>
          </w:p>
        </w:tc>
        <w:tc>
          <w:tcPr>
            <w:tcW w:w="3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115"/>
              <w:spacing w:after="0" w:line="144" w:lineRule="exact"/>
              <w:rPr>
                <w:sz w:val="20"/>
                <w:szCs w:val="20"/>
                <w:color w:val="auto"/>
              </w:rPr>
            </w:pPr>
            <w:r>
              <w:rPr>
                <w:rFonts w:ascii="Arial" w:cs="Arial" w:eastAsia="Arial" w:hAnsi="Arial"/>
                <w:sz w:val="13"/>
                <w:szCs w:val="13"/>
                <w:color w:val="auto"/>
              </w:rPr>
              <w:t>(241)</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4360" w:type="dxa"/>
            <w:vAlign w:val="bottom"/>
            <w:tcBorders>
              <w:bottom w:val="single" w:sz="8" w:color="auto"/>
            </w:tcBorders>
            <w:gridSpan w:val="2"/>
            <w:shd w:val="clear" w:color="auto" w:fill="CCEEFF"/>
          </w:tcPr>
          <w:p>
            <w:pPr>
              <w:spacing w:after="0" w:line="134" w:lineRule="exact"/>
              <w:rPr>
                <w:sz w:val="20"/>
                <w:szCs w:val="20"/>
                <w:color w:val="auto"/>
              </w:rPr>
            </w:pPr>
            <w:r>
              <w:rPr>
                <w:rFonts w:ascii="Arial" w:cs="Arial" w:eastAsia="Arial" w:hAnsi="Arial"/>
                <w:sz w:val="13"/>
                <w:szCs w:val="13"/>
                <w:color w:val="auto"/>
              </w:rPr>
              <w:t>= Adjusted return after taxes</w:t>
            </w:r>
          </w:p>
        </w:tc>
        <w:tc>
          <w:tcPr>
            <w:tcW w:w="1300" w:type="dxa"/>
            <w:vAlign w:val="bottom"/>
            <w:tcBorders>
              <w:bottom w:val="single" w:sz="8" w:color="auto"/>
            </w:tcBorders>
            <w:shd w:val="clear" w:color="auto" w:fill="CCEEFF"/>
          </w:tcPr>
          <w:p>
            <w:pPr>
              <w:jc w:val="right"/>
              <w:ind w:right="595"/>
              <w:spacing w:after="0" w:line="134" w:lineRule="exact"/>
              <w:rPr>
                <w:sz w:val="20"/>
                <w:szCs w:val="20"/>
                <w:color w:val="auto"/>
              </w:rPr>
            </w:pPr>
            <w:r>
              <w:rPr>
                <w:rFonts w:ascii="Arial" w:cs="Arial" w:eastAsia="Arial" w:hAnsi="Arial"/>
                <w:sz w:val="13"/>
                <w:szCs w:val="13"/>
                <w:b w:val="1"/>
                <w:bCs w:val="1"/>
                <w:color w:val="auto"/>
              </w:rPr>
              <w:t>$</w:t>
            </w:r>
          </w:p>
        </w:tc>
        <w:tc>
          <w:tcPr>
            <w:tcW w:w="600" w:type="dxa"/>
            <w:vAlign w:val="bottom"/>
            <w:tcBorders>
              <w:bottom w:val="single" w:sz="8" w:color="auto"/>
            </w:tcBorders>
            <w:shd w:val="clear" w:color="auto" w:fill="CCEEFF"/>
          </w:tcPr>
          <w:p>
            <w:pPr>
              <w:jc w:val="right"/>
              <w:ind w:right="155"/>
              <w:spacing w:after="0" w:line="134" w:lineRule="exact"/>
              <w:rPr>
                <w:sz w:val="20"/>
                <w:szCs w:val="20"/>
                <w:color w:val="auto"/>
              </w:rPr>
            </w:pPr>
            <w:r>
              <w:rPr>
                <w:rFonts w:ascii="Arial" w:cs="Arial" w:eastAsia="Arial" w:hAnsi="Arial"/>
                <w:sz w:val="13"/>
                <w:szCs w:val="13"/>
                <w:b w:val="1"/>
                <w:bCs w:val="1"/>
                <w:color w:val="auto"/>
              </w:rPr>
              <w:t>419</w:t>
            </w:r>
          </w:p>
        </w:tc>
        <w:tc>
          <w:tcPr>
            <w:tcW w:w="780" w:type="dxa"/>
            <w:vAlign w:val="bottom"/>
            <w:tcBorders>
              <w:bottom w:val="single" w:sz="8" w:color="auto"/>
            </w:tcBorders>
            <w:shd w:val="clear" w:color="auto" w:fill="CCEEFF"/>
          </w:tcPr>
          <w:p>
            <w:pPr>
              <w:jc w:val="right"/>
              <w:ind w:right="575"/>
              <w:spacing w:after="0" w:line="134" w:lineRule="exact"/>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jc w:val="right"/>
              <w:ind w:right="155"/>
              <w:spacing w:after="0" w:line="134" w:lineRule="exact"/>
              <w:rPr>
                <w:sz w:val="20"/>
                <w:szCs w:val="20"/>
                <w:color w:val="auto"/>
              </w:rPr>
            </w:pPr>
            <w:r>
              <w:rPr>
                <w:rFonts w:ascii="Arial" w:cs="Arial" w:eastAsia="Arial" w:hAnsi="Arial"/>
                <w:sz w:val="13"/>
                <w:szCs w:val="13"/>
                <w:color w:val="auto"/>
              </w:rPr>
              <w:t>659</w:t>
            </w:r>
          </w:p>
        </w:tc>
        <w:tc>
          <w:tcPr>
            <w:tcW w:w="320" w:type="dxa"/>
            <w:vAlign w:val="bottom"/>
            <w:tcBorders>
              <w:bottom w:val="single" w:sz="8" w:color="auto"/>
            </w:tcBorders>
            <w:shd w:val="clear" w:color="auto" w:fill="CCEEFF"/>
          </w:tcPr>
          <w:p>
            <w:pPr>
              <w:jc w:val="right"/>
              <w:ind w:right="115"/>
              <w:spacing w:after="0" w:line="134" w:lineRule="exact"/>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ind w:right="155"/>
              <w:spacing w:after="0" w:line="134" w:lineRule="exact"/>
              <w:rPr>
                <w:sz w:val="20"/>
                <w:szCs w:val="20"/>
                <w:color w:val="auto"/>
              </w:rPr>
            </w:pPr>
            <w:r>
              <w:rPr>
                <w:rFonts w:ascii="Arial" w:cs="Arial" w:eastAsia="Arial" w:hAnsi="Arial"/>
                <w:sz w:val="13"/>
                <w:szCs w:val="13"/>
                <w:color w:val="auto"/>
              </w:rPr>
              <w:t>647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40" w:type="dxa"/>
            <w:vAlign w:val="bottom"/>
          </w:tcPr>
          <w:p>
            <w:pPr>
              <w:spacing w:after="0"/>
              <w:rPr>
                <w:sz w:val="9"/>
                <w:szCs w:val="9"/>
                <w:color w:val="auto"/>
              </w:rPr>
            </w:pPr>
          </w:p>
        </w:tc>
        <w:tc>
          <w:tcPr>
            <w:tcW w:w="4360" w:type="dxa"/>
            <w:vAlign w:val="bottom"/>
            <w:gridSpan w:val="2"/>
          </w:tcPr>
          <w:p>
            <w:pPr>
              <w:spacing w:after="0" w:line="114" w:lineRule="exact"/>
              <w:rPr>
                <w:sz w:val="20"/>
                <w:szCs w:val="20"/>
                <w:color w:val="auto"/>
              </w:rPr>
            </w:pPr>
            <w:r>
              <w:rPr>
                <w:rFonts w:ascii="Arial" w:cs="Arial" w:eastAsia="Arial" w:hAnsi="Arial"/>
                <w:sz w:val="9"/>
                <w:szCs w:val="9"/>
                <w:color w:val="auto"/>
              </w:rPr>
              <w:t xml:space="preserve">Average total assets </w:t>
            </w:r>
            <w:r>
              <w:rPr>
                <w:rFonts w:ascii="Arial" w:cs="Arial" w:eastAsia="Arial" w:hAnsi="Arial"/>
                <w:sz w:val="13"/>
                <w:szCs w:val="13"/>
                <w:color w:val="auto"/>
                <w:vertAlign w:val="superscript"/>
              </w:rPr>
              <w:t>(4)</w:t>
            </w:r>
          </w:p>
        </w:tc>
        <w:tc>
          <w:tcPr>
            <w:tcW w:w="1300" w:type="dxa"/>
            <w:vAlign w:val="bottom"/>
          </w:tcPr>
          <w:p>
            <w:pPr>
              <w:jc w:val="right"/>
              <w:ind w:right="595"/>
              <w:spacing w:after="0" w:line="114" w:lineRule="exact"/>
              <w:rPr>
                <w:sz w:val="20"/>
                <w:szCs w:val="20"/>
                <w:color w:val="auto"/>
              </w:rPr>
            </w:pPr>
            <w:r>
              <w:rPr>
                <w:rFonts w:ascii="Arial" w:cs="Arial" w:eastAsia="Arial" w:hAnsi="Arial"/>
                <w:sz w:val="13"/>
                <w:szCs w:val="13"/>
                <w:b w:val="1"/>
                <w:bCs w:val="1"/>
                <w:color w:val="auto"/>
              </w:rPr>
              <w:t>$</w:t>
            </w:r>
          </w:p>
        </w:tc>
        <w:tc>
          <w:tcPr>
            <w:tcW w:w="600" w:type="dxa"/>
            <w:vAlign w:val="bottom"/>
          </w:tcPr>
          <w:p>
            <w:pPr>
              <w:jc w:val="right"/>
              <w:ind w:right="155"/>
              <w:spacing w:after="0" w:line="114" w:lineRule="exact"/>
              <w:rPr>
                <w:sz w:val="20"/>
                <w:szCs w:val="20"/>
                <w:color w:val="auto"/>
              </w:rPr>
            </w:pPr>
            <w:r>
              <w:rPr>
                <w:rFonts w:ascii="Arial" w:cs="Arial" w:eastAsia="Arial" w:hAnsi="Arial"/>
                <w:sz w:val="13"/>
                <w:szCs w:val="13"/>
                <w:b w:val="1"/>
                <w:bCs w:val="1"/>
                <w:color w:val="auto"/>
              </w:rPr>
              <w:t>6,816</w:t>
            </w:r>
          </w:p>
        </w:tc>
        <w:tc>
          <w:tcPr>
            <w:tcW w:w="780" w:type="dxa"/>
            <w:vAlign w:val="bottom"/>
          </w:tcPr>
          <w:p>
            <w:pPr>
              <w:jc w:val="right"/>
              <w:ind w:right="575"/>
              <w:spacing w:after="0" w:line="114" w:lineRule="exact"/>
              <w:rPr>
                <w:sz w:val="20"/>
                <w:szCs w:val="20"/>
                <w:color w:val="auto"/>
              </w:rPr>
            </w:pPr>
            <w:r>
              <w:rPr>
                <w:rFonts w:ascii="Arial" w:cs="Arial" w:eastAsia="Arial" w:hAnsi="Arial"/>
                <w:sz w:val="13"/>
                <w:szCs w:val="13"/>
                <w:color w:val="auto"/>
              </w:rPr>
              <w:t>$</w:t>
            </w:r>
          </w:p>
        </w:tc>
        <w:tc>
          <w:tcPr>
            <w:tcW w:w="600" w:type="dxa"/>
            <w:vAlign w:val="bottom"/>
          </w:tcPr>
          <w:p>
            <w:pPr>
              <w:jc w:val="right"/>
              <w:ind w:right="155"/>
              <w:spacing w:after="0" w:line="114" w:lineRule="exact"/>
              <w:rPr>
                <w:sz w:val="20"/>
                <w:szCs w:val="20"/>
                <w:color w:val="auto"/>
              </w:rPr>
            </w:pPr>
            <w:r>
              <w:rPr>
                <w:rFonts w:ascii="Arial" w:cs="Arial" w:eastAsia="Arial" w:hAnsi="Arial"/>
                <w:sz w:val="13"/>
                <w:szCs w:val="13"/>
                <w:color w:val="auto"/>
              </w:rPr>
              <w:t>3,755</w:t>
            </w:r>
          </w:p>
        </w:tc>
        <w:tc>
          <w:tcPr>
            <w:tcW w:w="320" w:type="dxa"/>
            <w:vAlign w:val="bottom"/>
          </w:tcPr>
          <w:p>
            <w:pPr>
              <w:jc w:val="right"/>
              <w:ind w:right="115"/>
              <w:spacing w:after="0" w:line="114" w:lineRule="exact"/>
              <w:rPr>
                <w:sz w:val="20"/>
                <w:szCs w:val="20"/>
                <w:color w:val="auto"/>
              </w:rPr>
            </w:pPr>
            <w:r>
              <w:rPr>
                <w:rFonts w:ascii="Arial" w:cs="Arial" w:eastAsia="Arial" w:hAnsi="Arial"/>
                <w:sz w:val="13"/>
                <w:szCs w:val="13"/>
                <w:color w:val="auto"/>
              </w:rPr>
              <w:t>$</w:t>
            </w:r>
          </w:p>
        </w:tc>
        <w:tc>
          <w:tcPr>
            <w:tcW w:w="1080" w:type="dxa"/>
            <w:vAlign w:val="bottom"/>
          </w:tcPr>
          <w:p>
            <w:pPr>
              <w:jc w:val="right"/>
              <w:ind w:right="155"/>
              <w:spacing w:after="0" w:line="114" w:lineRule="exact"/>
              <w:rPr>
                <w:sz w:val="20"/>
                <w:szCs w:val="20"/>
                <w:color w:val="auto"/>
              </w:rPr>
            </w:pPr>
            <w:r>
              <w:rPr>
                <w:rFonts w:ascii="Arial" w:cs="Arial" w:eastAsia="Arial" w:hAnsi="Arial"/>
                <w:sz w:val="13"/>
                <w:szCs w:val="13"/>
                <w:color w:val="auto"/>
              </w:rPr>
              <w:t>3,891</w:t>
            </w: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436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 Average cash and cash equivalents</w:t>
            </w:r>
          </w:p>
        </w:tc>
        <w:tc>
          <w:tcPr>
            <w:tcW w:w="13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5"/>
              <w:spacing w:after="0" w:line="144" w:lineRule="exact"/>
              <w:rPr>
                <w:sz w:val="20"/>
                <w:szCs w:val="20"/>
                <w:color w:val="auto"/>
              </w:rPr>
            </w:pPr>
            <w:r>
              <w:rPr>
                <w:rFonts w:ascii="Arial" w:cs="Arial" w:eastAsia="Arial" w:hAnsi="Arial"/>
                <w:sz w:val="13"/>
                <w:szCs w:val="13"/>
                <w:b w:val="1"/>
                <w:bCs w:val="1"/>
                <w:color w:val="auto"/>
                <w:w w:val="97"/>
              </w:rPr>
              <w:t>(1,294)</w:t>
            </w:r>
          </w:p>
        </w:tc>
        <w:tc>
          <w:tcPr>
            <w:tcW w:w="7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5"/>
              <w:spacing w:after="0" w:line="144" w:lineRule="exact"/>
              <w:rPr>
                <w:sz w:val="20"/>
                <w:szCs w:val="20"/>
                <w:color w:val="auto"/>
              </w:rPr>
            </w:pPr>
            <w:r>
              <w:rPr>
                <w:rFonts w:ascii="Arial" w:cs="Arial" w:eastAsia="Arial" w:hAnsi="Arial"/>
                <w:sz w:val="13"/>
                <w:szCs w:val="13"/>
                <w:color w:val="auto"/>
              </w:rPr>
              <w:t>(899)</w:t>
            </w: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15"/>
              <w:spacing w:after="0" w:line="144" w:lineRule="exact"/>
              <w:rPr>
                <w:sz w:val="20"/>
                <w:szCs w:val="20"/>
                <w:color w:val="auto"/>
              </w:rPr>
            </w:pPr>
            <w:r>
              <w:rPr>
                <w:rFonts w:ascii="Arial" w:cs="Arial" w:eastAsia="Arial" w:hAnsi="Arial"/>
                <w:sz w:val="13"/>
                <w:szCs w:val="13"/>
                <w:color w:val="auto"/>
              </w:rPr>
              <w:t>(870)</w:t>
            </w: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4360" w:type="dxa"/>
            <w:vAlign w:val="bottom"/>
            <w:gridSpan w:val="2"/>
          </w:tcPr>
          <w:p>
            <w:pPr>
              <w:spacing w:after="0" w:line="144" w:lineRule="exact"/>
              <w:rPr>
                <w:sz w:val="20"/>
                <w:szCs w:val="20"/>
                <w:color w:val="auto"/>
              </w:rPr>
            </w:pPr>
            <w:r>
              <w:rPr>
                <w:rFonts w:ascii="Arial" w:cs="Arial" w:eastAsia="Arial" w:hAnsi="Arial"/>
                <w:sz w:val="13"/>
                <w:szCs w:val="13"/>
                <w:color w:val="auto"/>
              </w:rPr>
              <w:t>- Average non-interest bearing current liabilities</w:t>
            </w:r>
          </w:p>
        </w:tc>
        <w:tc>
          <w:tcPr>
            <w:tcW w:w="1300" w:type="dxa"/>
            <w:vAlign w:val="bottom"/>
          </w:tcPr>
          <w:p>
            <w:pPr>
              <w:spacing w:after="0"/>
              <w:rPr>
                <w:sz w:val="12"/>
                <w:szCs w:val="12"/>
                <w:color w:val="auto"/>
              </w:rPr>
            </w:pPr>
          </w:p>
        </w:tc>
        <w:tc>
          <w:tcPr>
            <w:tcW w:w="600" w:type="dxa"/>
            <w:vAlign w:val="bottom"/>
          </w:tcPr>
          <w:p>
            <w:pPr>
              <w:jc w:val="right"/>
              <w:ind w:right="115"/>
              <w:spacing w:after="0" w:line="144" w:lineRule="exact"/>
              <w:rPr>
                <w:sz w:val="20"/>
                <w:szCs w:val="20"/>
                <w:color w:val="auto"/>
              </w:rPr>
            </w:pPr>
            <w:r>
              <w:rPr>
                <w:rFonts w:ascii="Arial" w:cs="Arial" w:eastAsia="Arial" w:hAnsi="Arial"/>
                <w:sz w:val="13"/>
                <w:szCs w:val="13"/>
                <w:b w:val="1"/>
                <w:bCs w:val="1"/>
                <w:color w:val="auto"/>
              </w:rPr>
              <w:t>(819)</w:t>
            </w:r>
          </w:p>
        </w:tc>
        <w:tc>
          <w:tcPr>
            <w:tcW w:w="780" w:type="dxa"/>
            <w:vAlign w:val="bottom"/>
          </w:tcPr>
          <w:p>
            <w:pPr>
              <w:spacing w:after="0"/>
              <w:rPr>
                <w:sz w:val="12"/>
                <w:szCs w:val="12"/>
                <w:color w:val="auto"/>
              </w:rPr>
            </w:pPr>
          </w:p>
        </w:tc>
        <w:tc>
          <w:tcPr>
            <w:tcW w:w="600" w:type="dxa"/>
            <w:vAlign w:val="bottom"/>
          </w:tcPr>
          <w:p>
            <w:pPr>
              <w:jc w:val="right"/>
              <w:ind w:right="115"/>
              <w:spacing w:after="0" w:line="144" w:lineRule="exact"/>
              <w:rPr>
                <w:sz w:val="20"/>
                <w:szCs w:val="20"/>
                <w:color w:val="auto"/>
              </w:rPr>
            </w:pPr>
            <w:r>
              <w:rPr>
                <w:rFonts w:ascii="Arial" w:cs="Arial" w:eastAsia="Arial" w:hAnsi="Arial"/>
                <w:sz w:val="13"/>
                <w:szCs w:val="13"/>
                <w:color w:val="auto"/>
              </w:rPr>
              <w:t>(720)</w:t>
            </w:r>
          </w:p>
        </w:tc>
        <w:tc>
          <w:tcPr>
            <w:tcW w:w="320" w:type="dxa"/>
            <w:vAlign w:val="bottom"/>
          </w:tcPr>
          <w:p>
            <w:pPr>
              <w:spacing w:after="0"/>
              <w:rPr>
                <w:sz w:val="12"/>
                <w:szCs w:val="12"/>
                <w:color w:val="auto"/>
              </w:rPr>
            </w:pPr>
          </w:p>
        </w:tc>
        <w:tc>
          <w:tcPr>
            <w:tcW w:w="1080" w:type="dxa"/>
            <w:vAlign w:val="bottom"/>
          </w:tcPr>
          <w:p>
            <w:pPr>
              <w:jc w:val="right"/>
              <w:ind w:right="115"/>
              <w:spacing w:after="0" w:line="144" w:lineRule="exact"/>
              <w:rPr>
                <w:sz w:val="20"/>
                <w:szCs w:val="20"/>
                <w:color w:val="auto"/>
              </w:rPr>
            </w:pPr>
            <w:r>
              <w:rPr>
                <w:rFonts w:ascii="Arial" w:cs="Arial" w:eastAsia="Arial" w:hAnsi="Arial"/>
                <w:sz w:val="13"/>
                <w:szCs w:val="13"/>
                <w:color w:val="auto"/>
              </w:rPr>
              <w:t>(690)</w:t>
            </w: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436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 Average merchandise inventories</w:t>
            </w:r>
          </w:p>
        </w:tc>
        <w:tc>
          <w:tcPr>
            <w:tcW w:w="13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5"/>
              <w:spacing w:after="0" w:line="144" w:lineRule="exact"/>
              <w:rPr>
                <w:sz w:val="20"/>
                <w:szCs w:val="20"/>
                <w:color w:val="auto"/>
              </w:rPr>
            </w:pPr>
            <w:r>
              <w:rPr>
                <w:rFonts w:ascii="Arial" w:cs="Arial" w:eastAsia="Arial" w:hAnsi="Arial"/>
                <w:sz w:val="13"/>
                <w:szCs w:val="13"/>
                <w:b w:val="1"/>
                <w:bCs w:val="1"/>
                <w:color w:val="auto"/>
                <w:w w:val="97"/>
              </w:rPr>
              <w:t>(1,066)</w:t>
            </w:r>
          </w:p>
        </w:tc>
        <w:tc>
          <w:tcPr>
            <w:tcW w:w="7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15"/>
              <w:spacing w:after="0" w:line="144" w:lineRule="exact"/>
              <w:rPr>
                <w:sz w:val="20"/>
                <w:szCs w:val="20"/>
                <w:color w:val="auto"/>
              </w:rPr>
            </w:pPr>
            <w:r>
              <w:rPr>
                <w:rFonts w:ascii="Arial" w:cs="Arial" w:eastAsia="Arial" w:hAnsi="Arial"/>
                <w:sz w:val="13"/>
                <w:szCs w:val="13"/>
                <w:color w:val="auto"/>
                <w:w w:val="97"/>
              </w:rPr>
              <w:t>(1,239)</w:t>
            </w: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15"/>
              <w:spacing w:after="0" w:line="144" w:lineRule="exact"/>
              <w:rPr>
                <w:sz w:val="20"/>
                <w:szCs w:val="20"/>
                <w:color w:val="auto"/>
              </w:rPr>
            </w:pPr>
            <w:r>
              <w:rPr>
                <w:rFonts w:ascii="Arial" w:cs="Arial" w:eastAsia="Arial" w:hAnsi="Arial"/>
                <w:sz w:val="13"/>
                <w:szCs w:val="13"/>
                <w:color w:val="auto"/>
              </w:rPr>
              <w:t>(1,274)</w:t>
            </w: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4360" w:type="dxa"/>
            <w:vAlign w:val="bottom"/>
            <w:gridSpan w:val="2"/>
          </w:tcPr>
          <w:p>
            <w:pPr>
              <w:spacing w:after="0" w:line="144" w:lineRule="exact"/>
              <w:rPr>
                <w:sz w:val="20"/>
                <w:szCs w:val="20"/>
                <w:color w:val="auto"/>
              </w:rPr>
            </w:pPr>
            <w:r>
              <w:rPr>
                <w:rFonts w:ascii="Arial" w:cs="Arial" w:eastAsia="Arial" w:hAnsi="Arial"/>
                <w:sz w:val="11"/>
                <w:szCs w:val="11"/>
                <w:color w:val="auto"/>
              </w:rPr>
              <w:t xml:space="preserve">+ Average estimated asset base of capitalized operating leases </w:t>
            </w:r>
            <w:r>
              <w:rPr>
                <w:rFonts w:ascii="Arial" w:cs="Arial" w:eastAsia="Arial" w:hAnsi="Arial"/>
                <w:sz w:val="16"/>
                <w:szCs w:val="16"/>
                <w:color w:val="auto"/>
                <w:vertAlign w:val="superscript"/>
              </w:rPr>
              <w:t>(1)</w:t>
            </w:r>
          </w:p>
        </w:tc>
        <w:tc>
          <w:tcPr>
            <w:tcW w:w="1300" w:type="dxa"/>
            <w:vAlign w:val="bottom"/>
          </w:tcPr>
          <w:p>
            <w:pPr>
              <w:spacing w:after="0"/>
              <w:rPr>
                <w:sz w:val="12"/>
                <w:szCs w:val="12"/>
                <w:color w:val="auto"/>
              </w:rPr>
            </w:pPr>
          </w:p>
        </w:tc>
        <w:tc>
          <w:tcPr>
            <w:tcW w:w="600" w:type="dxa"/>
            <w:vAlign w:val="bottom"/>
          </w:tcPr>
          <w:p>
            <w:pPr>
              <w:jc w:val="right"/>
              <w:ind w:right="155"/>
              <w:spacing w:after="0" w:line="144" w:lineRule="exact"/>
              <w:rPr>
                <w:sz w:val="20"/>
                <w:szCs w:val="20"/>
                <w:color w:val="auto"/>
              </w:rPr>
            </w:pPr>
            <w:r>
              <w:rPr>
                <w:rFonts w:ascii="Arial" w:cs="Arial" w:eastAsia="Arial" w:hAnsi="Arial"/>
                <w:sz w:val="13"/>
                <w:szCs w:val="13"/>
                <w:b w:val="1"/>
                <w:bCs w:val="1"/>
                <w:color w:val="auto"/>
              </w:rPr>
              <w:t>—</w:t>
            </w:r>
          </w:p>
        </w:tc>
        <w:tc>
          <w:tcPr>
            <w:tcW w:w="780" w:type="dxa"/>
            <w:vAlign w:val="bottom"/>
          </w:tcPr>
          <w:p>
            <w:pPr>
              <w:spacing w:after="0"/>
              <w:rPr>
                <w:sz w:val="12"/>
                <w:szCs w:val="12"/>
                <w:color w:val="auto"/>
              </w:rPr>
            </w:pPr>
          </w:p>
        </w:tc>
        <w:tc>
          <w:tcPr>
            <w:tcW w:w="600" w:type="dxa"/>
            <w:vAlign w:val="bottom"/>
          </w:tcPr>
          <w:p>
            <w:pPr>
              <w:jc w:val="right"/>
              <w:ind w:right="155"/>
              <w:spacing w:after="0" w:line="144"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1080" w:type="dxa"/>
            <w:vAlign w:val="bottom"/>
          </w:tcPr>
          <w:p>
            <w:pPr>
              <w:jc w:val="right"/>
              <w:ind w:right="155"/>
              <w:spacing w:after="0" w:line="144" w:lineRule="exact"/>
              <w:rPr>
                <w:sz w:val="20"/>
                <w:szCs w:val="20"/>
                <w:color w:val="auto"/>
              </w:rPr>
            </w:pPr>
            <w:r>
              <w:rPr>
                <w:rFonts w:ascii="Arial" w:cs="Arial" w:eastAsia="Arial" w:hAnsi="Arial"/>
                <w:sz w:val="13"/>
                <w:szCs w:val="13"/>
                <w:color w:val="auto"/>
              </w:rPr>
              <w:t>2,989</w:t>
            </w: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4360" w:type="dxa"/>
            <w:vAlign w:val="bottom"/>
            <w:gridSpan w:val="2"/>
            <w:shd w:val="clear" w:color="auto" w:fill="CCEEFF"/>
          </w:tcPr>
          <w:p>
            <w:pPr>
              <w:spacing w:after="0" w:line="144" w:lineRule="exact"/>
              <w:rPr>
                <w:sz w:val="20"/>
                <w:szCs w:val="20"/>
                <w:color w:val="auto"/>
              </w:rPr>
            </w:pPr>
            <w:r>
              <w:rPr>
                <w:rFonts w:ascii="Arial" w:cs="Arial" w:eastAsia="Arial" w:hAnsi="Arial"/>
                <w:sz w:val="11"/>
                <w:szCs w:val="11"/>
                <w:color w:val="auto"/>
              </w:rPr>
              <w:t xml:space="preserve">+ Average right-of-use assets </w:t>
            </w:r>
            <w:r>
              <w:rPr>
                <w:rFonts w:ascii="Arial" w:cs="Arial" w:eastAsia="Arial" w:hAnsi="Arial"/>
                <w:sz w:val="16"/>
                <w:szCs w:val="16"/>
                <w:color w:val="auto"/>
                <w:vertAlign w:val="superscript"/>
              </w:rPr>
              <w:t>(5)</w:t>
            </w:r>
          </w:p>
        </w:tc>
        <w:tc>
          <w:tcPr>
            <w:tcW w:w="13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55"/>
              <w:spacing w:after="0" w:line="144" w:lineRule="exact"/>
              <w:rPr>
                <w:sz w:val="20"/>
                <w:szCs w:val="20"/>
                <w:color w:val="auto"/>
              </w:rPr>
            </w:pPr>
            <w:r>
              <w:rPr>
                <w:rFonts w:ascii="Arial" w:cs="Arial" w:eastAsia="Arial" w:hAnsi="Arial"/>
                <w:sz w:val="13"/>
                <w:szCs w:val="13"/>
                <w:b w:val="1"/>
                <w:bCs w:val="1"/>
                <w:color w:val="auto"/>
              </w:rPr>
              <w:t>—</w:t>
            </w:r>
          </w:p>
        </w:tc>
        <w:tc>
          <w:tcPr>
            <w:tcW w:w="78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55"/>
              <w:spacing w:after="0" w:line="144" w:lineRule="exact"/>
              <w:rPr>
                <w:sz w:val="20"/>
                <w:szCs w:val="20"/>
                <w:color w:val="auto"/>
              </w:rPr>
            </w:pPr>
            <w:r>
              <w:rPr>
                <w:rFonts w:ascii="Arial" w:cs="Arial" w:eastAsia="Arial" w:hAnsi="Arial"/>
                <w:sz w:val="13"/>
                <w:szCs w:val="13"/>
                <w:color w:val="auto"/>
              </w:rPr>
              <w:t>3,024</w:t>
            </w: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55"/>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4"/>
        </w:trPr>
        <w:tc>
          <w:tcPr>
            <w:tcW w:w="40" w:type="dxa"/>
            <w:vAlign w:val="bottom"/>
          </w:tcPr>
          <w:p>
            <w:pPr>
              <w:spacing w:after="0"/>
              <w:rPr>
                <w:sz w:val="13"/>
                <w:szCs w:val="13"/>
                <w:color w:val="auto"/>
              </w:rPr>
            </w:pPr>
          </w:p>
        </w:tc>
        <w:tc>
          <w:tcPr>
            <w:tcW w:w="4360" w:type="dxa"/>
            <w:vAlign w:val="bottom"/>
            <w:tcBorders>
              <w:bottom w:val="single" w:sz="8" w:color="auto"/>
            </w:tcBorders>
            <w:gridSpan w:val="2"/>
          </w:tcPr>
          <w:p>
            <w:pPr>
              <w:spacing w:after="0" w:line="150" w:lineRule="exact"/>
              <w:rPr>
                <w:sz w:val="20"/>
                <w:szCs w:val="20"/>
                <w:color w:val="auto"/>
              </w:rPr>
            </w:pPr>
            <w:r>
              <w:rPr>
                <w:rFonts w:ascii="Arial" w:cs="Arial" w:eastAsia="Arial" w:hAnsi="Arial"/>
                <w:sz w:val="13"/>
                <w:szCs w:val="13"/>
                <w:color w:val="auto"/>
              </w:rPr>
              <w:t>+ 13</w:t>
            </w:r>
            <w:r>
              <w:rPr>
                <w:rFonts w:ascii="MS PGothic" w:cs="MS PGothic" w:eastAsia="MS PGothic" w:hAnsi="MS PGothic"/>
                <w:sz w:val="13"/>
                <w:szCs w:val="13"/>
                <w:color w:val="auto"/>
              </w:rPr>
              <w:t>‑</w:t>
            </w:r>
            <w:r>
              <w:rPr>
                <w:rFonts w:ascii="Arial" w:cs="Arial" w:eastAsia="Arial" w:hAnsi="Arial"/>
                <w:sz w:val="13"/>
                <w:szCs w:val="13"/>
                <w:color w:val="auto"/>
              </w:rPr>
              <w:t>month average merchandise inventories</w:t>
            </w:r>
          </w:p>
        </w:tc>
        <w:tc>
          <w:tcPr>
            <w:tcW w:w="13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b w:val="1"/>
                <w:bCs w:val="1"/>
                <w:color w:val="auto"/>
              </w:rPr>
              <w:t>1,243</w:t>
            </w:r>
          </w:p>
        </w:tc>
        <w:tc>
          <w:tcPr>
            <w:tcW w:w="7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color w:val="auto"/>
              </w:rPr>
              <w:t>1,361</w:t>
            </w: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color w:val="auto"/>
              </w:rPr>
              <w:t>1,337</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4360" w:type="dxa"/>
            <w:vAlign w:val="bottom"/>
            <w:tcBorders>
              <w:bottom w:val="single" w:sz="8" w:color="auto"/>
            </w:tcBorders>
            <w:gridSpan w:val="2"/>
            <w:shd w:val="clear" w:color="auto" w:fill="CCEEFF"/>
          </w:tcPr>
          <w:p>
            <w:pPr>
              <w:spacing w:after="0" w:line="134" w:lineRule="exact"/>
              <w:rPr>
                <w:sz w:val="20"/>
                <w:szCs w:val="20"/>
                <w:color w:val="auto"/>
              </w:rPr>
            </w:pPr>
            <w:r>
              <w:rPr>
                <w:rFonts w:ascii="Arial" w:cs="Arial" w:eastAsia="Arial" w:hAnsi="Arial"/>
                <w:sz w:val="13"/>
                <w:szCs w:val="13"/>
                <w:color w:val="auto"/>
              </w:rPr>
              <w:t>= Average invested capital</w:t>
            </w:r>
          </w:p>
        </w:tc>
        <w:tc>
          <w:tcPr>
            <w:tcW w:w="1300" w:type="dxa"/>
            <w:vAlign w:val="bottom"/>
            <w:tcBorders>
              <w:bottom w:val="single" w:sz="8" w:color="auto"/>
            </w:tcBorders>
            <w:shd w:val="clear" w:color="auto" w:fill="CCEEFF"/>
          </w:tcPr>
          <w:p>
            <w:pPr>
              <w:jc w:val="right"/>
              <w:ind w:right="595"/>
              <w:spacing w:after="0" w:line="134" w:lineRule="exact"/>
              <w:rPr>
                <w:sz w:val="20"/>
                <w:szCs w:val="20"/>
                <w:color w:val="auto"/>
              </w:rPr>
            </w:pPr>
            <w:r>
              <w:rPr>
                <w:rFonts w:ascii="Arial" w:cs="Arial" w:eastAsia="Arial" w:hAnsi="Arial"/>
                <w:sz w:val="13"/>
                <w:szCs w:val="13"/>
                <w:b w:val="1"/>
                <w:bCs w:val="1"/>
                <w:color w:val="auto"/>
              </w:rPr>
              <w:t>$</w:t>
            </w:r>
          </w:p>
        </w:tc>
        <w:tc>
          <w:tcPr>
            <w:tcW w:w="600" w:type="dxa"/>
            <w:vAlign w:val="bottom"/>
            <w:tcBorders>
              <w:bottom w:val="single" w:sz="8" w:color="auto"/>
            </w:tcBorders>
            <w:shd w:val="clear" w:color="auto" w:fill="CCEEFF"/>
          </w:tcPr>
          <w:p>
            <w:pPr>
              <w:jc w:val="right"/>
              <w:ind w:right="155"/>
              <w:spacing w:after="0" w:line="134" w:lineRule="exact"/>
              <w:rPr>
                <w:sz w:val="20"/>
                <w:szCs w:val="20"/>
                <w:color w:val="auto"/>
              </w:rPr>
            </w:pPr>
            <w:r>
              <w:rPr>
                <w:rFonts w:ascii="Arial" w:cs="Arial" w:eastAsia="Arial" w:hAnsi="Arial"/>
                <w:sz w:val="13"/>
                <w:szCs w:val="13"/>
                <w:b w:val="1"/>
                <w:bCs w:val="1"/>
                <w:color w:val="auto"/>
              </w:rPr>
              <w:t>4,880</w:t>
            </w:r>
          </w:p>
        </w:tc>
        <w:tc>
          <w:tcPr>
            <w:tcW w:w="780" w:type="dxa"/>
            <w:vAlign w:val="bottom"/>
            <w:tcBorders>
              <w:bottom w:val="single" w:sz="8" w:color="auto"/>
            </w:tcBorders>
            <w:shd w:val="clear" w:color="auto" w:fill="CCEEFF"/>
          </w:tcPr>
          <w:p>
            <w:pPr>
              <w:jc w:val="right"/>
              <w:ind w:right="575"/>
              <w:spacing w:after="0" w:line="134" w:lineRule="exact"/>
              <w:rPr>
                <w:sz w:val="20"/>
                <w:szCs w:val="20"/>
                <w:color w:val="auto"/>
              </w:rPr>
            </w:pPr>
            <w:r>
              <w:rPr>
                <w:rFonts w:ascii="Arial" w:cs="Arial" w:eastAsia="Arial" w:hAnsi="Arial"/>
                <w:sz w:val="13"/>
                <w:szCs w:val="13"/>
                <w:color w:val="auto"/>
              </w:rPr>
              <w:t>$</w:t>
            </w:r>
          </w:p>
        </w:tc>
        <w:tc>
          <w:tcPr>
            <w:tcW w:w="600" w:type="dxa"/>
            <w:vAlign w:val="bottom"/>
            <w:tcBorders>
              <w:bottom w:val="single" w:sz="8" w:color="auto"/>
            </w:tcBorders>
            <w:shd w:val="clear" w:color="auto" w:fill="CCEEFF"/>
          </w:tcPr>
          <w:p>
            <w:pPr>
              <w:jc w:val="right"/>
              <w:ind w:right="155"/>
              <w:spacing w:after="0" w:line="134" w:lineRule="exact"/>
              <w:rPr>
                <w:sz w:val="20"/>
                <w:szCs w:val="20"/>
                <w:color w:val="auto"/>
              </w:rPr>
            </w:pPr>
            <w:r>
              <w:rPr>
                <w:rFonts w:ascii="Arial" w:cs="Arial" w:eastAsia="Arial" w:hAnsi="Arial"/>
                <w:sz w:val="13"/>
                <w:szCs w:val="13"/>
                <w:color w:val="auto"/>
              </w:rPr>
              <w:t>5,282</w:t>
            </w:r>
          </w:p>
        </w:tc>
        <w:tc>
          <w:tcPr>
            <w:tcW w:w="320" w:type="dxa"/>
            <w:vAlign w:val="bottom"/>
            <w:tcBorders>
              <w:bottom w:val="single" w:sz="8" w:color="auto"/>
            </w:tcBorders>
            <w:shd w:val="clear" w:color="auto" w:fill="CCEEFF"/>
          </w:tcPr>
          <w:p>
            <w:pPr>
              <w:jc w:val="right"/>
              <w:ind w:right="115"/>
              <w:spacing w:after="0" w:line="134" w:lineRule="exact"/>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ind w:right="155"/>
              <w:spacing w:after="0" w:line="134" w:lineRule="exact"/>
              <w:rPr>
                <w:sz w:val="20"/>
                <w:szCs w:val="20"/>
                <w:color w:val="auto"/>
              </w:rPr>
            </w:pPr>
            <w:r>
              <w:rPr>
                <w:rFonts w:ascii="Arial" w:cs="Arial" w:eastAsia="Arial" w:hAnsi="Arial"/>
                <w:sz w:val="13"/>
                <w:szCs w:val="13"/>
                <w:color w:val="auto"/>
              </w:rPr>
              <w:t>5,383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40" w:type="dxa"/>
            <w:vAlign w:val="bottom"/>
          </w:tcPr>
          <w:p>
            <w:pPr>
              <w:spacing w:after="0"/>
              <w:rPr>
                <w:sz w:val="9"/>
                <w:szCs w:val="9"/>
                <w:color w:val="auto"/>
              </w:rPr>
            </w:pPr>
          </w:p>
        </w:tc>
        <w:tc>
          <w:tcPr>
            <w:tcW w:w="4360" w:type="dxa"/>
            <w:vAlign w:val="bottom"/>
            <w:tcBorders>
              <w:bottom w:val="single" w:sz="8" w:color="auto"/>
            </w:tcBorders>
            <w:gridSpan w:val="2"/>
          </w:tcPr>
          <w:p>
            <w:pPr>
              <w:spacing w:after="0" w:line="114" w:lineRule="exact"/>
              <w:rPr>
                <w:sz w:val="20"/>
                <w:szCs w:val="20"/>
                <w:color w:val="auto"/>
              </w:rPr>
            </w:pPr>
            <w:r>
              <w:rPr>
                <w:rFonts w:ascii="Arial" w:cs="Arial" w:eastAsia="Arial" w:hAnsi="Arial"/>
                <w:sz w:val="13"/>
                <w:szCs w:val="13"/>
                <w:color w:val="auto"/>
              </w:rPr>
              <w:t>ROIC %</w:t>
            </w:r>
          </w:p>
        </w:tc>
        <w:tc>
          <w:tcPr>
            <w:tcW w:w="13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ind w:right="15"/>
              <w:spacing w:after="0" w:line="114" w:lineRule="exact"/>
              <w:rPr>
                <w:sz w:val="20"/>
                <w:szCs w:val="20"/>
                <w:color w:val="auto"/>
              </w:rPr>
            </w:pPr>
            <w:r>
              <w:rPr>
                <w:rFonts w:ascii="Arial" w:cs="Arial" w:eastAsia="Arial" w:hAnsi="Arial"/>
                <w:sz w:val="13"/>
                <w:szCs w:val="13"/>
                <w:b w:val="1"/>
                <w:bCs w:val="1"/>
                <w:color w:val="auto"/>
              </w:rPr>
              <w:t>8.6 %</w:t>
            </w:r>
          </w:p>
        </w:tc>
        <w:tc>
          <w:tcPr>
            <w:tcW w:w="7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3"/>
                <w:szCs w:val="13"/>
                <w:color w:val="auto"/>
              </w:rPr>
              <w:t>12.5 %</w:t>
            </w:r>
          </w:p>
        </w:tc>
        <w:tc>
          <w:tcPr>
            <w:tcW w:w="32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3"/>
                <w:szCs w:val="13"/>
                <w:color w:val="auto"/>
              </w:rPr>
              <w:t>12.0 %</w:t>
            </w:r>
          </w:p>
        </w:tc>
        <w:tc>
          <w:tcPr>
            <w:tcW w:w="0" w:type="dxa"/>
            <w:vAlign w:val="bottom"/>
          </w:tcPr>
          <w:p>
            <w:pPr>
              <w:spacing w:after="0"/>
              <w:rPr>
                <w:sz w:val="1"/>
                <w:szCs w:val="1"/>
                <w:color w:val="auto"/>
              </w:rPr>
            </w:pPr>
          </w:p>
        </w:tc>
      </w:tr>
    </w:tbl>
    <w:p>
      <w:pPr>
        <w:spacing w:after="0" w:line="143" w:lineRule="exact"/>
        <w:rPr>
          <w:sz w:val="20"/>
          <w:szCs w:val="20"/>
          <w:color w:val="auto"/>
        </w:rPr>
      </w:pPr>
    </w:p>
    <w:p>
      <w:pPr>
        <w:jc w:val="both"/>
        <w:ind w:left="243" w:right="39" w:hanging="243"/>
        <w:spacing w:after="0" w:line="243" w:lineRule="auto"/>
        <w:tabs>
          <w:tab w:leader="none" w:pos="243" w:val="left"/>
        </w:tabs>
        <w:numPr>
          <w:ilvl w:val="0"/>
          <w:numId w:val="9"/>
        </w:numPr>
        <w:rPr>
          <w:rFonts w:ascii="Arial" w:cs="Arial" w:eastAsia="Arial" w:hAnsi="Arial"/>
          <w:sz w:val="10"/>
          <w:szCs w:val="10"/>
          <w:color w:val="auto"/>
        </w:rPr>
      </w:pPr>
      <w:r>
        <w:rPr>
          <w:rFonts w:ascii="Arial" w:cs="Arial" w:eastAsia="Arial" w:hAnsi="Arial"/>
          <w:sz w:val="10"/>
          <w:szCs w:val="10"/>
          <w:color w:val="auto"/>
        </w:rPr>
        <w:t>For 2018, the determination of the capitalized operating leases and the adjustments to income was calculated on a lease-by-lease basis and represented the best estimate of the asset base that would be recorded for operating leases as if they had been classified as finance leases or as if the property were purchased. No such adjustments are required for 2020 and 2019 since leases are accounted for on the Consolidated Balance Sheet after the adoption of the new leasing standard.</w:t>
      </w:r>
    </w:p>
    <w:p>
      <w:pPr>
        <w:spacing w:after="0" w:line="19" w:lineRule="exact"/>
        <w:rPr>
          <w:rFonts w:ascii="Arial" w:cs="Arial" w:eastAsia="Arial" w:hAnsi="Arial"/>
          <w:sz w:val="10"/>
          <w:szCs w:val="10"/>
          <w:color w:val="auto"/>
        </w:rPr>
      </w:pPr>
    </w:p>
    <w:p>
      <w:pPr>
        <w:jc w:val="both"/>
        <w:ind w:left="243" w:right="39" w:hanging="243"/>
        <w:spacing w:after="0" w:line="243" w:lineRule="auto"/>
        <w:tabs>
          <w:tab w:leader="none" w:pos="243" w:val="left"/>
        </w:tabs>
        <w:numPr>
          <w:ilvl w:val="0"/>
          <w:numId w:val="9"/>
        </w:numPr>
        <w:rPr>
          <w:rFonts w:ascii="Arial" w:cs="Arial" w:eastAsia="Arial" w:hAnsi="Arial"/>
          <w:sz w:val="10"/>
          <w:szCs w:val="10"/>
          <w:color w:val="auto"/>
        </w:rPr>
      </w:pPr>
      <w:r>
        <w:rPr>
          <w:rFonts w:ascii="Arial" w:cs="Arial" w:eastAsia="Arial" w:hAnsi="Arial"/>
          <w:sz w:val="10"/>
          <w:szCs w:val="10"/>
          <w:color w:val="auto"/>
        </w:rPr>
        <w:t>Represents the add-back to operating income driven by the hypothetical interest expense we would incur if the property under our operating leases were owned or accounted for as finance leases. Calculated using the discount rate for each operating lease recorded as a component of rent expense. Operating lease interest is added back to adjusted net operating profit in the ROIC calculation to account for differences in capital structure between us and our competitors.</w:t>
      </w:r>
    </w:p>
    <w:p>
      <w:pPr>
        <w:spacing w:after="0" w:line="9" w:lineRule="exact"/>
        <w:rPr>
          <w:rFonts w:ascii="Arial" w:cs="Arial" w:eastAsia="Arial" w:hAnsi="Arial"/>
          <w:sz w:val="10"/>
          <w:szCs w:val="10"/>
          <w:color w:val="auto"/>
        </w:rPr>
      </w:pPr>
    </w:p>
    <w:p>
      <w:pPr>
        <w:ind w:left="243" w:hanging="243"/>
        <w:spacing w:after="0"/>
        <w:tabs>
          <w:tab w:leader="none" w:pos="243" w:val="left"/>
        </w:tabs>
        <w:numPr>
          <w:ilvl w:val="0"/>
          <w:numId w:val="9"/>
        </w:numPr>
        <w:rPr>
          <w:rFonts w:ascii="Arial" w:cs="Arial" w:eastAsia="Arial" w:hAnsi="Arial"/>
          <w:sz w:val="10"/>
          <w:szCs w:val="10"/>
          <w:color w:val="auto"/>
        </w:rPr>
      </w:pPr>
      <w:r>
        <w:rPr>
          <w:rFonts w:ascii="Arial" w:cs="Arial" w:eastAsia="Arial" w:hAnsi="Arial"/>
          <w:sz w:val="10"/>
          <w:szCs w:val="10"/>
          <w:color w:val="auto"/>
        </w:rPr>
        <w:t>The adjusted income tax expense represents the marginal tax rate applied to adjusted net operating profit for each of the periods presented.</w:t>
      </w:r>
    </w:p>
    <w:p>
      <w:pPr>
        <w:spacing w:after="0" w:line="28" w:lineRule="exact"/>
        <w:rPr>
          <w:rFonts w:ascii="Arial" w:cs="Arial" w:eastAsia="Arial" w:hAnsi="Arial"/>
          <w:sz w:val="10"/>
          <w:szCs w:val="10"/>
          <w:color w:val="auto"/>
        </w:rPr>
      </w:pPr>
    </w:p>
    <w:p>
      <w:pPr>
        <w:ind w:left="243" w:hanging="243"/>
        <w:spacing w:after="0"/>
        <w:tabs>
          <w:tab w:leader="none" w:pos="243" w:val="left"/>
        </w:tabs>
        <w:numPr>
          <w:ilvl w:val="0"/>
          <w:numId w:val="9"/>
        </w:numPr>
        <w:rPr>
          <w:rFonts w:ascii="Arial" w:cs="Arial" w:eastAsia="Arial" w:hAnsi="Arial"/>
          <w:sz w:val="10"/>
          <w:szCs w:val="10"/>
          <w:color w:val="auto"/>
        </w:rPr>
      </w:pPr>
      <w:r>
        <w:rPr>
          <w:rFonts w:ascii="Arial" w:cs="Arial" w:eastAsia="Arial" w:hAnsi="Arial"/>
          <w:sz w:val="10"/>
          <w:szCs w:val="10"/>
          <w:color w:val="auto"/>
        </w:rPr>
        <w:t>For 2019, the amount represents the average total assets for 2019 and 2018, excluding the 2019 right-of-use assets of $2,899 million for comparability to prior periods.</w:t>
      </w:r>
    </w:p>
    <w:p>
      <w:pPr>
        <w:spacing w:after="0" w:line="28" w:lineRule="exact"/>
        <w:rPr>
          <w:rFonts w:ascii="Arial" w:cs="Arial" w:eastAsia="Arial" w:hAnsi="Arial"/>
          <w:sz w:val="10"/>
          <w:szCs w:val="10"/>
          <w:color w:val="auto"/>
        </w:rPr>
      </w:pPr>
    </w:p>
    <w:p>
      <w:pPr>
        <w:ind w:left="243" w:right="39" w:hanging="243"/>
        <w:spacing w:after="0" w:line="251" w:lineRule="auto"/>
        <w:tabs>
          <w:tab w:leader="none" w:pos="243" w:val="left"/>
        </w:tabs>
        <w:numPr>
          <w:ilvl w:val="0"/>
          <w:numId w:val="9"/>
        </w:numPr>
        <w:rPr>
          <w:rFonts w:ascii="Arial" w:cs="Arial" w:eastAsia="Arial" w:hAnsi="Arial"/>
          <w:sz w:val="10"/>
          <w:szCs w:val="10"/>
          <w:color w:val="auto"/>
        </w:rPr>
      </w:pPr>
      <w:r>
        <w:rPr>
          <w:rFonts w:ascii="Arial" w:cs="Arial" w:eastAsia="Arial" w:hAnsi="Arial"/>
          <w:sz w:val="10"/>
          <w:szCs w:val="10"/>
          <w:color w:val="auto"/>
        </w:rPr>
        <w:t>For 2019, the amount represents the average of the right-of-use assets as of February 1, 2020 and February 3, 2019 (the date of the adoption of the new lease standard) of $2,899 million and $3,148 million, respectively.</w:t>
      </w:r>
    </w:p>
    <w:p>
      <w:pPr>
        <w:spacing w:after="0" w:line="299" w:lineRule="exact"/>
        <w:rPr>
          <w:sz w:val="20"/>
          <w:szCs w:val="20"/>
          <w:color w:val="auto"/>
        </w:rPr>
      </w:pPr>
    </w:p>
    <w:p>
      <w:pPr>
        <w:ind w:left="7663"/>
        <w:spacing w:after="0"/>
        <w:rPr>
          <w:sz w:val="20"/>
          <w:szCs w:val="20"/>
          <w:color w:val="auto"/>
        </w:rPr>
      </w:pPr>
      <w:r>
        <w:rPr>
          <w:rFonts w:ascii="Arial" w:cs="Arial" w:eastAsia="Arial" w:hAnsi="Arial"/>
          <w:sz w:val="12"/>
          <w:szCs w:val="12"/>
          <w:color w:val="auto"/>
        </w:rPr>
        <w:t>2020 Form 10-K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365125</wp:posOffset>
            </wp:positionV>
            <wp:extent cx="5790565" cy="196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90565" cy="19685"/>
                    </a:xfrm>
                    <a:prstGeom prst="rect">
                      <a:avLst/>
                    </a:prstGeom>
                    <a:noFill/>
                  </pic:spPr>
                </pic:pic>
              </a:graphicData>
            </a:graphic>
          </wp:anchor>
        </w:drawing>
      </w:r>
    </w:p>
    <w:p>
      <w:pPr>
        <w:sectPr>
          <w:pgSz w:w="11900" w:h="16838" w:orient="portrait"/>
          <w:cols w:equalWidth="0" w:num="1">
            <w:col w:w="9162"/>
          </w:cols>
          <w:pgMar w:left="1297" w:top="664"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72"/>
        </w:trPr>
        <w:tc>
          <w:tcPr>
            <w:tcW w:w="3780" w:type="dxa"/>
            <w:vAlign w:val="bottom"/>
          </w:tcPr>
          <w:p>
            <w:pPr>
              <w:spacing w:after="0"/>
              <w:rPr>
                <w:sz w:val="20"/>
                <w:szCs w:val="20"/>
                <w:color w:val="auto"/>
              </w:rPr>
            </w:pPr>
            <w:r>
              <w:rPr>
                <w:rFonts w:ascii="Arial" w:cs="Arial" w:eastAsia="Arial" w:hAnsi="Arial"/>
                <w:sz w:val="13"/>
                <w:szCs w:val="13"/>
                <w:b w:val="1"/>
                <w:bCs w:val="1"/>
                <w:color w:val="auto"/>
              </w:rPr>
              <w:t>Overview of Consolidated Results</w:t>
            </w:r>
          </w:p>
        </w:tc>
        <w:tc>
          <w:tcPr>
            <w:tcW w:w="14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290"/>
        </w:trPr>
        <w:tc>
          <w:tcPr>
            <w:tcW w:w="37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(in millions, except per share data)</w:t>
            </w:r>
          </w:p>
        </w:tc>
        <w:tc>
          <w:tcPr>
            <w:tcW w:w="14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95"/>
              <w:spacing w:after="0"/>
              <w:rPr>
                <w:sz w:val="20"/>
                <w:szCs w:val="20"/>
                <w:color w:val="auto"/>
              </w:rPr>
            </w:pPr>
            <w:r>
              <w:rPr>
                <w:rFonts w:ascii="Arial" w:cs="Arial" w:eastAsia="Arial" w:hAnsi="Arial"/>
                <w:sz w:val="13"/>
                <w:szCs w:val="13"/>
                <w:b w:val="1"/>
                <w:bCs w:val="1"/>
                <w:color w:val="auto"/>
              </w:rPr>
              <w:t>2020</w:t>
            </w: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95"/>
              <w:spacing w:after="0"/>
              <w:rPr>
                <w:sz w:val="20"/>
                <w:szCs w:val="20"/>
                <w:color w:val="auto"/>
              </w:rPr>
            </w:pPr>
            <w:r>
              <w:rPr>
                <w:rFonts w:ascii="Arial" w:cs="Arial" w:eastAsia="Arial" w:hAnsi="Arial"/>
                <w:sz w:val="13"/>
                <w:szCs w:val="13"/>
                <w:color w:val="auto"/>
              </w:rPr>
              <w:t>2019</w:t>
            </w: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3"/>
                <w:szCs w:val="13"/>
                <w:color w:val="auto"/>
              </w:rPr>
              <w:t>2018</w:t>
            </w:r>
          </w:p>
        </w:tc>
      </w:tr>
      <w:tr>
        <w:trPr>
          <w:trHeight w:val="134"/>
        </w:trPr>
        <w:tc>
          <w:tcPr>
            <w:tcW w:w="378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Sales</w:t>
            </w:r>
          </w:p>
        </w:tc>
        <w:tc>
          <w:tcPr>
            <w:tcW w:w="1480" w:type="dxa"/>
            <w:vAlign w:val="bottom"/>
            <w:shd w:val="clear" w:color="auto" w:fill="CCEEFF"/>
          </w:tcPr>
          <w:p>
            <w:pPr>
              <w:jc w:val="right"/>
              <w:ind w:right="135"/>
              <w:spacing w:after="0" w:line="134" w:lineRule="exact"/>
              <w:rPr>
                <w:sz w:val="20"/>
                <w:szCs w:val="20"/>
                <w:color w:val="auto"/>
              </w:rPr>
            </w:pPr>
            <w:r>
              <w:rPr>
                <w:rFonts w:ascii="Arial" w:cs="Arial" w:eastAsia="Arial" w:hAnsi="Arial"/>
                <w:sz w:val="13"/>
                <w:szCs w:val="13"/>
                <w:b w:val="1"/>
                <w:bCs w:val="1"/>
                <w:color w:val="auto"/>
              </w:rPr>
              <w:t>$</w:t>
            </w:r>
          </w:p>
        </w:tc>
        <w:tc>
          <w:tcPr>
            <w:tcW w:w="1060" w:type="dxa"/>
            <w:vAlign w:val="bottom"/>
            <w:shd w:val="clear" w:color="auto" w:fill="CCEEFF"/>
          </w:tcPr>
          <w:p>
            <w:pPr>
              <w:jc w:val="right"/>
              <w:ind w:right="75"/>
              <w:spacing w:after="0" w:line="134" w:lineRule="exact"/>
              <w:rPr>
                <w:sz w:val="20"/>
                <w:szCs w:val="20"/>
                <w:color w:val="auto"/>
              </w:rPr>
            </w:pPr>
            <w:r>
              <w:rPr>
                <w:rFonts w:ascii="Arial" w:cs="Arial" w:eastAsia="Arial" w:hAnsi="Arial"/>
                <w:sz w:val="13"/>
                <w:szCs w:val="13"/>
                <w:b w:val="1"/>
                <w:bCs w:val="1"/>
                <w:color w:val="auto"/>
              </w:rPr>
              <w:t>7,548</w:t>
            </w:r>
          </w:p>
        </w:tc>
        <w:tc>
          <w:tcPr>
            <w:tcW w:w="380" w:type="dxa"/>
            <w:vAlign w:val="bottom"/>
            <w:shd w:val="clear" w:color="auto" w:fill="CCEEFF"/>
          </w:tcPr>
          <w:p>
            <w:pPr>
              <w:jc w:val="right"/>
              <w:ind w:right="135"/>
              <w:spacing w:after="0" w:line="134" w:lineRule="exact"/>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55"/>
              <w:spacing w:after="0" w:line="134" w:lineRule="exact"/>
              <w:rPr>
                <w:sz w:val="20"/>
                <w:szCs w:val="20"/>
                <w:color w:val="auto"/>
              </w:rPr>
            </w:pPr>
            <w:r>
              <w:rPr>
                <w:rFonts w:ascii="Arial" w:cs="Arial" w:eastAsia="Arial" w:hAnsi="Arial"/>
                <w:sz w:val="13"/>
                <w:szCs w:val="13"/>
                <w:color w:val="auto"/>
              </w:rPr>
              <w:t>8,005</w:t>
            </w:r>
          </w:p>
        </w:tc>
        <w:tc>
          <w:tcPr>
            <w:tcW w:w="400" w:type="dxa"/>
            <w:vAlign w:val="bottom"/>
            <w:shd w:val="clear" w:color="auto" w:fill="CCEEFF"/>
          </w:tcPr>
          <w:p>
            <w:pPr>
              <w:jc w:val="right"/>
              <w:ind w:right="155"/>
              <w:spacing w:after="0" w:line="134"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7,939</w:t>
            </w:r>
          </w:p>
        </w:tc>
      </w:tr>
      <w:tr>
        <w:trPr>
          <w:trHeight w:val="144"/>
        </w:trPr>
        <w:tc>
          <w:tcPr>
            <w:tcW w:w="3780" w:type="dxa"/>
            <w:vAlign w:val="bottom"/>
          </w:tcPr>
          <w:p>
            <w:pPr>
              <w:ind w:left="80"/>
              <w:spacing w:after="0" w:line="144" w:lineRule="exact"/>
              <w:rPr>
                <w:sz w:val="20"/>
                <w:szCs w:val="20"/>
                <w:color w:val="auto"/>
              </w:rPr>
            </w:pPr>
            <w:r>
              <w:rPr>
                <w:rFonts w:ascii="Arial" w:cs="Arial" w:eastAsia="Arial" w:hAnsi="Arial"/>
                <w:sz w:val="13"/>
                <w:szCs w:val="13"/>
                <w:color w:val="auto"/>
              </w:rPr>
              <w:t>Sales per average square foot</w:t>
            </w:r>
          </w:p>
        </w:tc>
        <w:tc>
          <w:tcPr>
            <w:tcW w:w="1480" w:type="dxa"/>
            <w:vAlign w:val="bottom"/>
          </w:tcPr>
          <w:p>
            <w:pPr>
              <w:spacing w:after="0"/>
              <w:rPr>
                <w:sz w:val="12"/>
                <w:szCs w:val="12"/>
                <w:color w:val="auto"/>
              </w:rPr>
            </w:pPr>
          </w:p>
        </w:tc>
        <w:tc>
          <w:tcPr>
            <w:tcW w:w="1060" w:type="dxa"/>
            <w:vAlign w:val="bottom"/>
          </w:tcPr>
          <w:p>
            <w:pPr>
              <w:jc w:val="right"/>
              <w:ind w:right="75"/>
              <w:spacing w:after="0" w:line="144" w:lineRule="exact"/>
              <w:rPr>
                <w:sz w:val="20"/>
                <w:szCs w:val="20"/>
                <w:color w:val="auto"/>
              </w:rPr>
            </w:pPr>
            <w:r>
              <w:rPr>
                <w:rFonts w:ascii="Arial" w:cs="Arial" w:eastAsia="Arial" w:hAnsi="Arial"/>
                <w:sz w:val="13"/>
                <w:szCs w:val="13"/>
                <w:b w:val="1"/>
                <w:bCs w:val="1"/>
                <w:color w:val="auto"/>
              </w:rPr>
              <w:t>417</w:t>
            </w:r>
          </w:p>
        </w:tc>
        <w:tc>
          <w:tcPr>
            <w:tcW w:w="380" w:type="dxa"/>
            <w:vAlign w:val="bottom"/>
          </w:tcPr>
          <w:p>
            <w:pPr>
              <w:spacing w:after="0"/>
              <w:rPr>
                <w:sz w:val="12"/>
                <w:szCs w:val="12"/>
                <w:color w:val="auto"/>
              </w:rPr>
            </w:pPr>
          </w:p>
        </w:tc>
        <w:tc>
          <w:tcPr>
            <w:tcW w:w="1060" w:type="dxa"/>
            <w:vAlign w:val="bottom"/>
          </w:tcPr>
          <w:p>
            <w:pPr>
              <w:jc w:val="right"/>
              <w:ind w:right="55"/>
              <w:spacing w:after="0" w:line="144" w:lineRule="exact"/>
              <w:rPr>
                <w:sz w:val="20"/>
                <w:szCs w:val="20"/>
                <w:color w:val="auto"/>
              </w:rPr>
            </w:pPr>
            <w:r>
              <w:rPr>
                <w:rFonts w:ascii="Arial" w:cs="Arial" w:eastAsia="Arial" w:hAnsi="Arial"/>
                <w:sz w:val="13"/>
                <w:szCs w:val="13"/>
                <w:color w:val="auto"/>
              </w:rPr>
              <w:t>510</w:t>
            </w:r>
          </w:p>
        </w:tc>
        <w:tc>
          <w:tcPr>
            <w:tcW w:w="400" w:type="dxa"/>
            <w:vAlign w:val="bottom"/>
          </w:tcPr>
          <w:p>
            <w:pPr>
              <w:spacing w:after="0"/>
              <w:rPr>
                <w:sz w:val="12"/>
                <w:szCs w:val="12"/>
                <w:color w:val="auto"/>
              </w:rPr>
            </w:pPr>
          </w:p>
        </w:tc>
        <w:tc>
          <w:tcPr>
            <w:tcW w:w="960" w:type="dxa"/>
            <w:vAlign w:val="bottom"/>
          </w:tcPr>
          <w:p>
            <w:pPr>
              <w:jc w:val="right"/>
              <w:spacing w:after="0" w:line="144" w:lineRule="exact"/>
              <w:rPr>
                <w:sz w:val="20"/>
                <w:szCs w:val="20"/>
                <w:color w:val="auto"/>
              </w:rPr>
            </w:pPr>
            <w:r>
              <w:rPr>
                <w:rFonts w:ascii="Arial" w:cs="Arial" w:eastAsia="Arial" w:hAnsi="Arial"/>
                <w:sz w:val="13"/>
                <w:szCs w:val="13"/>
                <w:color w:val="auto"/>
              </w:rPr>
              <w:t>504</w:t>
            </w:r>
          </w:p>
        </w:tc>
      </w:tr>
      <w:tr>
        <w:trPr>
          <w:trHeight w:val="144"/>
        </w:trPr>
        <w:tc>
          <w:tcPr>
            <w:tcW w:w="37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Gross margin</w:t>
            </w:r>
          </w:p>
        </w:tc>
        <w:tc>
          <w:tcPr>
            <w:tcW w:w="14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b w:val="1"/>
                <w:bCs w:val="1"/>
                <w:color w:val="auto"/>
              </w:rPr>
              <w:t>2,183</w:t>
            </w:r>
          </w:p>
        </w:tc>
        <w:tc>
          <w:tcPr>
            <w:tcW w:w="3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2,543</w:t>
            </w:r>
          </w:p>
        </w:tc>
        <w:tc>
          <w:tcPr>
            <w:tcW w:w="4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2,528</w:t>
            </w:r>
          </w:p>
        </w:tc>
      </w:tr>
      <w:tr>
        <w:trPr>
          <w:trHeight w:val="144"/>
        </w:trPr>
        <w:tc>
          <w:tcPr>
            <w:tcW w:w="3780" w:type="dxa"/>
            <w:vAlign w:val="bottom"/>
          </w:tcPr>
          <w:p>
            <w:pPr>
              <w:spacing w:after="0" w:line="144" w:lineRule="exact"/>
              <w:rPr>
                <w:sz w:val="20"/>
                <w:szCs w:val="20"/>
                <w:color w:val="auto"/>
              </w:rPr>
            </w:pPr>
            <w:r>
              <w:rPr>
                <w:rFonts w:ascii="Arial" w:cs="Arial" w:eastAsia="Arial" w:hAnsi="Arial"/>
                <w:sz w:val="13"/>
                <w:szCs w:val="13"/>
                <w:color w:val="auto"/>
              </w:rPr>
              <w:t>Selling, general and administrative expenses</w:t>
            </w:r>
          </w:p>
        </w:tc>
        <w:tc>
          <w:tcPr>
            <w:tcW w:w="1480" w:type="dxa"/>
            <w:vAlign w:val="bottom"/>
          </w:tcPr>
          <w:p>
            <w:pPr>
              <w:spacing w:after="0"/>
              <w:rPr>
                <w:sz w:val="12"/>
                <w:szCs w:val="12"/>
                <w:color w:val="auto"/>
              </w:rPr>
            </w:pPr>
          </w:p>
        </w:tc>
        <w:tc>
          <w:tcPr>
            <w:tcW w:w="1060" w:type="dxa"/>
            <w:vAlign w:val="bottom"/>
          </w:tcPr>
          <w:p>
            <w:pPr>
              <w:jc w:val="right"/>
              <w:ind w:right="75"/>
              <w:spacing w:after="0" w:line="144" w:lineRule="exact"/>
              <w:rPr>
                <w:sz w:val="20"/>
                <w:szCs w:val="20"/>
                <w:color w:val="auto"/>
              </w:rPr>
            </w:pPr>
            <w:r>
              <w:rPr>
                <w:rFonts w:ascii="Arial" w:cs="Arial" w:eastAsia="Arial" w:hAnsi="Arial"/>
                <w:sz w:val="13"/>
                <w:szCs w:val="13"/>
                <w:b w:val="1"/>
                <w:bCs w:val="1"/>
                <w:color w:val="auto"/>
              </w:rPr>
              <w:t>1,587</w:t>
            </w:r>
          </w:p>
        </w:tc>
        <w:tc>
          <w:tcPr>
            <w:tcW w:w="380" w:type="dxa"/>
            <w:vAlign w:val="bottom"/>
          </w:tcPr>
          <w:p>
            <w:pPr>
              <w:spacing w:after="0"/>
              <w:rPr>
                <w:sz w:val="12"/>
                <w:szCs w:val="12"/>
                <w:color w:val="auto"/>
              </w:rPr>
            </w:pPr>
          </w:p>
        </w:tc>
        <w:tc>
          <w:tcPr>
            <w:tcW w:w="1060" w:type="dxa"/>
            <w:vAlign w:val="bottom"/>
          </w:tcPr>
          <w:p>
            <w:pPr>
              <w:jc w:val="right"/>
              <w:ind w:right="55"/>
              <w:spacing w:after="0" w:line="144" w:lineRule="exact"/>
              <w:rPr>
                <w:sz w:val="20"/>
                <w:szCs w:val="20"/>
                <w:color w:val="auto"/>
              </w:rPr>
            </w:pPr>
            <w:r>
              <w:rPr>
                <w:rFonts w:ascii="Arial" w:cs="Arial" w:eastAsia="Arial" w:hAnsi="Arial"/>
                <w:sz w:val="13"/>
                <w:szCs w:val="13"/>
                <w:color w:val="auto"/>
              </w:rPr>
              <w:t>1,650</w:t>
            </w:r>
          </w:p>
        </w:tc>
        <w:tc>
          <w:tcPr>
            <w:tcW w:w="400" w:type="dxa"/>
            <w:vAlign w:val="bottom"/>
          </w:tcPr>
          <w:p>
            <w:pPr>
              <w:spacing w:after="0"/>
              <w:rPr>
                <w:sz w:val="12"/>
                <w:szCs w:val="12"/>
                <w:color w:val="auto"/>
              </w:rPr>
            </w:pPr>
          </w:p>
        </w:tc>
        <w:tc>
          <w:tcPr>
            <w:tcW w:w="960" w:type="dxa"/>
            <w:vAlign w:val="bottom"/>
          </w:tcPr>
          <w:p>
            <w:pPr>
              <w:jc w:val="right"/>
              <w:spacing w:after="0" w:line="144" w:lineRule="exact"/>
              <w:rPr>
                <w:sz w:val="20"/>
                <w:szCs w:val="20"/>
                <w:color w:val="auto"/>
              </w:rPr>
            </w:pPr>
            <w:r>
              <w:rPr>
                <w:rFonts w:ascii="Arial" w:cs="Arial" w:eastAsia="Arial" w:hAnsi="Arial"/>
                <w:sz w:val="13"/>
                <w:szCs w:val="13"/>
                <w:color w:val="auto"/>
              </w:rPr>
              <w:t>1,614</w:t>
            </w:r>
          </w:p>
        </w:tc>
      </w:tr>
      <w:tr>
        <w:trPr>
          <w:trHeight w:val="144"/>
        </w:trPr>
        <w:tc>
          <w:tcPr>
            <w:tcW w:w="37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Depreciation and amortization</w:t>
            </w:r>
          </w:p>
        </w:tc>
        <w:tc>
          <w:tcPr>
            <w:tcW w:w="14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b w:val="1"/>
                <w:bCs w:val="1"/>
                <w:color w:val="auto"/>
              </w:rPr>
              <w:t>176</w:t>
            </w:r>
          </w:p>
        </w:tc>
        <w:tc>
          <w:tcPr>
            <w:tcW w:w="3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179</w:t>
            </w:r>
          </w:p>
        </w:tc>
        <w:tc>
          <w:tcPr>
            <w:tcW w:w="4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178</w:t>
            </w:r>
          </w:p>
        </w:tc>
      </w:tr>
      <w:tr>
        <w:trPr>
          <w:trHeight w:val="144"/>
        </w:trPr>
        <w:tc>
          <w:tcPr>
            <w:tcW w:w="37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4"/>
        </w:trPr>
        <w:tc>
          <w:tcPr>
            <w:tcW w:w="3780" w:type="dxa"/>
            <w:vAlign w:val="bottom"/>
            <w:shd w:val="clear" w:color="auto" w:fill="CCEEFF"/>
          </w:tcPr>
          <w:p>
            <w:pPr>
              <w:spacing w:after="0" w:line="144" w:lineRule="exact"/>
              <w:rPr>
                <w:sz w:val="20"/>
                <w:szCs w:val="20"/>
                <w:color w:val="auto"/>
              </w:rPr>
            </w:pPr>
            <w:r>
              <w:rPr>
                <w:rFonts w:ascii="Arial" w:cs="Arial" w:eastAsia="Arial" w:hAnsi="Arial"/>
                <w:sz w:val="13"/>
                <w:szCs w:val="13"/>
                <w:i w:val="1"/>
                <w:iCs w:val="1"/>
                <w:color w:val="auto"/>
              </w:rPr>
              <w:t>Operating Results</w:t>
            </w:r>
          </w:p>
        </w:tc>
        <w:tc>
          <w:tcPr>
            <w:tcW w:w="14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44"/>
        </w:trPr>
        <w:tc>
          <w:tcPr>
            <w:tcW w:w="3780" w:type="dxa"/>
            <w:vAlign w:val="bottom"/>
          </w:tcPr>
          <w:p>
            <w:pPr>
              <w:spacing w:after="0" w:line="144" w:lineRule="exact"/>
              <w:rPr>
                <w:sz w:val="20"/>
                <w:szCs w:val="20"/>
                <w:color w:val="auto"/>
              </w:rPr>
            </w:pPr>
            <w:r>
              <w:rPr>
                <w:rFonts w:ascii="Arial" w:cs="Arial" w:eastAsia="Arial" w:hAnsi="Arial"/>
                <w:sz w:val="13"/>
                <w:szCs w:val="13"/>
                <w:color w:val="auto"/>
              </w:rPr>
              <w:t>Division profit</w:t>
            </w:r>
          </w:p>
        </w:tc>
        <w:tc>
          <w:tcPr>
            <w:tcW w:w="1480" w:type="dxa"/>
            <w:vAlign w:val="bottom"/>
          </w:tcPr>
          <w:p>
            <w:pPr>
              <w:jc w:val="right"/>
              <w:ind w:right="135"/>
              <w:spacing w:after="0" w:line="144" w:lineRule="exact"/>
              <w:rPr>
                <w:sz w:val="20"/>
                <w:szCs w:val="20"/>
                <w:color w:val="auto"/>
              </w:rPr>
            </w:pPr>
            <w:r>
              <w:rPr>
                <w:rFonts w:ascii="Arial" w:cs="Arial" w:eastAsia="Arial" w:hAnsi="Arial"/>
                <w:sz w:val="13"/>
                <w:szCs w:val="13"/>
                <w:b w:val="1"/>
                <w:bCs w:val="1"/>
                <w:color w:val="auto"/>
              </w:rPr>
              <w:t>$</w:t>
            </w:r>
          </w:p>
        </w:tc>
        <w:tc>
          <w:tcPr>
            <w:tcW w:w="1060" w:type="dxa"/>
            <w:vAlign w:val="bottom"/>
          </w:tcPr>
          <w:p>
            <w:pPr>
              <w:jc w:val="right"/>
              <w:ind w:right="75"/>
              <w:spacing w:after="0" w:line="144" w:lineRule="exact"/>
              <w:rPr>
                <w:sz w:val="20"/>
                <w:szCs w:val="20"/>
                <w:color w:val="auto"/>
              </w:rPr>
            </w:pPr>
            <w:r>
              <w:rPr>
                <w:rFonts w:ascii="Arial" w:cs="Arial" w:eastAsia="Arial" w:hAnsi="Arial"/>
                <w:sz w:val="13"/>
                <w:szCs w:val="13"/>
                <w:b w:val="1"/>
                <w:bCs w:val="1"/>
                <w:color w:val="auto"/>
              </w:rPr>
              <w:t>491</w:t>
            </w:r>
          </w:p>
        </w:tc>
        <w:tc>
          <w:tcPr>
            <w:tcW w:w="380" w:type="dxa"/>
            <w:vAlign w:val="bottom"/>
          </w:tcPr>
          <w:p>
            <w:pPr>
              <w:jc w:val="right"/>
              <w:ind w:right="135"/>
              <w:spacing w:after="0" w:line="144" w:lineRule="exact"/>
              <w:rPr>
                <w:sz w:val="20"/>
                <w:szCs w:val="20"/>
                <w:color w:val="auto"/>
              </w:rPr>
            </w:pPr>
            <w:r>
              <w:rPr>
                <w:rFonts w:ascii="Arial" w:cs="Arial" w:eastAsia="Arial" w:hAnsi="Arial"/>
                <w:sz w:val="13"/>
                <w:szCs w:val="13"/>
                <w:color w:val="auto"/>
              </w:rPr>
              <w:t>$</w:t>
            </w:r>
          </w:p>
        </w:tc>
        <w:tc>
          <w:tcPr>
            <w:tcW w:w="1060" w:type="dxa"/>
            <w:vAlign w:val="bottom"/>
          </w:tcPr>
          <w:p>
            <w:pPr>
              <w:jc w:val="right"/>
              <w:ind w:right="55"/>
              <w:spacing w:after="0" w:line="144" w:lineRule="exact"/>
              <w:rPr>
                <w:sz w:val="20"/>
                <w:szCs w:val="20"/>
                <w:color w:val="auto"/>
              </w:rPr>
            </w:pPr>
            <w:r>
              <w:rPr>
                <w:rFonts w:ascii="Arial" w:cs="Arial" w:eastAsia="Arial" w:hAnsi="Arial"/>
                <w:sz w:val="13"/>
                <w:szCs w:val="13"/>
                <w:color w:val="auto"/>
              </w:rPr>
              <w:t>788</w:t>
            </w:r>
          </w:p>
        </w:tc>
        <w:tc>
          <w:tcPr>
            <w:tcW w:w="400" w:type="dxa"/>
            <w:vAlign w:val="bottom"/>
          </w:tcPr>
          <w:p>
            <w:pPr>
              <w:jc w:val="right"/>
              <w:ind w:right="155"/>
              <w:spacing w:after="0" w:line="144" w:lineRule="exact"/>
              <w:rPr>
                <w:sz w:val="20"/>
                <w:szCs w:val="20"/>
                <w:color w:val="auto"/>
              </w:rPr>
            </w:pPr>
            <w:r>
              <w:rPr>
                <w:rFonts w:ascii="Arial" w:cs="Arial" w:eastAsia="Arial" w:hAnsi="Arial"/>
                <w:sz w:val="13"/>
                <w:szCs w:val="13"/>
                <w:color w:val="auto"/>
              </w:rPr>
              <w:t>$</w:t>
            </w:r>
          </w:p>
        </w:tc>
        <w:tc>
          <w:tcPr>
            <w:tcW w:w="960" w:type="dxa"/>
            <w:vAlign w:val="bottom"/>
          </w:tcPr>
          <w:p>
            <w:pPr>
              <w:jc w:val="right"/>
              <w:spacing w:after="0" w:line="144" w:lineRule="exact"/>
              <w:rPr>
                <w:sz w:val="20"/>
                <w:szCs w:val="20"/>
                <w:color w:val="auto"/>
              </w:rPr>
            </w:pPr>
            <w:r>
              <w:rPr>
                <w:rFonts w:ascii="Arial" w:cs="Arial" w:eastAsia="Arial" w:hAnsi="Arial"/>
                <w:sz w:val="13"/>
                <w:szCs w:val="13"/>
                <w:color w:val="auto"/>
              </w:rPr>
              <w:t>808</w:t>
            </w:r>
          </w:p>
        </w:tc>
      </w:tr>
      <w:tr>
        <w:trPr>
          <w:trHeight w:val="144"/>
        </w:trPr>
        <w:tc>
          <w:tcPr>
            <w:tcW w:w="37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Less: Other charges</w:t>
            </w:r>
          </w:p>
        </w:tc>
        <w:tc>
          <w:tcPr>
            <w:tcW w:w="14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b w:val="1"/>
                <w:bCs w:val="1"/>
                <w:color w:val="auto"/>
              </w:rPr>
              <w:t>117</w:t>
            </w:r>
          </w:p>
        </w:tc>
        <w:tc>
          <w:tcPr>
            <w:tcW w:w="3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65</w:t>
            </w:r>
          </w:p>
        </w:tc>
        <w:tc>
          <w:tcPr>
            <w:tcW w:w="4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37</w:t>
            </w:r>
          </w:p>
        </w:tc>
      </w:tr>
      <w:tr>
        <w:trPr>
          <w:trHeight w:val="144"/>
        </w:trPr>
        <w:tc>
          <w:tcPr>
            <w:tcW w:w="378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color w:val="auto"/>
              </w:rPr>
              <w:t>Less: Corporate expense</w:t>
            </w:r>
          </w:p>
        </w:tc>
        <w:tc>
          <w:tcPr>
            <w:tcW w:w="14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75"/>
              <w:spacing w:after="0" w:line="144" w:lineRule="exact"/>
              <w:rPr>
                <w:sz w:val="20"/>
                <w:szCs w:val="20"/>
                <w:color w:val="auto"/>
              </w:rPr>
            </w:pPr>
            <w:r>
              <w:rPr>
                <w:rFonts w:ascii="Arial" w:cs="Arial" w:eastAsia="Arial" w:hAnsi="Arial"/>
                <w:sz w:val="13"/>
                <w:szCs w:val="13"/>
                <w:b w:val="1"/>
                <w:bCs w:val="1"/>
                <w:color w:val="auto"/>
              </w:rPr>
              <w:t>71</w:t>
            </w:r>
          </w:p>
        </w:tc>
        <w:tc>
          <w:tcPr>
            <w:tcW w:w="3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5"/>
              <w:spacing w:after="0" w:line="144" w:lineRule="exact"/>
              <w:rPr>
                <w:sz w:val="20"/>
                <w:szCs w:val="20"/>
                <w:color w:val="auto"/>
              </w:rPr>
            </w:pPr>
            <w:r>
              <w:rPr>
                <w:rFonts w:ascii="Arial" w:cs="Arial" w:eastAsia="Arial" w:hAnsi="Arial"/>
                <w:sz w:val="13"/>
                <w:szCs w:val="13"/>
                <w:color w:val="auto"/>
              </w:rPr>
              <w:t>74</w:t>
            </w: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72</w:t>
            </w:r>
          </w:p>
        </w:tc>
      </w:tr>
      <w:tr>
        <w:trPr>
          <w:trHeight w:val="134"/>
        </w:trPr>
        <w:tc>
          <w:tcPr>
            <w:tcW w:w="378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Income from operations</w:t>
            </w:r>
          </w:p>
        </w:tc>
        <w:tc>
          <w:tcPr>
            <w:tcW w:w="148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75"/>
              <w:spacing w:after="0" w:line="134" w:lineRule="exact"/>
              <w:rPr>
                <w:sz w:val="20"/>
                <w:szCs w:val="20"/>
                <w:color w:val="auto"/>
              </w:rPr>
            </w:pPr>
            <w:r>
              <w:rPr>
                <w:rFonts w:ascii="Arial" w:cs="Arial" w:eastAsia="Arial" w:hAnsi="Arial"/>
                <w:sz w:val="13"/>
                <w:szCs w:val="13"/>
                <w:b w:val="1"/>
                <w:bCs w:val="1"/>
                <w:color w:val="auto"/>
              </w:rPr>
              <w:t>303</w:t>
            </w:r>
          </w:p>
        </w:tc>
        <w:tc>
          <w:tcPr>
            <w:tcW w:w="38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55"/>
              <w:spacing w:after="0" w:line="134" w:lineRule="exact"/>
              <w:rPr>
                <w:sz w:val="20"/>
                <w:szCs w:val="20"/>
                <w:color w:val="auto"/>
              </w:rPr>
            </w:pPr>
            <w:r>
              <w:rPr>
                <w:rFonts w:ascii="Arial" w:cs="Arial" w:eastAsia="Arial" w:hAnsi="Arial"/>
                <w:sz w:val="13"/>
                <w:szCs w:val="13"/>
                <w:color w:val="auto"/>
              </w:rPr>
              <w:t>649</w:t>
            </w:r>
          </w:p>
        </w:tc>
        <w:tc>
          <w:tcPr>
            <w:tcW w:w="40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699</w:t>
            </w:r>
          </w:p>
        </w:tc>
      </w:tr>
      <w:tr>
        <w:trPr>
          <w:trHeight w:val="144"/>
        </w:trPr>
        <w:tc>
          <w:tcPr>
            <w:tcW w:w="3780" w:type="dxa"/>
            <w:vAlign w:val="bottom"/>
          </w:tcPr>
          <w:p>
            <w:pPr>
              <w:spacing w:after="0" w:line="144" w:lineRule="exact"/>
              <w:rPr>
                <w:sz w:val="20"/>
                <w:szCs w:val="20"/>
                <w:color w:val="auto"/>
              </w:rPr>
            </w:pPr>
            <w:r>
              <w:rPr>
                <w:rFonts w:ascii="Arial" w:cs="Arial" w:eastAsia="Arial" w:hAnsi="Arial"/>
                <w:sz w:val="13"/>
                <w:szCs w:val="13"/>
                <w:color w:val="auto"/>
              </w:rPr>
              <w:t>Interest (expense) income, net</w:t>
            </w:r>
          </w:p>
        </w:tc>
        <w:tc>
          <w:tcPr>
            <w:tcW w:w="1480" w:type="dxa"/>
            <w:vAlign w:val="bottom"/>
          </w:tcPr>
          <w:p>
            <w:pPr>
              <w:spacing w:after="0"/>
              <w:rPr>
                <w:sz w:val="12"/>
                <w:szCs w:val="12"/>
                <w:color w:val="auto"/>
              </w:rPr>
            </w:pPr>
          </w:p>
        </w:tc>
        <w:tc>
          <w:tcPr>
            <w:tcW w:w="1060" w:type="dxa"/>
            <w:vAlign w:val="bottom"/>
          </w:tcPr>
          <w:p>
            <w:pPr>
              <w:jc w:val="right"/>
              <w:ind w:right="35"/>
              <w:spacing w:after="0" w:line="144" w:lineRule="exact"/>
              <w:rPr>
                <w:sz w:val="20"/>
                <w:szCs w:val="20"/>
                <w:color w:val="auto"/>
              </w:rPr>
            </w:pPr>
            <w:r>
              <w:rPr>
                <w:rFonts w:ascii="Arial" w:cs="Arial" w:eastAsia="Arial" w:hAnsi="Arial"/>
                <w:sz w:val="13"/>
                <w:szCs w:val="13"/>
                <w:b w:val="1"/>
                <w:bCs w:val="1"/>
                <w:color w:val="auto"/>
              </w:rPr>
              <w:t>(7)</w:t>
            </w:r>
          </w:p>
        </w:tc>
        <w:tc>
          <w:tcPr>
            <w:tcW w:w="380" w:type="dxa"/>
            <w:vAlign w:val="bottom"/>
          </w:tcPr>
          <w:p>
            <w:pPr>
              <w:spacing w:after="0"/>
              <w:rPr>
                <w:sz w:val="12"/>
                <w:szCs w:val="12"/>
                <w:color w:val="auto"/>
              </w:rPr>
            </w:pPr>
          </w:p>
        </w:tc>
        <w:tc>
          <w:tcPr>
            <w:tcW w:w="1060" w:type="dxa"/>
            <w:vAlign w:val="bottom"/>
          </w:tcPr>
          <w:p>
            <w:pPr>
              <w:jc w:val="right"/>
              <w:ind w:right="55"/>
              <w:spacing w:after="0" w:line="144" w:lineRule="exact"/>
              <w:rPr>
                <w:sz w:val="20"/>
                <w:szCs w:val="20"/>
                <w:color w:val="auto"/>
              </w:rPr>
            </w:pPr>
            <w:r>
              <w:rPr>
                <w:rFonts w:ascii="Arial" w:cs="Arial" w:eastAsia="Arial" w:hAnsi="Arial"/>
                <w:sz w:val="13"/>
                <w:szCs w:val="13"/>
                <w:color w:val="auto"/>
              </w:rPr>
              <w:t>11</w:t>
            </w:r>
          </w:p>
        </w:tc>
        <w:tc>
          <w:tcPr>
            <w:tcW w:w="400" w:type="dxa"/>
            <w:vAlign w:val="bottom"/>
          </w:tcPr>
          <w:p>
            <w:pPr>
              <w:spacing w:after="0"/>
              <w:rPr>
                <w:sz w:val="12"/>
                <w:szCs w:val="12"/>
                <w:color w:val="auto"/>
              </w:rPr>
            </w:pPr>
          </w:p>
        </w:tc>
        <w:tc>
          <w:tcPr>
            <w:tcW w:w="960" w:type="dxa"/>
            <w:vAlign w:val="bottom"/>
          </w:tcPr>
          <w:p>
            <w:pPr>
              <w:jc w:val="right"/>
              <w:spacing w:after="0" w:line="144" w:lineRule="exact"/>
              <w:rPr>
                <w:sz w:val="20"/>
                <w:szCs w:val="20"/>
                <w:color w:val="auto"/>
              </w:rPr>
            </w:pPr>
            <w:r>
              <w:rPr>
                <w:rFonts w:ascii="Arial" w:cs="Arial" w:eastAsia="Arial" w:hAnsi="Arial"/>
                <w:sz w:val="13"/>
                <w:szCs w:val="13"/>
                <w:color w:val="auto"/>
              </w:rPr>
              <w:t>9</w:t>
            </w:r>
          </w:p>
        </w:tc>
      </w:tr>
      <w:tr>
        <w:trPr>
          <w:trHeight w:val="144"/>
        </w:trPr>
        <w:tc>
          <w:tcPr>
            <w:tcW w:w="3780" w:type="dxa"/>
            <w:vAlign w:val="bottom"/>
            <w:tcBorders>
              <w:bottom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rPr>
              <w:t>Other income, net</w:t>
            </w:r>
          </w:p>
        </w:tc>
        <w:tc>
          <w:tcPr>
            <w:tcW w:w="14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75"/>
              <w:spacing w:after="0" w:line="144" w:lineRule="exact"/>
              <w:rPr>
                <w:sz w:val="20"/>
                <w:szCs w:val="20"/>
                <w:color w:val="auto"/>
              </w:rPr>
            </w:pPr>
            <w:r>
              <w:rPr>
                <w:rFonts w:ascii="Arial" w:cs="Arial" w:eastAsia="Arial" w:hAnsi="Arial"/>
                <w:sz w:val="13"/>
                <w:szCs w:val="13"/>
                <w:b w:val="1"/>
                <w:bCs w:val="1"/>
                <w:color w:val="auto"/>
              </w:rPr>
              <w:t>198</w:t>
            </w:r>
          </w:p>
        </w:tc>
        <w:tc>
          <w:tcPr>
            <w:tcW w:w="3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12</w:t>
            </w:r>
          </w:p>
        </w:tc>
        <w:tc>
          <w:tcPr>
            <w:tcW w:w="4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5</w:t>
            </w:r>
          </w:p>
        </w:tc>
      </w:tr>
      <w:tr>
        <w:trPr>
          <w:trHeight w:val="134"/>
        </w:trPr>
        <w:tc>
          <w:tcPr>
            <w:tcW w:w="3780" w:type="dxa"/>
            <w:vAlign w:val="bottom"/>
          </w:tcPr>
          <w:p>
            <w:pPr>
              <w:spacing w:after="0" w:line="134" w:lineRule="exact"/>
              <w:rPr>
                <w:sz w:val="20"/>
                <w:szCs w:val="20"/>
                <w:color w:val="auto"/>
              </w:rPr>
            </w:pPr>
            <w:r>
              <w:rPr>
                <w:rFonts w:ascii="Arial" w:cs="Arial" w:eastAsia="Arial" w:hAnsi="Arial"/>
                <w:sz w:val="13"/>
                <w:szCs w:val="13"/>
                <w:color w:val="auto"/>
              </w:rPr>
              <w:t>Income before income taxes</w:t>
            </w:r>
          </w:p>
        </w:tc>
        <w:tc>
          <w:tcPr>
            <w:tcW w:w="1480" w:type="dxa"/>
            <w:vAlign w:val="bottom"/>
          </w:tcPr>
          <w:p>
            <w:pPr>
              <w:jc w:val="right"/>
              <w:ind w:right="135"/>
              <w:spacing w:after="0" w:line="134" w:lineRule="exact"/>
              <w:rPr>
                <w:sz w:val="20"/>
                <w:szCs w:val="20"/>
                <w:color w:val="auto"/>
              </w:rPr>
            </w:pPr>
            <w:r>
              <w:rPr>
                <w:rFonts w:ascii="Arial" w:cs="Arial" w:eastAsia="Arial" w:hAnsi="Arial"/>
                <w:sz w:val="13"/>
                <w:szCs w:val="13"/>
                <w:b w:val="1"/>
                <w:bCs w:val="1"/>
                <w:color w:val="auto"/>
              </w:rPr>
              <w:t>$</w:t>
            </w:r>
          </w:p>
        </w:tc>
        <w:tc>
          <w:tcPr>
            <w:tcW w:w="1060" w:type="dxa"/>
            <w:vAlign w:val="bottom"/>
          </w:tcPr>
          <w:p>
            <w:pPr>
              <w:jc w:val="right"/>
              <w:ind w:right="75"/>
              <w:spacing w:after="0" w:line="134" w:lineRule="exact"/>
              <w:rPr>
                <w:sz w:val="20"/>
                <w:szCs w:val="20"/>
                <w:color w:val="auto"/>
              </w:rPr>
            </w:pPr>
            <w:r>
              <w:rPr>
                <w:rFonts w:ascii="Arial" w:cs="Arial" w:eastAsia="Arial" w:hAnsi="Arial"/>
                <w:sz w:val="13"/>
                <w:szCs w:val="13"/>
                <w:b w:val="1"/>
                <w:bCs w:val="1"/>
                <w:color w:val="auto"/>
              </w:rPr>
              <w:t>494</w:t>
            </w:r>
          </w:p>
        </w:tc>
        <w:tc>
          <w:tcPr>
            <w:tcW w:w="380" w:type="dxa"/>
            <w:vAlign w:val="bottom"/>
          </w:tcPr>
          <w:p>
            <w:pPr>
              <w:jc w:val="right"/>
              <w:ind w:right="135"/>
              <w:spacing w:after="0" w:line="134" w:lineRule="exact"/>
              <w:rPr>
                <w:sz w:val="20"/>
                <w:szCs w:val="20"/>
                <w:color w:val="auto"/>
              </w:rPr>
            </w:pPr>
            <w:r>
              <w:rPr>
                <w:rFonts w:ascii="Arial" w:cs="Arial" w:eastAsia="Arial" w:hAnsi="Arial"/>
                <w:sz w:val="13"/>
                <w:szCs w:val="13"/>
                <w:color w:val="auto"/>
              </w:rPr>
              <w:t>$</w:t>
            </w:r>
          </w:p>
        </w:tc>
        <w:tc>
          <w:tcPr>
            <w:tcW w:w="1060" w:type="dxa"/>
            <w:vAlign w:val="bottom"/>
          </w:tcPr>
          <w:p>
            <w:pPr>
              <w:jc w:val="right"/>
              <w:ind w:right="55"/>
              <w:spacing w:after="0" w:line="134" w:lineRule="exact"/>
              <w:rPr>
                <w:sz w:val="20"/>
                <w:szCs w:val="20"/>
                <w:color w:val="auto"/>
              </w:rPr>
            </w:pPr>
            <w:r>
              <w:rPr>
                <w:rFonts w:ascii="Arial" w:cs="Arial" w:eastAsia="Arial" w:hAnsi="Arial"/>
                <w:sz w:val="13"/>
                <w:szCs w:val="13"/>
                <w:color w:val="auto"/>
              </w:rPr>
              <w:t>672</w:t>
            </w:r>
          </w:p>
        </w:tc>
        <w:tc>
          <w:tcPr>
            <w:tcW w:w="400" w:type="dxa"/>
            <w:vAlign w:val="bottom"/>
          </w:tcPr>
          <w:p>
            <w:pPr>
              <w:jc w:val="right"/>
              <w:ind w:right="155"/>
              <w:spacing w:after="0" w:line="134" w:lineRule="exact"/>
              <w:rPr>
                <w:sz w:val="20"/>
                <w:szCs w:val="20"/>
                <w:color w:val="auto"/>
              </w:rPr>
            </w:pPr>
            <w:r>
              <w:rPr>
                <w:rFonts w:ascii="Arial" w:cs="Arial" w:eastAsia="Arial" w:hAnsi="Arial"/>
                <w:sz w:val="13"/>
                <w:szCs w:val="13"/>
                <w:color w:val="auto"/>
              </w:rPr>
              <w:t>$</w:t>
            </w:r>
          </w:p>
        </w:tc>
        <w:tc>
          <w:tcPr>
            <w:tcW w:w="960" w:type="dxa"/>
            <w:vAlign w:val="bottom"/>
          </w:tcPr>
          <w:p>
            <w:pPr>
              <w:jc w:val="right"/>
              <w:spacing w:after="0" w:line="134" w:lineRule="exact"/>
              <w:rPr>
                <w:sz w:val="20"/>
                <w:szCs w:val="20"/>
                <w:color w:val="auto"/>
              </w:rPr>
            </w:pPr>
            <w:r>
              <w:rPr>
                <w:rFonts w:ascii="Arial" w:cs="Arial" w:eastAsia="Arial" w:hAnsi="Arial"/>
                <w:sz w:val="13"/>
                <w:szCs w:val="13"/>
                <w:color w:val="auto"/>
              </w:rPr>
              <w:t>713</w:t>
            </w:r>
          </w:p>
        </w:tc>
      </w:tr>
      <w:tr>
        <w:trPr>
          <w:trHeight w:val="144"/>
        </w:trPr>
        <w:tc>
          <w:tcPr>
            <w:tcW w:w="378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44"/>
        </w:trPr>
        <w:tc>
          <w:tcPr>
            <w:tcW w:w="3780" w:type="dxa"/>
            <w:vAlign w:val="bottom"/>
          </w:tcPr>
          <w:p>
            <w:pPr>
              <w:spacing w:after="0" w:line="144" w:lineRule="exact"/>
              <w:rPr>
                <w:sz w:val="20"/>
                <w:szCs w:val="20"/>
                <w:color w:val="auto"/>
              </w:rPr>
            </w:pPr>
            <w:r>
              <w:rPr>
                <w:rFonts w:ascii="Arial" w:cs="Arial" w:eastAsia="Arial" w:hAnsi="Arial"/>
                <w:sz w:val="13"/>
                <w:szCs w:val="13"/>
                <w:color w:val="auto"/>
              </w:rPr>
              <w:t>Net income</w:t>
            </w:r>
          </w:p>
        </w:tc>
        <w:tc>
          <w:tcPr>
            <w:tcW w:w="1480" w:type="dxa"/>
            <w:vAlign w:val="bottom"/>
          </w:tcPr>
          <w:p>
            <w:pPr>
              <w:jc w:val="right"/>
              <w:ind w:right="135"/>
              <w:spacing w:after="0" w:line="144" w:lineRule="exact"/>
              <w:rPr>
                <w:sz w:val="20"/>
                <w:szCs w:val="20"/>
                <w:color w:val="auto"/>
              </w:rPr>
            </w:pPr>
            <w:r>
              <w:rPr>
                <w:rFonts w:ascii="Arial" w:cs="Arial" w:eastAsia="Arial" w:hAnsi="Arial"/>
                <w:sz w:val="13"/>
                <w:szCs w:val="13"/>
                <w:b w:val="1"/>
                <w:bCs w:val="1"/>
                <w:color w:val="auto"/>
              </w:rPr>
              <w:t>$</w:t>
            </w:r>
          </w:p>
        </w:tc>
        <w:tc>
          <w:tcPr>
            <w:tcW w:w="1060" w:type="dxa"/>
            <w:vAlign w:val="bottom"/>
          </w:tcPr>
          <w:p>
            <w:pPr>
              <w:jc w:val="right"/>
              <w:ind w:right="75"/>
              <w:spacing w:after="0" w:line="144" w:lineRule="exact"/>
              <w:rPr>
                <w:sz w:val="20"/>
                <w:szCs w:val="20"/>
                <w:color w:val="auto"/>
              </w:rPr>
            </w:pPr>
            <w:r>
              <w:rPr>
                <w:rFonts w:ascii="Arial" w:cs="Arial" w:eastAsia="Arial" w:hAnsi="Arial"/>
                <w:sz w:val="13"/>
                <w:szCs w:val="13"/>
                <w:b w:val="1"/>
                <w:bCs w:val="1"/>
                <w:color w:val="auto"/>
              </w:rPr>
              <w:t>323</w:t>
            </w:r>
          </w:p>
        </w:tc>
        <w:tc>
          <w:tcPr>
            <w:tcW w:w="380" w:type="dxa"/>
            <w:vAlign w:val="bottom"/>
          </w:tcPr>
          <w:p>
            <w:pPr>
              <w:jc w:val="right"/>
              <w:ind w:right="135"/>
              <w:spacing w:after="0" w:line="144" w:lineRule="exact"/>
              <w:rPr>
                <w:sz w:val="20"/>
                <w:szCs w:val="20"/>
                <w:color w:val="auto"/>
              </w:rPr>
            </w:pPr>
            <w:r>
              <w:rPr>
                <w:rFonts w:ascii="Arial" w:cs="Arial" w:eastAsia="Arial" w:hAnsi="Arial"/>
                <w:sz w:val="13"/>
                <w:szCs w:val="13"/>
                <w:color w:val="auto"/>
              </w:rPr>
              <w:t>$</w:t>
            </w:r>
          </w:p>
        </w:tc>
        <w:tc>
          <w:tcPr>
            <w:tcW w:w="1060" w:type="dxa"/>
            <w:vAlign w:val="bottom"/>
          </w:tcPr>
          <w:p>
            <w:pPr>
              <w:jc w:val="right"/>
              <w:ind w:right="55"/>
              <w:spacing w:after="0" w:line="144" w:lineRule="exact"/>
              <w:rPr>
                <w:sz w:val="20"/>
                <w:szCs w:val="20"/>
                <w:color w:val="auto"/>
              </w:rPr>
            </w:pPr>
            <w:r>
              <w:rPr>
                <w:rFonts w:ascii="Arial" w:cs="Arial" w:eastAsia="Arial" w:hAnsi="Arial"/>
                <w:sz w:val="13"/>
                <w:szCs w:val="13"/>
                <w:color w:val="auto"/>
              </w:rPr>
              <w:t>491</w:t>
            </w:r>
          </w:p>
        </w:tc>
        <w:tc>
          <w:tcPr>
            <w:tcW w:w="400" w:type="dxa"/>
            <w:vAlign w:val="bottom"/>
          </w:tcPr>
          <w:p>
            <w:pPr>
              <w:jc w:val="right"/>
              <w:ind w:right="155"/>
              <w:spacing w:after="0" w:line="144" w:lineRule="exact"/>
              <w:rPr>
                <w:sz w:val="20"/>
                <w:szCs w:val="20"/>
                <w:color w:val="auto"/>
              </w:rPr>
            </w:pPr>
            <w:r>
              <w:rPr>
                <w:rFonts w:ascii="Arial" w:cs="Arial" w:eastAsia="Arial" w:hAnsi="Arial"/>
                <w:sz w:val="13"/>
                <w:szCs w:val="13"/>
                <w:color w:val="auto"/>
              </w:rPr>
              <w:t>$</w:t>
            </w:r>
          </w:p>
        </w:tc>
        <w:tc>
          <w:tcPr>
            <w:tcW w:w="960" w:type="dxa"/>
            <w:vAlign w:val="bottom"/>
          </w:tcPr>
          <w:p>
            <w:pPr>
              <w:jc w:val="right"/>
              <w:spacing w:after="0" w:line="144" w:lineRule="exact"/>
              <w:rPr>
                <w:sz w:val="20"/>
                <w:szCs w:val="20"/>
                <w:color w:val="auto"/>
              </w:rPr>
            </w:pPr>
            <w:r>
              <w:rPr>
                <w:rFonts w:ascii="Arial" w:cs="Arial" w:eastAsia="Arial" w:hAnsi="Arial"/>
                <w:sz w:val="13"/>
                <w:szCs w:val="13"/>
                <w:color w:val="auto"/>
              </w:rPr>
              <w:t>541</w:t>
            </w:r>
          </w:p>
        </w:tc>
      </w:tr>
      <w:tr>
        <w:trPr>
          <w:trHeight w:val="144"/>
        </w:trPr>
        <w:tc>
          <w:tcPr>
            <w:tcW w:w="3780" w:type="dxa"/>
            <w:vAlign w:val="bottom"/>
            <w:tcBorders>
              <w:bottom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rPr>
              <w:t>Diluted earnings per share</w:t>
            </w:r>
          </w:p>
        </w:tc>
        <w:tc>
          <w:tcPr>
            <w:tcW w:w="1480" w:type="dxa"/>
            <w:vAlign w:val="bottom"/>
            <w:tcBorders>
              <w:bottom w:val="single" w:sz="8" w:color="auto"/>
            </w:tcBorders>
            <w:shd w:val="clear" w:color="auto" w:fill="CCEEFF"/>
          </w:tcPr>
          <w:p>
            <w:pPr>
              <w:jc w:val="right"/>
              <w:ind w:right="135"/>
              <w:spacing w:after="0" w:line="144" w:lineRule="exact"/>
              <w:rPr>
                <w:sz w:val="20"/>
                <w:szCs w:val="20"/>
                <w:color w:val="auto"/>
              </w:rPr>
            </w:pPr>
            <w:r>
              <w:rPr>
                <w:rFonts w:ascii="Arial" w:cs="Arial" w:eastAsia="Arial" w:hAnsi="Arial"/>
                <w:sz w:val="13"/>
                <w:szCs w:val="13"/>
                <w:b w:val="1"/>
                <w:bCs w:val="1"/>
                <w:color w:val="auto"/>
              </w:rPr>
              <w:t>$</w:t>
            </w:r>
          </w:p>
        </w:tc>
        <w:tc>
          <w:tcPr>
            <w:tcW w:w="1060" w:type="dxa"/>
            <w:vAlign w:val="bottom"/>
            <w:tcBorders>
              <w:bottom w:val="single" w:sz="8" w:color="auto"/>
            </w:tcBorders>
            <w:shd w:val="clear" w:color="auto" w:fill="CCEEFF"/>
          </w:tcPr>
          <w:p>
            <w:pPr>
              <w:jc w:val="right"/>
              <w:ind w:right="75"/>
              <w:spacing w:after="0" w:line="144" w:lineRule="exact"/>
              <w:rPr>
                <w:sz w:val="20"/>
                <w:szCs w:val="20"/>
                <w:color w:val="auto"/>
              </w:rPr>
            </w:pPr>
            <w:r>
              <w:rPr>
                <w:rFonts w:ascii="Arial" w:cs="Arial" w:eastAsia="Arial" w:hAnsi="Arial"/>
                <w:sz w:val="13"/>
                <w:szCs w:val="13"/>
                <w:b w:val="1"/>
                <w:bCs w:val="1"/>
                <w:color w:val="auto"/>
              </w:rPr>
              <w:t>3.08</w:t>
            </w:r>
          </w:p>
        </w:tc>
        <w:tc>
          <w:tcPr>
            <w:tcW w:w="380" w:type="dxa"/>
            <w:vAlign w:val="bottom"/>
            <w:tcBorders>
              <w:bottom w:val="single" w:sz="8" w:color="auto"/>
            </w:tcBorders>
            <w:shd w:val="clear" w:color="auto" w:fill="CCEEFF"/>
          </w:tcPr>
          <w:p>
            <w:pPr>
              <w:jc w:val="right"/>
              <w:ind w:right="135"/>
              <w:spacing w:after="0" w:line="144"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4.50</w:t>
            </w:r>
          </w:p>
        </w:tc>
        <w:tc>
          <w:tcPr>
            <w:tcW w:w="400" w:type="dxa"/>
            <w:vAlign w:val="bottom"/>
            <w:tcBorders>
              <w:bottom w:val="single" w:sz="8" w:color="auto"/>
            </w:tcBorders>
            <w:shd w:val="clear" w:color="auto" w:fill="CCEEFF"/>
          </w:tcPr>
          <w:p>
            <w:pPr>
              <w:jc w:val="right"/>
              <w:ind w:right="155"/>
              <w:spacing w:after="0" w:line="144" w:lineRule="exact"/>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4.66</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Highlights of our 2020 financial performance include:</w:t>
      </w:r>
    </w:p>
    <w:p>
      <w:pPr>
        <w:spacing w:after="0" w:line="117" w:lineRule="exact"/>
        <w:rPr>
          <w:sz w:val="20"/>
          <w:szCs w:val="20"/>
          <w:color w:val="auto"/>
        </w:rPr>
      </w:pPr>
    </w:p>
    <w:p>
      <w:pPr>
        <w:jc w:val="both"/>
        <w:ind w:left="520" w:right="39" w:hanging="256"/>
        <w:spacing w:after="0" w:line="233" w:lineRule="auto"/>
        <w:tabs>
          <w:tab w:leader="none" w:pos="520" w:val="left"/>
        </w:tabs>
        <w:numPr>
          <w:ilvl w:val="0"/>
          <w:numId w:val="10"/>
        </w:numPr>
        <w:rPr>
          <w:rFonts w:ascii="Arial" w:cs="Arial" w:eastAsia="Arial" w:hAnsi="Arial"/>
          <w:sz w:val="14"/>
          <w:szCs w:val="14"/>
          <w:color w:val="auto"/>
        </w:rPr>
      </w:pPr>
      <w:r>
        <w:rPr>
          <w:rFonts w:ascii="Arial" w:cs="Arial" w:eastAsia="Arial" w:hAnsi="Arial"/>
          <w:sz w:val="13"/>
          <w:szCs w:val="13"/>
          <w:color w:val="auto"/>
        </w:rPr>
        <w:t>COVID-19 had a significant effect on overall economic conditions in the various geographic areas in which we have operations. In response to the COVID-19 pandemic, stores across all of our brands in North America, EMEA, and Asia Pacific were temporarily closed for various periods during the year. As a result of COVID-19, our stores were open for approximately 75 percent of operating days within 2020. While we attempted to mitigate the loss of sales by employing strategies such as buy on-line and pick-up in store or other curbside services, it was not enough to offset the decrease. Social unrest in the United States and Canada also affected our sales performance and affected our results due to the losses that were sustained.</w:t>
      </w:r>
    </w:p>
    <w:p>
      <w:pPr>
        <w:spacing w:after="0" w:line="1" w:lineRule="exact"/>
        <w:rPr>
          <w:rFonts w:ascii="Arial" w:cs="Arial" w:eastAsia="Arial" w:hAnsi="Arial"/>
          <w:sz w:val="14"/>
          <w:szCs w:val="14"/>
          <w:color w:val="auto"/>
        </w:rPr>
      </w:pPr>
    </w:p>
    <w:p>
      <w:pPr>
        <w:ind w:left="520" w:hanging="256"/>
        <w:spacing w:after="0" w:line="229" w:lineRule="auto"/>
        <w:tabs>
          <w:tab w:leader="none" w:pos="520" w:val="left"/>
        </w:tabs>
        <w:numPr>
          <w:ilvl w:val="0"/>
          <w:numId w:val="10"/>
        </w:numPr>
        <w:rPr>
          <w:rFonts w:ascii="Arial" w:cs="Arial" w:eastAsia="Arial" w:hAnsi="Arial"/>
          <w:sz w:val="14"/>
          <w:szCs w:val="14"/>
          <w:color w:val="auto"/>
        </w:rPr>
      </w:pPr>
      <w:r>
        <w:rPr>
          <w:rFonts w:ascii="Arial" w:cs="Arial" w:eastAsia="Arial" w:hAnsi="Arial"/>
          <w:sz w:val="13"/>
          <w:szCs w:val="13"/>
          <w:color w:val="auto"/>
        </w:rPr>
        <w:t>Footwear sales increased to 84 percent of total sales for 2020, as compared with 83 percent in the prior year.</w:t>
      </w:r>
    </w:p>
    <w:p>
      <w:pPr>
        <w:ind w:left="520" w:right="39" w:hanging="256"/>
        <w:spacing w:after="0" w:line="229" w:lineRule="auto"/>
        <w:tabs>
          <w:tab w:leader="none" w:pos="520" w:val="left"/>
        </w:tabs>
        <w:numPr>
          <w:ilvl w:val="0"/>
          <w:numId w:val="10"/>
        </w:numPr>
        <w:rPr>
          <w:rFonts w:ascii="Arial" w:cs="Arial" w:eastAsia="Arial" w:hAnsi="Arial"/>
          <w:sz w:val="14"/>
          <w:szCs w:val="14"/>
          <w:color w:val="auto"/>
        </w:rPr>
      </w:pPr>
      <w:r>
        <w:rPr>
          <w:rFonts w:ascii="Arial" w:cs="Arial" w:eastAsia="Arial" w:hAnsi="Arial"/>
          <w:sz w:val="13"/>
          <w:szCs w:val="13"/>
          <w:color w:val="auto"/>
        </w:rPr>
        <w:t>Our stores channel experienced decreases in sales due to the previously mentioned store closures and resulting reduced customer traffic to shopping centers and malls.</w:t>
      </w:r>
    </w:p>
    <w:p>
      <w:pPr>
        <w:spacing w:after="0" w:line="1" w:lineRule="exact"/>
        <w:rPr>
          <w:rFonts w:ascii="Arial" w:cs="Arial" w:eastAsia="Arial" w:hAnsi="Arial"/>
          <w:sz w:val="14"/>
          <w:szCs w:val="14"/>
          <w:color w:val="auto"/>
        </w:rPr>
      </w:pPr>
    </w:p>
    <w:p>
      <w:pPr>
        <w:ind w:left="520" w:hanging="256"/>
        <w:spacing w:after="0" w:line="229" w:lineRule="auto"/>
        <w:tabs>
          <w:tab w:leader="none" w:pos="520" w:val="left"/>
        </w:tabs>
        <w:numPr>
          <w:ilvl w:val="0"/>
          <w:numId w:val="10"/>
        </w:numPr>
        <w:rPr>
          <w:rFonts w:ascii="Arial" w:cs="Arial" w:eastAsia="Arial" w:hAnsi="Arial"/>
          <w:sz w:val="14"/>
          <w:szCs w:val="14"/>
          <w:color w:val="auto"/>
        </w:rPr>
      </w:pPr>
      <w:r>
        <w:rPr>
          <w:rFonts w:ascii="Arial" w:cs="Arial" w:eastAsia="Arial" w:hAnsi="Arial"/>
          <w:sz w:val="13"/>
          <w:szCs w:val="13"/>
          <w:color w:val="auto"/>
        </w:rPr>
        <w:t>Sales per square foot decreased to $417 reflecting store closures and related reduced customer traffic.</w:t>
      </w:r>
    </w:p>
    <w:p>
      <w:pPr>
        <w:jc w:val="both"/>
        <w:ind w:left="520" w:right="39" w:hanging="256"/>
        <w:spacing w:after="0" w:line="224" w:lineRule="auto"/>
        <w:tabs>
          <w:tab w:leader="none" w:pos="520" w:val="left"/>
        </w:tabs>
        <w:numPr>
          <w:ilvl w:val="0"/>
          <w:numId w:val="10"/>
        </w:numPr>
        <w:rPr>
          <w:rFonts w:ascii="Arial" w:cs="Arial" w:eastAsia="Arial" w:hAnsi="Arial"/>
          <w:sz w:val="14"/>
          <w:szCs w:val="14"/>
          <w:color w:val="auto"/>
        </w:rPr>
      </w:pPr>
      <w:r>
        <w:rPr>
          <w:rFonts w:ascii="Arial" w:cs="Arial" w:eastAsia="Arial" w:hAnsi="Arial"/>
          <w:sz w:val="13"/>
          <w:szCs w:val="13"/>
          <w:color w:val="auto"/>
        </w:rPr>
        <w:t>Our direct-to-customers sales channel represented 27.8 percent of total sales in 2020, an increase from 16.1 percent in the prior year. Our ongoing investments in our omnichannel ecosystem, including supply chain capabilities, have been instrumental in delivering a seamless customer experience.</w:t>
      </w:r>
    </w:p>
    <w:p>
      <w:pPr>
        <w:spacing w:after="0" w:line="1" w:lineRule="exact"/>
        <w:rPr>
          <w:rFonts w:ascii="Arial" w:cs="Arial" w:eastAsia="Arial" w:hAnsi="Arial"/>
          <w:sz w:val="14"/>
          <w:szCs w:val="14"/>
          <w:color w:val="auto"/>
        </w:rPr>
      </w:pPr>
    </w:p>
    <w:p>
      <w:pPr>
        <w:ind w:left="520" w:right="39" w:hanging="256"/>
        <w:spacing w:after="0" w:line="231" w:lineRule="auto"/>
        <w:tabs>
          <w:tab w:leader="none" w:pos="520" w:val="left"/>
        </w:tabs>
        <w:numPr>
          <w:ilvl w:val="0"/>
          <w:numId w:val="10"/>
        </w:numPr>
        <w:rPr>
          <w:rFonts w:ascii="Arial" w:cs="Arial" w:eastAsia="Arial" w:hAnsi="Arial"/>
          <w:sz w:val="14"/>
          <w:szCs w:val="14"/>
          <w:color w:val="auto"/>
        </w:rPr>
      </w:pPr>
      <w:r>
        <w:rPr>
          <w:rFonts w:ascii="Arial" w:cs="Arial" w:eastAsia="Arial" w:hAnsi="Arial"/>
          <w:sz w:val="13"/>
          <w:szCs w:val="13"/>
          <w:color w:val="auto"/>
        </w:rPr>
        <w:t>As noted in the table below, sales and comparable sales both decreased due to closures of our stores throughout the year as a result of COVID-19. Our direct-to-customers channel generated significant increases which partially offset the sales declines in the stores channel.</w:t>
      </w:r>
    </w:p>
    <w:p>
      <w:pPr>
        <w:spacing w:after="0" w:line="116" w:lineRule="exact"/>
        <w:rPr>
          <w:sz w:val="20"/>
          <w:szCs w:val="20"/>
          <w:color w:val="auto"/>
        </w:rPr>
      </w:pPr>
    </w:p>
    <w:tbl>
      <w:tblPr>
        <w:tblLayout w:type="fixed"/>
        <w:tblInd w:w="480" w:type="dxa"/>
        <w:tblCellMar>
          <w:top w:w="0" w:type="dxa"/>
          <w:left w:w="0" w:type="dxa"/>
          <w:bottom w:w="0" w:type="dxa"/>
          <w:right w:w="0" w:type="dxa"/>
        </w:tblCellMar>
      </w:tblPr>
      <w:tr>
        <w:trPr>
          <w:trHeight w:val="164"/>
        </w:trPr>
        <w:tc>
          <w:tcPr>
            <w:tcW w:w="48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134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2019</w:t>
            </w:r>
          </w:p>
        </w:tc>
        <w:tc>
          <w:tcPr>
            <w:tcW w:w="6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3"/>
                <w:szCs w:val="13"/>
                <w:color w:val="auto"/>
              </w:rPr>
              <w:t>2018</w:t>
            </w:r>
          </w:p>
        </w:tc>
      </w:tr>
      <w:tr>
        <w:trPr>
          <w:trHeight w:val="134"/>
        </w:trPr>
        <w:tc>
          <w:tcPr>
            <w:tcW w:w="480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Sales (decrease)/increase</w:t>
            </w:r>
          </w:p>
        </w:tc>
        <w:tc>
          <w:tcPr>
            <w:tcW w:w="1340" w:type="dxa"/>
            <w:vAlign w:val="bottom"/>
            <w:shd w:val="clear" w:color="auto" w:fill="CCEEFF"/>
          </w:tcPr>
          <w:p>
            <w:pPr>
              <w:jc w:val="right"/>
              <w:ind w:right="835"/>
              <w:spacing w:after="0" w:line="134" w:lineRule="exact"/>
              <w:rPr>
                <w:sz w:val="20"/>
                <w:szCs w:val="20"/>
                <w:color w:val="auto"/>
              </w:rPr>
            </w:pPr>
            <w:r>
              <w:rPr>
                <w:rFonts w:ascii="Arial" w:cs="Arial" w:eastAsia="Arial" w:hAnsi="Arial"/>
                <w:sz w:val="13"/>
                <w:szCs w:val="13"/>
                <w:b w:val="1"/>
                <w:bCs w:val="1"/>
                <w:color w:val="auto"/>
              </w:rPr>
              <w:t>(5.7)%</w:t>
            </w:r>
          </w:p>
        </w:tc>
        <w:tc>
          <w:tcPr>
            <w:tcW w:w="680" w:type="dxa"/>
            <w:vAlign w:val="bottom"/>
            <w:shd w:val="clear" w:color="auto" w:fill="CCEEFF"/>
          </w:tcPr>
          <w:p>
            <w:pPr>
              <w:jc w:val="right"/>
              <w:ind w:right="195"/>
              <w:spacing w:after="0" w:line="134" w:lineRule="exact"/>
              <w:rPr>
                <w:sz w:val="20"/>
                <w:szCs w:val="20"/>
                <w:color w:val="auto"/>
              </w:rPr>
            </w:pPr>
            <w:r>
              <w:rPr>
                <w:rFonts w:ascii="Arial" w:cs="Arial" w:eastAsia="Arial" w:hAnsi="Arial"/>
                <w:sz w:val="13"/>
                <w:szCs w:val="13"/>
                <w:color w:val="auto"/>
              </w:rPr>
              <w:t>0.8 %</w:t>
            </w:r>
          </w:p>
        </w:tc>
        <w:tc>
          <w:tcPr>
            <w:tcW w:w="110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2.0 %</w:t>
            </w:r>
          </w:p>
        </w:tc>
      </w:tr>
      <w:tr>
        <w:trPr>
          <w:trHeight w:val="144"/>
        </w:trPr>
        <w:tc>
          <w:tcPr>
            <w:tcW w:w="480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color w:val="auto"/>
              </w:rPr>
              <w:t>Comparable sales (decrease)/increase</w:t>
            </w:r>
          </w:p>
        </w:tc>
        <w:tc>
          <w:tcPr>
            <w:tcW w:w="1340" w:type="dxa"/>
            <w:vAlign w:val="bottom"/>
            <w:tcBorders>
              <w:bottom w:val="single" w:sz="8" w:color="auto"/>
            </w:tcBorders>
          </w:tcPr>
          <w:p>
            <w:pPr>
              <w:jc w:val="right"/>
              <w:ind w:right="835"/>
              <w:spacing w:after="0" w:line="144" w:lineRule="exact"/>
              <w:rPr>
                <w:sz w:val="20"/>
                <w:szCs w:val="20"/>
                <w:color w:val="auto"/>
              </w:rPr>
            </w:pPr>
            <w:r>
              <w:rPr>
                <w:rFonts w:ascii="Arial" w:cs="Arial" w:eastAsia="Arial" w:hAnsi="Arial"/>
                <w:sz w:val="13"/>
                <w:szCs w:val="13"/>
                <w:b w:val="1"/>
                <w:bCs w:val="1"/>
                <w:color w:val="auto"/>
              </w:rPr>
              <w:t>(5.9)%</w:t>
            </w:r>
          </w:p>
        </w:tc>
        <w:tc>
          <w:tcPr>
            <w:tcW w:w="680" w:type="dxa"/>
            <w:vAlign w:val="bottom"/>
            <w:tcBorders>
              <w:bottom w:val="single" w:sz="8" w:color="auto"/>
            </w:tcBorders>
          </w:tcPr>
          <w:p>
            <w:pPr>
              <w:jc w:val="right"/>
              <w:ind w:right="195"/>
              <w:spacing w:after="0" w:line="144" w:lineRule="exact"/>
              <w:rPr>
                <w:sz w:val="20"/>
                <w:szCs w:val="20"/>
                <w:color w:val="auto"/>
              </w:rPr>
            </w:pPr>
            <w:r>
              <w:rPr>
                <w:rFonts w:ascii="Arial" w:cs="Arial" w:eastAsia="Arial" w:hAnsi="Arial"/>
                <w:sz w:val="13"/>
                <w:szCs w:val="13"/>
                <w:color w:val="auto"/>
              </w:rPr>
              <w:t>2.2 %</w:t>
            </w:r>
          </w:p>
        </w:tc>
        <w:tc>
          <w:tcPr>
            <w:tcW w:w="11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2.7 %</w:t>
            </w:r>
          </w:p>
        </w:tc>
      </w:tr>
    </w:tbl>
    <w:p>
      <w:pPr>
        <w:spacing w:after="0" w:line="159" w:lineRule="exact"/>
        <w:rPr>
          <w:sz w:val="20"/>
          <w:szCs w:val="20"/>
          <w:color w:val="auto"/>
        </w:rPr>
      </w:pPr>
    </w:p>
    <w:p>
      <w:pPr>
        <w:ind w:left="520" w:right="39" w:hanging="256"/>
        <w:spacing w:after="0" w:line="222" w:lineRule="auto"/>
        <w:tabs>
          <w:tab w:leader="none" w:pos="520" w:val="left"/>
        </w:tabs>
        <w:numPr>
          <w:ilvl w:val="0"/>
          <w:numId w:val="11"/>
        </w:numPr>
        <w:rPr>
          <w:rFonts w:ascii="Arial" w:cs="Arial" w:eastAsia="Arial" w:hAnsi="Arial"/>
          <w:sz w:val="14"/>
          <w:szCs w:val="14"/>
          <w:color w:val="auto"/>
        </w:rPr>
      </w:pPr>
      <w:r>
        <w:rPr>
          <w:rFonts w:ascii="Arial" w:cs="Arial" w:eastAsia="Arial" w:hAnsi="Arial"/>
          <w:sz w:val="13"/>
          <w:szCs w:val="13"/>
          <w:color w:val="auto"/>
        </w:rPr>
        <w:t>Gross margin, as a percentage of sales, decreased to 28.9 percent as a result of increased promotions and the higher portion of direct-to-customer sales, which bear higher freight costs.</w:t>
      </w:r>
    </w:p>
    <w:p>
      <w:pPr>
        <w:ind w:left="520" w:right="59" w:hanging="256"/>
        <w:spacing w:after="0" w:line="222" w:lineRule="auto"/>
        <w:tabs>
          <w:tab w:leader="none" w:pos="520" w:val="left"/>
        </w:tabs>
        <w:numPr>
          <w:ilvl w:val="0"/>
          <w:numId w:val="11"/>
        </w:numPr>
        <w:rPr>
          <w:rFonts w:ascii="Arial" w:cs="Arial" w:eastAsia="Arial" w:hAnsi="Arial"/>
          <w:sz w:val="14"/>
          <w:szCs w:val="14"/>
          <w:color w:val="auto"/>
        </w:rPr>
      </w:pPr>
      <w:r>
        <w:rPr>
          <w:rFonts w:ascii="Arial" w:cs="Arial" w:eastAsia="Arial" w:hAnsi="Arial"/>
          <w:sz w:val="13"/>
          <w:szCs w:val="13"/>
          <w:color w:val="auto"/>
        </w:rPr>
        <w:t>SG&amp;A expenses were 21.0 percent of sales, an increase of 40 basis points as compared with the prior year. The increase reflected lower sales and an increase in personal protective equipment costs, partially offset by governmental retention credits.</w:t>
      </w:r>
    </w:p>
    <w:p>
      <w:pPr>
        <w:jc w:val="both"/>
        <w:ind w:left="520" w:right="39" w:hanging="256"/>
        <w:spacing w:after="0" w:line="231" w:lineRule="auto"/>
        <w:tabs>
          <w:tab w:leader="none" w:pos="520" w:val="left"/>
        </w:tabs>
        <w:numPr>
          <w:ilvl w:val="0"/>
          <w:numId w:val="11"/>
        </w:numPr>
        <w:rPr>
          <w:rFonts w:ascii="Arial" w:cs="Arial" w:eastAsia="Arial" w:hAnsi="Arial"/>
          <w:sz w:val="14"/>
          <w:szCs w:val="14"/>
          <w:color w:val="auto"/>
        </w:rPr>
      </w:pPr>
      <w:r>
        <w:rPr>
          <w:rFonts w:ascii="Arial" w:cs="Arial" w:eastAsia="Arial" w:hAnsi="Arial"/>
          <w:sz w:val="13"/>
          <w:szCs w:val="13"/>
          <w:color w:val="auto"/>
        </w:rPr>
        <w:t>Net income was $323 million, or $3.08 diluted earnings per share, which represented a decrease from the prior-year period. This decrease reflected lower sales and higher impairment charges, partially offset by an increase in other income. Adjusted net income was $296 million, or $2.81 diluted earnings per share, as compared with adjusted net income of $538 million, or $4.93 diluted earnings per share.</w:t>
      </w:r>
    </w:p>
    <w:p>
      <w:pPr>
        <w:spacing w:after="0" w:line="200" w:lineRule="exact"/>
        <w:rPr>
          <w:sz w:val="20"/>
          <w:szCs w:val="20"/>
          <w:color w:val="auto"/>
        </w:rPr>
      </w:pPr>
    </w:p>
    <w:p>
      <w:pPr>
        <w:spacing w:after="0" w:line="209" w:lineRule="exact"/>
        <w:rPr>
          <w:sz w:val="20"/>
          <w:szCs w:val="20"/>
          <w:color w:val="auto"/>
        </w:rPr>
      </w:pPr>
    </w:p>
    <w:p>
      <w:pPr>
        <w:jc w:val="right"/>
        <w:ind w:right="39"/>
        <w:spacing w:after="0"/>
        <w:rPr>
          <w:sz w:val="20"/>
          <w:szCs w:val="20"/>
          <w:color w:val="auto"/>
        </w:rPr>
      </w:pPr>
      <w:r>
        <w:rPr>
          <w:rFonts w:ascii="Arial" w:cs="Arial" w:eastAsia="Arial" w:hAnsi="Arial"/>
          <w:sz w:val="13"/>
          <w:szCs w:val="13"/>
          <w:color w:val="auto"/>
        </w:rPr>
        <w:t>2020 Form 10-K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357505</wp:posOffset>
            </wp:positionV>
            <wp:extent cx="5790565" cy="133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90565" cy="13335"/>
                    </a:xfrm>
                    <a:prstGeom prst="rect">
                      <a:avLst/>
                    </a:prstGeom>
                    <a:noFill/>
                  </pic:spPr>
                </pic:pic>
              </a:graphicData>
            </a:graphic>
          </wp:anchor>
        </w:drawing>
      </w:r>
    </w:p>
    <w:p>
      <w:pPr>
        <w:sectPr>
          <w:pgSz w:w="11900" w:h="16838" w:orient="portrait"/>
          <w:cols w:equalWidth="0" w:num="1">
            <w:col w:w="9159"/>
          </w:cols>
          <w:pgMar w:left="1300" w:top="662" w:right="1440" w:bottom="1440" w:gutter="0" w:footer="0" w:header="0"/>
        </w:sectPr>
      </w:pPr>
    </w:p>
    <w:bookmarkStart w:id="25" w:name="page26"/>
    <w:bookmarkEnd w:id="25"/>
    <w:p>
      <w:pPr>
        <w:spacing w:after="0"/>
        <w:rPr>
          <w:sz w:val="20"/>
          <w:szCs w:val="20"/>
          <w:color w:val="auto"/>
        </w:rPr>
      </w:pPr>
      <w:r>
        <w:rPr>
          <w:rFonts w:ascii="Arial" w:cs="Arial" w:eastAsia="Arial" w:hAnsi="Arial"/>
          <w:sz w:val="13"/>
          <w:szCs w:val="13"/>
          <w:color w:val="auto"/>
        </w:rPr>
        <w:t>Highlights of our financial position for the year ended January 30, 2021 include:</w:t>
      </w:r>
    </w:p>
    <w:p>
      <w:pPr>
        <w:spacing w:after="0" w:line="117" w:lineRule="exact"/>
        <w:rPr>
          <w:sz w:val="20"/>
          <w:szCs w:val="20"/>
          <w:color w:val="auto"/>
        </w:rPr>
      </w:pPr>
    </w:p>
    <w:p>
      <w:pPr>
        <w:jc w:val="both"/>
        <w:ind w:left="520" w:right="39" w:hanging="256"/>
        <w:spacing w:after="0" w:line="227" w:lineRule="auto"/>
        <w:tabs>
          <w:tab w:leader="none" w:pos="520" w:val="left"/>
        </w:tabs>
        <w:numPr>
          <w:ilvl w:val="0"/>
          <w:numId w:val="12"/>
        </w:numPr>
        <w:rPr>
          <w:rFonts w:ascii="Arial" w:cs="Arial" w:eastAsia="Arial" w:hAnsi="Arial"/>
          <w:sz w:val="14"/>
          <w:szCs w:val="14"/>
          <w:color w:val="auto"/>
        </w:rPr>
      </w:pPr>
      <w:r>
        <w:rPr>
          <w:rFonts w:ascii="Arial" w:cs="Arial" w:eastAsia="Arial" w:hAnsi="Arial"/>
          <w:sz w:val="13"/>
          <w:szCs w:val="13"/>
          <w:color w:val="auto"/>
        </w:rPr>
        <w:t>Due to the pandemic, we took various actions to enhance our liquidity, which included borrowing under our revolving credit facility and expense reductions across the organization, including lease concessions negotiated with landlords that reduced or deferred our lease-related payments, scaled-back merchandise inventory orders, extended payment terms with merchandise vendors, temporary workforce reductions, reduced capital spending, reduced salaries and deferred incentive compensation for the CEO and senior executives, and the suspension of our dividend payment in the second quarter, among other measures.</w:t>
      </w:r>
    </w:p>
    <w:p>
      <w:pPr>
        <w:jc w:val="both"/>
        <w:ind w:left="520" w:right="39" w:hanging="256"/>
        <w:spacing w:after="0" w:line="230" w:lineRule="auto"/>
        <w:tabs>
          <w:tab w:leader="none" w:pos="520" w:val="left"/>
        </w:tabs>
        <w:numPr>
          <w:ilvl w:val="0"/>
          <w:numId w:val="12"/>
        </w:numPr>
        <w:rPr>
          <w:rFonts w:ascii="Arial" w:cs="Arial" w:eastAsia="Arial" w:hAnsi="Arial"/>
          <w:sz w:val="14"/>
          <w:szCs w:val="14"/>
          <w:color w:val="auto"/>
        </w:rPr>
      </w:pPr>
      <w:r>
        <w:rPr>
          <w:rFonts w:ascii="Arial" w:cs="Arial" w:eastAsia="Arial" w:hAnsi="Arial"/>
          <w:sz w:val="13"/>
          <w:szCs w:val="13"/>
          <w:color w:val="auto"/>
        </w:rPr>
        <w:t>We ended the year in a strong financial position. At year end, we had $1,580 million of cash and cash equivalents, net of debt. Cash and cash equivalents at January 30, 2021 were $1,680 million. Our ending cash balance was elevated, in part, due to the higher-than-normal accounts payable and accrued expenses due to timing of merchandise receipts.</w:t>
      </w:r>
    </w:p>
    <w:p>
      <w:pPr>
        <w:ind w:left="520" w:hanging="256"/>
        <w:spacing w:after="0" w:line="229" w:lineRule="auto"/>
        <w:tabs>
          <w:tab w:leader="none" w:pos="520" w:val="left"/>
        </w:tabs>
        <w:numPr>
          <w:ilvl w:val="0"/>
          <w:numId w:val="12"/>
        </w:numPr>
        <w:rPr>
          <w:rFonts w:ascii="Arial" w:cs="Arial" w:eastAsia="Arial" w:hAnsi="Arial"/>
          <w:sz w:val="14"/>
          <w:szCs w:val="14"/>
          <w:color w:val="auto"/>
        </w:rPr>
      </w:pPr>
      <w:r>
        <w:rPr>
          <w:rFonts w:ascii="Arial" w:cs="Arial" w:eastAsia="Arial" w:hAnsi="Arial"/>
          <w:sz w:val="13"/>
          <w:szCs w:val="13"/>
          <w:color w:val="auto"/>
        </w:rPr>
        <w:t>Net cash provided by operating activities was $1,062 million as compared with $696 million last year.</w:t>
      </w:r>
    </w:p>
    <w:p>
      <w:pPr>
        <w:ind w:left="520" w:right="39" w:hanging="256"/>
        <w:spacing w:after="0" w:line="222" w:lineRule="auto"/>
        <w:tabs>
          <w:tab w:leader="none" w:pos="520" w:val="left"/>
        </w:tabs>
        <w:numPr>
          <w:ilvl w:val="0"/>
          <w:numId w:val="12"/>
        </w:numPr>
        <w:rPr>
          <w:rFonts w:ascii="Arial" w:cs="Arial" w:eastAsia="Arial" w:hAnsi="Arial"/>
          <w:sz w:val="14"/>
          <w:szCs w:val="14"/>
          <w:color w:val="auto"/>
        </w:rPr>
      </w:pPr>
      <w:r>
        <w:rPr>
          <w:rFonts w:ascii="Arial" w:cs="Arial" w:eastAsia="Arial" w:hAnsi="Arial"/>
          <w:sz w:val="13"/>
          <w:szCs w:val="13"/>
          <w:color w:val="auto"/>
        </w:rPr>
        <w:t>During the year we amended our revolving credit facility, increasing it to a $600 million asset-based revolving credit facility maturing on July 14, 2025. No amounts were outstanding at January 30, 2021.</w:t>
      </w:r>
    </w:p>
    <w:p>
      <w:pPr>
        <w:ind w:left="520" w:right="39" w:hanging="256"/>
        <w:spacing w:after="0" w:line="222" w:lineRule="auto"/>
        <w:tabs>
          <w:tab w:leader="none" w:pos="520" w:val="left"/>
        </w:tabs>
        <w:numPr>
          <w:ilvl w:val="0"/>
          <w:numId w:val="12"/>
        </w:numPr>
        <w:rPr>
          <w:rFonts w:ascii="Arial" w:cs="Arial" w:eastAsia="Arial" w:hAnsi="Arial"/>
          <w:sz w:val="14"/>
          <w:szCs w:val="14"/>
          <w:color w:val="auto"/>
        </w:rPr>
      </w:pPr>
      <w:r>
        <w:rPr>
          <w:rFonts w:ascii="Arial" w:cs="Arial" w:eastAsia="Arial" w:hAnsi="Arial"/>
          <w:sz w:val="13"/>
          <w:szCs w:val="13"/>
          <w:color w:val="auto"/>
        </w:rPr>
        <w:t>Cash capital expenditures during 2020 totaled $159 million and were primarily directed to the remodeling or relocation of 80 stores, the build-out of 70 new stores, as well as other technology and infrastructure projects.</w:t>
      </w:r>
    </w:p>
    <w:p>
      <w:pPr>
        <w:jc w:val="both"/>
        <w:ind w:left="520" w:right="39" w:hanging="256"/>
        <w:spacing w:after="0" w:line="231" w:lineRule="auto"/>
        <w:tabs>
          <w:tab w:leader="none" w:pos="520" w:val="left"/>
        </w:tabs>
        <w:numPr>
          <w:ilvl w:val="0"/>
          <w:numId w:val="12"/>
        </w:numPr>
        <w:rPr>
          <w:rFonts w:ascii="Arial" w:cs="Arial" w:eastAsia="Arial" w:hAnsi="Arial"/>
          <w:sz w:val="14"/>
          <w:szCs w:val="14"/>
          <w:color w:val="auto"/>
        </w:rPr>
      </w:pPr>
      <w:r>
        <w:rPr>
          <w:rFonts w:ascii="Arial" w:cs="Arial" w:eastAsia="Arial" w:hAnsi="Arial"/>
          <w:sz w:val="13"/>
          <w:szCs w:val="13"/>
          <w:color w:val="auto"/>
        </w:rPr>
        <w:t>During 2020, we returned $110 million of cash to our shareholders. Dividends totaling $73 million were declared and paid during 2020, and 968,547 shares were repurchased under our share repurchase program at a cost of $37 million. In February 2021, our Board of Directors approved a dividend of $0.20 per share payable on April 30, 2021. These initiatives demonstrate our commitment to delivering meaningful returns to our shareholders.</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Sales</w:t>
      </w:r>
    </w:p>
    <w:p>
      <w:pPr>
        <w:spacing w:after="0" w:line="141" w:lineRule="exact"/>
        <w:rPr>
          <w:sz w:val="20"/>
          <w:szCs w:val="20"/>
          <w:color w:val="auto"/>
        </w:rPr>
      </w:pPr>
    </w:p>
    <w:p>
      <w:pPr>
        <w:jc w:val="both"/>
        <w:ind w:right="39"/>
        <w:spacing w:after="0" w:line="235" w:lineRule="auto"/>
        <w:rPr>
          <w:sz w:val="20"/>
          <w:szCs w:val="20"/>
          <w:color w:val="auto"/>
        </w:rPr>
      </w:pPr>
      <w:r>
        <w:rPr>
          <w:rFonts w:ascii="Arial" w:cs="Arial" w:eastAsia="Arial" w:hAnsi="Arial"/>
          <w:sz w:val="13"/>
          <w:szCs w:val="13"/>
          <w:color w:val="auto"/>
        </w:rPr>
        <w:t>All references to comparable-store sales for a given period relate to sales of stores that were open at the period-end and had been open for more than one year. The computation of consolidated comparable sales also includes direct-to-customers sales. Stores opened or closed during the period are not included in the comparable-store base; however, stores closed temporarily for relocation or remodeling are included. Stores that were temporarily closed due to the COVID-19 pandemic are also included in the computation of comparable-store sales. Computations exclude the effect of foreign currency fluctuations.</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color w:val="auto"/>
        </w:rPr>
        <w:t>The information shown below represents certain sales metrics by sales channel:</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3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 in millions)</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6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color w:val="auto"/>
              </w:rPr>
              <w:t>2019</w:t>
            </w:r>
          </w:p>
        </w:tc>
        <w:tc>
          <w:tcPr>
            <w:tcW w:w="6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715"/>
              <w:spacing w:after="0"/>
              <w:rPr>
                <w:sz w:val="20"/>
                <w:szCs w:val="20"/>
                <w:color w:val="auto"/>
              </w:rPr>
            </w:pPr>
            <w:r>
              <w:rPr>
                <w:rFonts w:ascii="Arial" w:cs="Arial" w:eastAsia="Arial" w:hAnsi="Arial"/>
                <w:sz w:val="13"/>
                <w:szCs w:val="13"/>
                <w:color w:val="auto"/>
              </w:rPr>
              <w:t>2018</w:t>
            </w:r>
          </w:p>
        </w:tc>
      </w:tr>
      <w:tr>
        <w:trPr>
          <w:trHeight w:val="134"/>
        </w:trPr>
        <w:tc>
          <w:tcPr>
            <w:tcW w:w="3320" w:type="dxa"/>
            <w:vAlign w:val="bottom"/>
          </w:tcPr>
          <w:p>
            <w:pPr>
              <w:spacing w:after="0" w:line="134" w:lineRule="exact"/>
              <w:rPr>
                <w:sz w:val="20"/>
                <w:szCs w:val="20"/>
                <w:color w:val="auto"/>
              </w:rPr>
            </w:pPr>
            <w:r>
              <w:rPr>
                <w:rFonts w:ascii="Arial" w:cs="Arial" w:eastAsia="Arial" w:hAnsi="Arial"/>
                <w:sz w:val="13"/>
                <w:szCs w:val="13"/>
                <w:b w:val="1"/>
                <w:bCs w:val="1"/>
                <w:color w:val="auto"/>
              </w:rPr>
              <w:t>Stores</w:t>
            </w:r>
          </w:p>
        </w:tc>
        <w:tc>
          <w:tcPr>
            <w:tcW w:w="19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144"/>
        </w:trPr>
        <w:tc>
          <w:tcPr>
            <w:tcW w:w="33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Sales</w:t>
            </w:r>
          </w:p>
        </w:tc>
        <w:tc>
          <w:tcPr>
            <w:tcW w:w="1980" w:type="dxa"/>
            <w:vAlign w:val="bottom"/>
            <w:shd w:val="clear" w:color="auto" w:fill="CCEEFF"/>
          </w:tcPr>
          <w:p>
            <w:pPr>
              <w:jc w:val="right"/>
              <w:ind w:right="735"/>
              <w:spacing w:after="0" w:line="144" w:lineRule="exact"/>
              <w:rPr>
                <w:sz w:val="20"/>
                <w:szCs w:val="20"/>
                <w:color w:val="auto"/>
              </w:rPr>
            </w:pPr>
            <w:r>
              <w:rPr>
                <w:rFonts w:ascii="Arial" w:cs="Arial" w:eastAsia="Arial" w:hAnsi="Arial"/>
                <w:sz w:val="13"/>
                <w:szCs w:val="13"/>
                <w:b w:val="1"/>
                <w:bCs w:val="1"/>
                <w:color w:val="auto"/>
              </w:rPr>
              <w:t>$</w:t>
            </w:r>
          </w:p>
        </w:tc>
        <w:tc>
          <w:tcPr>
            <w:tcW w:w="620" w:type="dxa"/>
            <w:vAlign w:val="bottom"/>
            <w:shd w:val="clear" w:color="auto" w:fill="CCEEFF"/>
          </w:tcPr>
          <w:p>
            <w:pPr>
              <w:jc w:val="right"/>
              <w:ind w:right="135"/>
              <w:spacing w:after="0" w:line="144" w:lineRule="exact"/>
              <w:rPr>
                <w:sz w:val="20"/>
                <w:szCs w:val="20"/>
                <w:color w:val="auto"/>
              </w:rPr>
            </w:pPr>
            <w:r>
              <w:rPr>
                <w:rFonts w:ascii="Arial" w:cs="Arial" w:eastAsia="Arial" w:hAnsi="Arial"/>
                <w:sz w:val="13"/>
                <w:szCs w:val="13"/>
                <w:b w:val="1"/>
                <w:bCs w:val="1"/>
                <w:color w:val="auto"/>
              </w:rPr>
              <w:t>5,447</w:t>
            </w:r>
          </w:p>
        </w:tc>
        <w:tc>
          <w:tcPr>
            <w:tcW w:w="940" w:type="dxa"/>
            <w:vAlign w:val="bottom"/>
            <w:shd w:val="clear" w:color="auto" w:fill="CCEEFF"/>
          </w:tcPr>
          <w:p>
            <w:pPr>
              <w:jc w:val="right"/>
              <w:ind w:right="735"/>
              <w:spacing w:after="0" w:line="144"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35"/>
              <w:spacing w:after="0" w:line="144" w:lineRule="exact"/>
              <w:rPr>
                <w:sz w:val="20"/>
                <w:szCs w:val="20"/>
                <w:color w:val="auto"/>
              </w:rPr>
            </w:pPr>
            <w:r>
              <w:rPr>
                <w:rFonts w:ascii="Arial" w:cs="Arial" w:eastAsia="Arial" w:hAnsi="Arial"/>
                <w:sz w:val="13"/>
                <w:szCs w:val="13"/>
                <w:color w:val="auto"/>
              </w:rPr>
              <w:t>6,720</w:t>
            </w:r>
          </w:p>
        </w:tc>
        <w:tc>
          <w:tcPr>
            <w:tcW w:w="340" w:type="dxa"/>
            <w:vAlign w:val="bottom"/>
            <w:shd w:val="clear" w:color="auto" w:fill="CCEEFF"/>
          </w:tcPr>
          <w:p>
            <w:pPr>
              <w:jc w:val="right"/>
              <w:ind w:right="155"/>
              <w:spacing w:after="0" w:line="144" w:lineRule="exact"/>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215"/>
              <w:spacing w:after="0" w:line="144" w:lineRule="exact"/>
              <w:rPr>
                <w:sz w:val="20"/>
                <w:szCs w:val="20"/>
                <w:color w:val="auto"/>
              </w:rPr>
            </w:pPr>
            <w:r>
              <w:rPr>
                <w:rFonts w:ascii="Arial" w:cs="Arial" w:eastAsia="Arial" w:hAnsi="Arial"/>
                <w:sz w:val="13"/>
                <w:szCs w:val="13"/>
                <w:color w:val="auto"/>
              </w:rPr>
              <w:t>6,714</w:t>
            </w:r>
          </w:p>
        </w:tc>
      </w:tr>
      <w:tr>
        <w:trPr>
          <w:trHeight w:val="144"/>
        </w:trPr>
        <w:tc>
          <w:tcPr>
            <w:tcW w:w="3320" w:type="dxa"/>
            <w:vAlign w:val="bottom"/>
          </w:tcPr>
          <w:p>
            <w:pPr>
              <w:spacing w:after="0" w:line="144" w:lineRule="exact"/>
              <w:rPr>
                <w:sz w:val="20"/>
                <w:szCs w:val="20"/>
                <w:color w:val="auto"/>
              </w:rPr>
            </w:pPr>
            <w:r>
              <w:rPr>
                <w:rFonts w:ascii="Arial" w:cs="Arial" w:eastAsia="Arial" w:hAnsi="Arial"/>
                <w:sz w:val="13"/>
                <w:szCs w:val="13"/>
                <w:color w:val="auto"/>
              </w:rPr>
              <w:t>$ Change</w:t>
            </w:r>
          </w:p>
        </w:tc>
        <w:tc>
          <w:tcPr>
            <w:tcW w:w="1980" w:type="dxa"/>
            <w:vAlign w:val="bottom"/>
          </w:tcPr>
          <w:p>
            <w:pPr>
              <w:jc w:val="right"/>
              <w:ind w:right="735"/>
              <w:spacing w:after="0" w:line="144" w:lineRule="exact"/>
              <w:rPr>
                <w:sz w:val="20"/>
                <w:szCs w:val="20"/>
                <w:color w:val="auto"/>
              </w:rPr>
            </w:pPr>
            <w:r>
              <w:rPr>
                <w:rFonts w:ascii="Arial" w:cs="Arial" w:eastAsia="Arial" w:hAnsi="Arial"/>
                <w:sz w:val="13"/>
                <w:szCs w:val="13"/>
                <w:b w:val="1"/>
                <w:bCs w:val="1"/>
                <w:color w:val="auto"/>
              </w:rPr>
              <w:t>$</w:t>
            </w:r>
          </w:p>
        </w:tc>
        <w:tc>
          <w:tcPr>
            <w:tcW w:w="620" w:type="dxa"/>
            <w:vAlign w:val="bottom"/>
          </w:tcPr>
          <w:p>
            <w:pPr>
              <w:jc w:val="right"/>
              <w:ind w:right="95"/>
              <w:spacing w:after="0" w:line="144" w:lineRule="exact"/>
              <w:rPr>
                <w:sz w:val="20"/>
                <w:szCs w:val="20"/>
                <w:color w:val="auto"/>
              </w:rPr>
            </w:pPr>
            <w:r>
              <w:rPr>
                <w:rFonts w:ascii="Arial" w:cs="Arial" w:eastAsia="Arial" w:hAnsi="Arial"/>
                <w:sz w:val="13"/>
                <w:szCs w:val="13"/>
                <w:b w:val="1"/>
                <w:bCs w:val="1"/>
                <w:color w:val="auto"/>
              </w:rPr>
              <w:t>(1,273)</w:t>
            </w:r>
          </w:p>
        </w:tc>
        <w:tc>
          <w:tcPr>
            <w:tcW w:w="940" w:type="dxa"/>
            <w:vAlign w:val="bottom"/>
          </w:tcPr>
          <w:p>
            <w:pPr>
              <w:jc w:val="right"/>
              <w:ind w:right="735"/>
              <w:spacing w:after="0" w:line="144" w:lineRule="exact"/>
              <w:rPr>
                <w:sz w:val="20"/>
                <w:szCs w:val="20"/>
                <w:color w:val="auto"/>
              </w:rPr>
            </w:pPr>
            <w:r>
              <w:rPr>
                <w:rFonts w:ascii="Arial" w:cs="Arial" w:eastAsia="Arial" w:hAnsi="Arial"/>
                <w:sz w:val="13"/>
                <w:szCs w:val="13"/>
                <w:color w:val="auto"/>
              </w:rPr>
              <w:t>$</w:t>
            </w:r>
          </w:p>
        </w:tc>
        <w:tc>
          <w:tcPr>
            <w:tcW w:w="620" w:type="dxa"/>
            <w:vAlign w:val="bottom"/>
          </w:tcPr>
          <w:p>
            <w:pPr>
              <w:jc w:val="right"/>
              <w:ind w:right="135"/>
              <w:spacing w:after="0" w:line="144" w:lineRule="exact"/>
              <w:rPr>
                <w:sz w:val="20"/>
                <w:szCs w:val="20"/>
                <w:color w:val="auto"/>
              </w:rPr>
            </w:pPr>
            <w:r>
              <w:rPr>
                <w:rFonts w:ascii="Arial" w:cs="Arial" w:eastAsia="Arial" w:hAnsi="Arial"/>
                <w:sz w:val="13"/>
                <w:szCs w:val="13"/>
                <w:color w:val="auto"/>
              </w:rPr>
              <w:t>6</w:t>
            </w:r>
          </w:p>
        </w:tc>
        <w:tc>
          <w:tcPr>
            <w:tcW w:w="340" w:type="dxa"/>
            <w:vAlign w:val="bottom"/>
          </w:tcPr>
          <w:p>
            <w:pPr>
              <w:jc w:val="right"/>
              <w:ind w:right="155"/>
              <w:spacing w:after="0" w:line="144" w:lineRule="exact"/>
              <w:rPr>
                <w:sz w:val="20"/>
                <w:szCs w:val="20"/>
                <w:color w:val="auto"/>
              </w:rPr>
            </w:pPr>
            <w:r>
              <w:rPr>
                <w:rFonts w:ascii="Arial" w:cs="Arial" w:eastAsia="Arial" w:hAnsi="Arial"/>
                <w:sz w:val="13"/>
                <w:szCs w:val="13"/>
                <w:color w:val="auto"/>
              </w:rPr>
              <w:t>$</w:t>
            </w:r>
          </w:p>
        </w:tc>
        <w:tc>
          <w:tcPr>
            <w:tcW w:w="1300" w:type="dxa"/>
            <w:vAlign w:val="bottom"/>
          </w:tcPr>
          <w:p>
            <w:pPr>
              <w:jc w:val="right"/>
              <w:ind w:right="215"/>
              <w:spacing w:after="0" w:line="144" w:lineRule="exact"/>
              <w:rPr>
                <w:sz w:val="20"/>
                <w:szCs w:val="20"/>
                <w:color w:val="auto"/>
              </w:rPr>
            </w:pPr>
            <w:r>
              <w:rPr>
                <w:rFonts w:ascii="Arial" w:cs="Arial" w:eastAsia="Arial" w:hAnsi="Arial"/>
                <w:sz w:val="13"/>
                <w:szCs w:val="13"/>
                <w:color w:val="auto"/>
              </w:rPr>
              <w:t>41</w:t>
            </w:r>
          </w:p>
        </w:tc>
      </w:tr>
      <w:tr>
        <w:trPr>
          <w:trHeight w:val="144"/>
        </w:trPr>
        <w:tc>
          <w:tcPr>
            <w:tcW w:w="33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 Change</w:t>
            </w:r>
          </w:p>
        </w:tc>
        <w:tc>
          <w:tcPr>
            <w:tcW w:w="19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(18.9)%</w:t>
            </w:r>
          </w:p>
        </w:tc>
        <w:tc>
          <w:tcPr>
            <w:tcW w:w="9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0.1 %</w:t>
            </w:r>
          </w:p>
        </w:tc>
        <w:tc>
          <w:tcPr>
            <w:tcW w:w="34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0.6 %</w:t>
            </w:r>
          </w:p>
        </w:tc>
      </w:tr>
      <w:tr>
        <w:trPr>
          <w:trHeight w:val="144"/>
        </w:trPr>
        <w:tc>
          <w:tcPr>
            <w:tcW w:w="3320" w:type="dxa"/>
            <w:vAlign w:val="bottom"/>
          </w:tcPr>
          <w:p>
            <w:pPr>
              <w:spacing w:after="0" w:line="144" w:lineRule="exact"/>
              <w:rPr>
                <w:sz w:val="20"/>
                <w:szCs w:val="20"/>
                <w:color w:val="auto"/>
              </w:rPr>
            </w:pPr>
            <w:r>
              <w:rPr>
                <w:rFonts w:ascii="Arial" w:cs="Arial" w:eastAsia="Arial" w:hAnsi="Arial"/>
                <w:sz w:val="13"/>
                <w:szCs w:val="13"/>
                <w:color w:val="auto"/>
              </w:rPr>
              <w:t>% of total sales</w:t>
            </w:r>
          </w:p>
        </w:tc>
        <w:tc>
          <w:tcPr>
            <w:tcW w:w="1980" w:type="dxa"/>
            <w:vAlign w:val="bottom"/>
          </w:tcPr>
          <w:p>
            <w:pPr>
              <w:spacing w:after="0"/>
              <w:rPr>
                <w:sz w:val="12"/>
                <w:szCs w:val="12"/>
                <w:color w:val="auto"/>
              </w:rPr>
            </w:pPr>
          </w:p>
        </w:tc>
        <w:tc>
          <w:tcPr>
            <w:tcW w:w="62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72.2 %</w:t>
            </w:r>
          </w:p>
        </w:tc>
        <w:tc>
          <w:tcPr>
            <w:tcW w:w="940" w:type="dxa"/>
            <w:vAlign w:val="bottom"/>
          </w:tcPr>
          <w:p>
            <w:pPr>
              <w:spacing w:after="0"/>
              <w:rPr>
                <w:sz w:val="12"/>
                <w:szCs w:val="12"/>
                <w:color w:val="auto"/>
              </w:rPr>
            </w:pPr>
          </w:p>
        </w:tc>
        <w:tc>
          <w:tcPr>
            <w:tcW w:w="620" w:type="dxa"/>
            <w:vAlign w:val="bottom"/>
          </w:tcPr>
          <w:p>
            <w:pPr>
              <w:jc w:val="right"/>
              <w:spacing w:after="0" w:line="144" w:lineRule="exact"/>
              <w:rPr>
                <w:sz w:val="20"/>
                <w:szCs w:val="20"/>
                <w:color w:val="auto"/>
              </w:rPr>
            </w:pPr>
            <w:r>
              <w:rPr>
                <w:rFonts w:ascii="Arial" w:cs="Arial" w:eastAsia="Arial" w:hAnsi="Arial"/>
                <w:sz w:val="13"/>
                <w:szCs w:val="13"/>
                <w:color w:val="auto"/>
              </w:rPr>
              <w:t>83.9 %</w:t>
            </w:r>
          </w:p>
        </w:tc>
        <w:tc>
          <w:tcPr>
            <w:tcW w:w="340" w:type="dxa"/>
            <w:vAlign w:val="bottom"/>
          </w:tcPr>
          <w:p>
            <w:pPr>
              <w:spacing w:after="0"/>
              <w:rPr>
                <w:sz w:val="12"/>
                <w:szCs w:val="12"/>
                <w:color w:val="auto"/>
              </w:rPr>
            </w:pPr>
          </w:p>
        </w:tc>
        <w:tc>
          <w:tcPr>
            <w:tcW w:w="1300" w:type="dxa"/>
            <w:vAlign w:val="bottom"/>
          </w:tcPr>
          <w:p>
            <w:pPr>
              <w:jc w:val="right"/>
              <w:ind w:right="55"/>
              <w:spacing w:after="0" w:line="144" w:lineRule="exact"/>
              <w:rPr>
                <w:sz w:val="20"/>
                <w:szCs w:val="20"/>
                <w:color w:val="auto"/>
              </w:rPr>
            </w:pPr>
            <w:r>
              <w:rPr>
                <w:rFonts w:ascii="Arial" w:cs="Arial" w:eastAsia="Arial" w:hAnsi="Arial"/>
                <w:sz w:val="13"/>
                <w:szCs w:val="13"/>
                <w:color w:val="auto"/>
              </w:rPr>
              <w:t>84.6 %</w:t>
            </w:r>
          </w:p>
        </w:tc>
      </w:tr>
      <w:tr>
        <w:trPr>
          <w:trHeight w:val="144"/>
        </w:trPr>
        <w:tc>
          <w:tcPr>
            <w:tcW w:w="33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Comparable sales (decrease)/increase</w:t>
            </w:r>
          </w:p>
        </w:tc>
        <w:tc>
          <w:tcPr>
            <w:tcW w:w="19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(19.3)%</w:t>
            </w:r>
          </w:p>
        </w:tc>
        <w:tc>
          <w:tcPr>
            <w:tcW w:w="9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1.6 %</w:t>
            </w:r>
          </w:p>
        </w:tc>
        <w:tc>
          <w:tcPr>
            <w:tcW w:w="34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1.1 %</w:t>
            </w:r>
          </w:p>
        </w:tc>
      </w:tr>
      <w:tr>
        <w:trPr>
          <w:trHeight w:val="164"/>
        </w:trPr>
        <w:tc>
          <w:tcPr>
            <w:tcW w:w="33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44"/>
        </w:trPr>
        <w:tc>
          <w:tcPr>
            <w:tcW w:w="3320" w:type="dxa"/>
            <w:vAlign w:val="bottom"/>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Direct-to-customers</w:t>
            </w:r>
          </w:p>
        </w:tc>
        <w:tc>
          <w:tcPr>
            <w:tcW w:w="19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r>
      <w:tr>
        <w:trPr>
          <w:trHeight w:val="144"/>
        </w:trPr>
        <w:tc>
          <w:tcPr>
            <w:tcW w:w="3320" w:type="dxa"/>
            <w:vAlign w:val="bottom"/>
          </w:tcPr>
          <w:p>
            <w:pPr>
              <w:spacing w:after="0" w:line="144" w:lineRule="exact"/>
              <w:rPr>
                <w:sz w:val="20"/>
                <w:szCs w:val="20"/>
                <w:color w:val="auto"/>
              </w:rPr>
            </w:pPr>
            <w:r>
              <w:rPr>
                <w:rFonts w:ascii="Arial" w:cs="Arial" w:eastAsia="Arial" w:hAnsi="Arial"/>
                <w:sz w:val="13"/>
                <w:szCs w:val="13"/>
                <w:color w:val="auto"/>
              </w:rPr>
              <w:t>Sales</w:t>
            </w:r>
          </w:p>
        </w:tc>
        <w:tc>
          <w:tcPr>
            <w:tcW w:w="1980" w:type="dxa"/>
            <w:vAlign w:val="bottom"/>
          </w:tcPr>
          <w:p>
            <w:pPr>
              <w:jc w:val="right"/>
              <w:ind w:right="735"/>
              <w:spacing w:after="0" w:line="144" w:lineRule="exact"/>
              <w:rPr>
                <w:sz w:val="20"/>
                <w:szCs w:val="20"/>
                <w:color w:val="auto"/>
              </w:rPr>
            </w:pPr>
            <w:r>
              <w:rPr>
                <w:rFonts w:ascii="Arial" w:cs="Arial" w:eastAsia="Arial" w:hAnsi="Arial"/>
                <w:sz w:val="13"/>
                <w:szCs w:val="13"/>
                <w:b w:val="1"/>
                <w:bCs w:val="1"/>
                <w:color w:val="auto"/>
              </w:rPr>
              <w:t>$</w:t>
            </w:r>
          </w:p>
        </w:tc>
        <w:tc>
          <w:tcPr>
            <w:tcW w:w="620" w:type="dxa"/>
            <w:vAlign w:val="bottom"/>
          </w:tcPr>
          <w:p>
            <w:pPr>
              <w:jc w:val="right"/>
              <w:ind w:right="135"/>
              <w:spacing w:after="0" w:line="144" w:lineRule="exact"/>
              <w:rPr>
                <w:sz w:val="20"/>
                <w:szCs w:val="20"/>
                <w:color w:val="auto"/>
              </w:rPr>
            </w:pPr>
            <w:r>
              <w:rPr>
                <w:rFonts w:ascii="Arial" w:cs="Arial" w:eastAsia="Arial" w:hAnsi="Arial"/>
                <w:sz w:val="13"/>
                <w:szCs w:val="13"/>
                <w:b w:val="1"/>
                <w:bCs w:val="1"/>
                <w:color w:val="auto"/>
              </w:rPr>
              <w:t>2,101</w:t>
            </w:r>
          </w:p>
        </w:tc>
        <w:tc>
          <w:tcPr>
            <w:tcW w:w="940" w:type="dxa"/>
            <w:vAlign w:val="bottom"/>
          </w:tcPr>
          <w:p>
            <w:pPr>
              <w:jc w:val="right"/>
              <w:ind w:right="735"/>
              <w:spacing w:after="0" w:line="144" w:lineRule="exact"/>
              <w:rPr>
                <w:sz w:val="20"/>
                <w:szCs w:val="20"/>
                <w:color w:val="auto"/>
              </w:rPr>
            </w:pPr>
            <w:r>
              <w:rPr>
                <w:rFonts w:ascii="Arial" w:cs="Arial" w:eastAsia="Arial" w:hAnsi="Arial"/>
                <w:sz w:val="13"/>
                <w:szCs w:val="13"/>
                <w:color w:val="auto"/>
              </w:rPr>
              <w:t>$</w:t>
            </w:r>
          </w:p>
        </w:tc>
        <w:tc>
          <w:tcPr>
            <w:tcW w:w="620" w:type="dxa"/>
            <w:vAlign w:val="bottom"/>
          </w:tcPr>
          <w:p>
            <w:pPr>
              <w:jc w:val="right"/>
              <w:ind w:right="135"/>
              <w:spacing w:after="0" w:line="144" w:lineRule="exact"/>
              <w:rPr>
                <w:sz w:val="20"/>
                <w:szCs w:val="20"/>
                <w:color w:val="auto"/>
              </w:rPr>
            </w:pPr>
            <w:r>
              <w:rPr>
                <w:rFonts w:ascii="Arial" w:cs="Arial" w:eastAsia="Arial" w:hAnsi="Arial"/>
                <w:sz w:val="13"/>
                <w:szCs w:val="13"/>
                <w:color w:val="auto"/>
              </w:rPr>
              <w:t>1,285</w:t>
            </w:r>
          </w:p>
        </w:tc>
        <w:tc>
          <w:tcPr>
            <w:tcW w:w="340" w:type="dxa"/>
            <w:vAlign w:val="bottom"/>
          </w:tcPr>
          <w:p>
            <w:pPr>
              <w:jc w:val="right"/>
              <w:ind w:right="155"/>
              <w:spacing w:after="0" w:line="144" w:lineRule="exact"/>
              <w:rPr>
                <w:sz w:val="20"/>
                <w:szCs w:val="20"/>
                <w:color w:val="auto"/>
              </w:rPr>
            </w:pPr>
            <w:r>
              <w:rPr>
                <w:rFonts w:ascii="Arial" w:cs="Arial" w:eastAsia="Arial" w:hAnsi="Arial"/>
                <w:sz w:val="13"/>
                <w:szCs w:val="13"/>
                <w:color w:val="auto"/>
              </w:rPr>
              <w:t>$</w:t>
            </w:r>
          </w:p>
        </w:tc>
        <w:tc>
          <w:tcPr>
            <w:tcW w:w="1300" w:type="dxa"/>
            <w:vAlign w:val="bottom"/>
          </w:tcPr>
          <w:p>
            <w:pPr>
              <w:jc w:val="right"/>
              <w:ind w:right="215"/>
              <w:spacing w:after="0" w:line="144" w:lineRule="exact"/>
              <w:rPr>
                <w:sz w:val="20"/>
                <w:szCs w:val="20"/>
                <w:color w:val="auto"/>
              </w:rPr>
            </w:pPr>
            <w:r>
              <w:rPr>
                <w:rFonts w:ascii="Arial" w:cs="Arial" w:eastAsia="Arial" w:hAnsi="Arial"/>
                <w:sz w:val="13"/>
                <w:szCs w:val="13"/>
                <w:color w:val="auto"/>
              </w:rPr>
              <w:t>1,225</w:t>
            </w:r>
          </w:p>
        </w:tc>
      </w:tr>
      <w:tr>
        <w:trPr>
          <w:trHeight w:val="144"/>
        </w:trPr>
        <w:tc>
          <w:tcPr>
            <w:tcW w:w="33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 Change</w:t>
            </w:r>
          </w:p>
        </w:tc>
        <w:tc>
          <w:tcPr>
            <w:tcW w:w="1980" w:type="dxa"/>
            <w:vAlign w:val="bottom"/>
            <w:shd w:val="clear" w:color="auto" w:fill="CCEEFF"/>
          </w:tcPr>
          <w:p>
            <w:pPr>
              <w:jc w:val="right"/>
              <w:ind w:right="735"/>
              <w:spacing w:after="0" w:line="144" w:lineRule="exact"/>
              <w:rPr>
                <w:sz w:val="20"/>
                <w:szCs w:val="20"/>
                <w:color w:val="auto"/>
              </w:rPr>
            </w:pPr>
            <w:r>
              <w:rPr>
                <w:rFonts w:ascii="Arial" w:cs="Arial" w:eastAsia="Arial" w:hAnsi="Arial"/>
                <w:sz w:val="13"/>
                <w:szCs w:val="13"/>
                <w:b w:val="1"/>
                <w:bCs w:val="1"/>
                <w:color w:val="auto"/>
              </w:rPr>
              <w:t>$</w:t>
            </w:r>
          </w:p>
        </w:tc>
        <w:tc>
          <w:tcPr>
            <w:tcW w:w="620" w:type="dxa"/>
            <w:vAlign w:val="bottom"/>
            <w:shd w:val="clear" w:color="auto" w:fill="CCEEFF"/>
          </w:tcPr>
          <w:p>
            <w:pPr>
              <w:jc w:val="right"/>
              <w:ind w:right="135"/>
              <w:spacing w:after="0" w:line="144" w:lineRule="exact"/>
              <w:rPr>
                <w:sz w:val="20"/>
                <w:szCs w:val="20"/>
                <w:color w:val="auto"/>
              </w:rPr>
            </w:pPr>
            <w:r>
              <w:rPr>
                <w:rFonts w:ascii="Arial" w:cs="Arial" w:eastAsia="Arial" w:hAnsi="Arial"/>
                <w:sz w:val="13"/>
                <w:szCs w:val="13"/>
                <w:b w:val="1"/>
                <w:bCs w:val="1"/>
                <w:color w:val="auto"/>
              </w:rPr>
              <w:t>816</w:t>
            </w:r>
          </w:p>
        </w:tc>
        <w:tc>
          <w:tcPr>
            <w:tcW w:w="940" w:type="dxa"/>
            <w:vAlign w:val="bottom"/>
            <w:shd w:val="clear" w:color="auto" w:fill="CCEEFF"/>
          </w:tcPr>
          <w:p>
            <w:pPr>
              <w:jc w:val="right"/>
              <w:ind w:right="735"/>
              <w:spacing w:after="0" w:line="144"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35"/>
              <w:spacing w:after="0" w:line="144" w:lineRule="exact"/>
              <w:rPr>
                <w:sz w:val="20"/>
                <w:szCs w:val="20"/>
                <w:color w:val="auto"/>
              </w:rPr>
            </w:pPr>
            <w:r>
              <w:rPr>
                <w:rFonts w:ascii="Arial" w:cs="Arial" w:eastAsia="Arial" w:hAnsi="Arial"/>
                <w:sz w:val="13"/>
                <w:szCs w:val="13"/>
                <w:color w:val="auto"/>
              </w:rPr>
              <w:t>60</w:t>
            </w:r>
          </w:p>
        </w:tc>
        <w:tc>
          <w:tcPr>
            <w:tcW w:w="340" w:type="dxa"/>
            <w:vAlign w:val="bottom"/>
            <w:shd w:val="clear" w:color="auto" w:fill="CCEEFF"/>
          </w:tcPr>
          <w:p>
            <w:pPr>
              <w:jc w:val="right"/>
              <w:ind w:right="155"/>
              <w:spacing w:after="0" w:line="144" w:lineRule="exact"/>
              <w:rPr>
                <w:sz w:val="20"/>
                <w:szCs w:val="20"/>
                <w:color w:val="auto"/>
              </w:rPr>
            </w:pPr>
            <w:r>
              <w:rPr>
                <w:rFonts w:ascii="Arial" w:cs="Arial" w:eastAsia="Arial" w:hAnsi="Arial"/>
                <w:sz w:val="13"/>
                <w:szCs w:val="13"/>
                <w:color w:val="auto"/>
              </w:rPr>
              <w:t>$</w:t>
            </w:r>
          </w:p>
        </w:tc>
        <w:tc>
          <w:tcPr>
            <w:tcW w:w="1300" w:type="dxa"/>
            <w:vAlign w:val="bottom"/>
            <w:shd w:val="clear" w:color="auto" w:fill="CCEEFF"/>
          </w:tcPr>
          <w:p>
            <w:pPr>
              <w:jc w:val="right"/>
              <w:ind w:right="215"/>
              <w:spacing w:after="0" w:line="144" w:lineRule="exact"/>
              <w:rPr>
                <w:sz w:val="20"/>
                <w:szCs w:val="20"/>
                <w:color w:val="auto"/>
              </w:rPr>
            </w:pPr>
            <w:r>
              <w:rPr>
                <w:rFonts w:ascii="Arial" w:cs="Arial" w:eastAsia="Arial" w:hAnsi="Arial"/>
                <w:sz w:val="13"/>
                <w:szCs w:val="13"/>
                <w:color w:val="auto"/>
              </w:rPr>
              <w:t>116</w:t>
            </w:r>
          </w:p>
        </w:tc>
      </w:tr>
      <w:tr>
        <w:trPr>
          <w:trHeight w:val="144"/>
        </w:trPr>
        <w:tc>
          <w:tcPr>
            <w:tcW w:w="3320" w:type="dxa"/>
            <w:vAlign w:val="bottom"/>
          </w:tcPr>
          <w:p>
            <w:pPr>
              <w:spacing w:after="0" w:line="144" w:lineRule="exact"/>
              <w:rPr>
                <w:sz w:val="20"/>
                <w:szCs w:val="20"/>
                <w:color w:val="auto"/>
              </w:rPr>
            </w:pPr>
            <w:r>
              <w:rPr>
                <w:rFonts w:ascii="Arial" w:cs="Arial" w:eastAsia="Arial" w:hAnsi="Arial"/>
                <w:sz w:val="13"/>
                <w:szCs w:val="13"/>
                <w:color w:val="auto"/>
              </w:rPr>
              <w:t>% Change</w:t>
            </w:r>
          </w:p>
        </w:tc>
        <w:tc>
          <w:tcPr>
            <w:tcW w:w="1980" w:type="dxa"/>
            <w:vAlign w:val="bottom"/>
          </w:tcPr>
          <w:p>
            <w:pPr>
              <w:spacing w:after="0"/>
              <w:rPr>
                <w:sz w:val="12"/>
                <w:szCs w:val="12"/>
                <w:color w:val="auto"/>
              </w:rPr>
            </w:pPr>
          </w:p>
        </w:tc>
        <w:tc>
          <w:tcPr>
            <w:tcW w:w="62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63.5 %</w:t>
            </w:r>
          </w:p>
        </w:tc>
        <w:tc>
          <w:tcPr>
            <w:tcW w:w="940" w:type="dxa"/>
            <w:vAlign w:val="bottom"/>
          </w:tcPr>
          <w:p>
            <w:pPr>
              <w:spacing w:after="0"/>
              <w:rPr>
                <w:sz w:val="12"/>
                <w:szCs w:val="12"/>
                <w:color w:val="auto"/>
              </w:rPr>
            </w:pPr>
          </w:p>
        </w:tc>
        <w:tc>
          <w:tcPr>
            <w:tcW w:w="620" w:type="dxa"/>
            <w:vAlign w:val="bottom"/>
          </w:tcPr>
          <w:p>
            <w:pPr>
              <w:jc w:val="right"/>
              <w:spacing w:after="0" w:line="144" w:lineRule="exact"/>
              <w:rPr>
                <w:sz w:val="20"/>
                <w:szCs w:val="20"/>
                <w:color w:val="auto"/>
              </w:rPr>
            </w:pPr>
            <w:r>
              <w:rPr>
                <w:rFonts w:ascii="Arial" w:cs="Arial" w:eastAsia="Arial" w:hAnsi="Arial"/>
                <w:sz w:val="13"/>
                <w:szCs w:val="13"/>
                <w:color w:val="auto"/>
              </w:rPr>
              <w:t>4.9 %</w:t>
            </w:r>
          </w:p>
        </w:tc>
        <w:tc>
          <w:tcPr>
            <w:tcW w:w="340" w:type="dxa"/>
            <w:vAlign w:val="bottom"/>
          </w:tcPr>
          <w:p>
            <w:pPr>
              <w:spacing w:after="0"/>
              <w:rPr>
                <w:sz w:val="12"/>
                <w:szCs w:val="12"/>
                <w:color w:val="auto"/>
              </w:rPr>
            </w:pPr>
          </w:p>
        </w:tc>
        <w:tc>
          <w:tcPr>
            <w:tcW w:w="1300" w:type="dxa"/>
            <w:vAlign w:val="bottom"/>
          </w:tcPr>
          <w:p>
            <w:pPr>
              <w:jc w:val="right"/>
              <w:ind w:right="55"/>
              <w:spacing w:after="0" w:line="144" w:lineRule="exact"/>
              <w:rPr>
                <w:sz w:val="20"/>
                <w:szCs w:val="20"/>
                <w:color w:val="auto"/>
              </w:rPr>
            </w:pPr>
            <w:r>
              <w:rPr>
                <w:rFonts w:ascii="Arial" w:cs="Arial" w:eastAsia="Arial" w:hAnsi="Arial"/>
                <w:sz w:val="13"/>
                <w:szCs w:val="13"/>
                <w:color w:val="auto"/>
              </w:rPr>
              <w:t>10.5 %</w:t>
            </w:r>
          </w:p>
        </w:tc>
      </w:tr>
      <w:tr>
        <w:trPr>
          <w:trHeight w:val="144"/>
        </w:trPr>
        <w:tc>
          <w:tcPr>
            <w:tcW w:w="33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 of total sales</w:t>
            </w:r>
          </w:p>
        </w:tc>
        <w:tc>
          <w:tcPr>
            <w:tcW w:w="19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27.8 %</w:t>
            </w:r>
          </w:p>
        </w:tc>
        <w:tc>
          <w:tcPr>
            <w:tcW w:w="9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16.1 %</w:t>
            </w:r>
          </w:p>
        </w:tc>
        <w:tc>
          <w:tcPr>
            <w:tcW w:w="340" w:type="dxa"/>
            <w:vAlign w:val="bottom"/>
            <w:shd w:val="clear" w:color="auto" w:fill="CCEEFF"/>
          </w:tcPr>
          <w:p>
            <w:pPr>
              <w:spacing w:after="0"/>
              <w:rPr>
                <w:sz w:val="12"/>
                <w:szCs w:val="12"/>
                <w:color w:val="auto"/>
              </w:rPr>
            </w:pPr>
          </w:p>
        </w:tc>
        <w:tc>
          <w:tcPr>
            <w:tcW w:w="130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15.4 %</w:t>
            </w:r>
          </w:p>
        </w:tc>
      </w:tr>
      <w:tr>
        <w:trPr>
          <w:trHeight w:val="144"/>
        </w:trPr>
        <w:tc>
          <w:tcPr>
            <w:tcW w:w="332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color w:val="auto"/>
              </w:rPr>
              <w:t>Comparable sales increase</w:t>
            </w:r>
          </w:p>
        </w:tc>
        <w:tc>
          <w:tcPr>
            <w:tcW w:w="19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62.8 %</w:t>
            </w:r>
          </w:p>
        </w:tc>
        <w:tc>
          <w:tcPr>
            <w:tcW w:w="9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5.6 %</w:t>
            </w:r>
          </w:p>
        </w:tc>
        <w:tc>
          <w:tcPr>
            <w:tcW w:w="34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55"/>
              <w:spacing w:after="0" w:line="144" w:lineRule="exact"/>
              <w:rPr>
                <w:sz w:val="20"/>
                <w:szCs w:val="20"/>
                <w:color w:val="auto"/>
              </w:rPr>
            </w:pPr>
            <w:r>
              <w:rPr>
                <w:rFonts w:ascii="Arial" w:cs="Arial" w:eastAsia="Arial" w:hAnsi="Arial"/>
                <w:sz w:val="13"/>
                <w:szCs w:val="13"/>
                <w:color w:val="auto"/>
              </w:rPr>
              <w:t>12.3 %</w:t>
            </w:r>
          </w:p>
        </w:tc>
      </w:tr>
    </w:tbl>
    <w:p>
      <w:pPr>
        <w:spacing w:after="0" w:line="139" w:lineRule="exact"/>
        <w:rPr>
          <w:sz w:val="20"/>
          <w:szCs w:val="20"/>
          <w:color w:val="auto"/>
        </w:rPr>
      </w:pPr>
    </w:p>
    <w:p>
      <w:pPr>
        <w:jc w:val="both"/>
        <w:ind w:right="39"/>
        <w:spacing w:after="0"/>
        <w:rPr>
          <w:sz w:val="20"/>
          <w:szCs w:val="20"/>
          <w:color w:val="auto"/>
        </w:rPr>
      </w:pPr>
      <w:r>
        <w:rPr>
          <w:rFonts w:ascii="Arial" w:cs="Arial" w:eastAsia="Arial" w:hAnsi="Arial"/>
          <w:sz w:val="13"/>
          <w:szCs w:val="13"/>
          <w:color w:val="auto"/>
        </w:rPr>
        <w:t>In 2020, sales decreased by 5.7 percent to $7,548 million from sales of $8,005 million in 2019. Excluding the effect of foreign currency fluctuations, sales decreased by 6.3 percent as compared with 2019.</w:t>
      </w:r>
    </w:p>
    <w:p>
      <w:pPr>
        <w:spacing w:after="0" w:line="122" w:lineRule="exact"/>
        <w:rPr>
          <w:sz w:val="20"/>
          <w:szCs w:val="20"/>
          <w:color w:val="auto"/>
        </w:rPr>
      </w:pPr>
    </w:p>
    <w:p>
      <w:pPr>
        <w:jc w:val="both"/>
        <w:ind w:right="39"/>
        <w:spacing w:after="0" w:line="234" w:lineRule="auto"/>
        <w:rPr>
          <w:sz w:val="20"/>
          <w:szCs w:val="20"/>
          <w:color w:val="auto"/>
        </w:rPr>
      </w:pPr>
      <w:r>
        <w:rPr>
          <w:rFonts w:ascii="Arial" w:cs="Arial" w:eastAsia="Arial" w:hAnsi="Arial"/>
          <w:sz w:val="13"/>
          <w:szCs w:val="13"/>
          <w:color w:val="auto"/>
        </w:rPr>
        <w:t>Comparable sales decreased by 5.9 percent as compared with the prior year. The overall comparable sales decline was a result of store closures throughout the year necessitated by COVID-19, this was partially offset by our direct-to-customers channel, which increased by 62.8 percent as compared with the prior year. Our ongoing investments in our omnichannel ecosystem, including supply chain capabilities, have been instrumental in delivering a seamless customer experience resulting in our digital business representing 27.8 percent of our sales for 2020. Our investments allowed us to leverage our direct-to customers business to continue to serve our customers achieving record daily volume levels.</w:t>
      </w:r>
    </w:p>
    <w:p>
      <w:pPr>
        <w:spacing w:after="0" w:line="112" w:lineRule="exact"/>
        <w:rPr>
          <w:sz w:val="20"/>
          <w:szCs w:val="20"/>
          <w:color w:val="auto"/>
        </w:rPr>
      </w:pPr>
    </w:p>
    <w:p>
      <w:pPr>
        <w:ind w:left="7660"/>
        <w:spacing w:after="0"/>
        <w:rPr>
          <w:sz w:val="20"/>
          <w:szCs w:val="20"/>
          <w:color w:val="auto"/>
        </w:rPr>
      </w:pPr>
      <w:r>
        <w:rPr>
          <w:rFonts w:ascii="Arial" w:cs="Arial" w:eastAsia="Arial" w:hAnsi="Arial"/>
          <w:sz w:val="12"/>
          <w:szCs w:val="12"/>
          <w:color w:val="auto"/>
        </w:rPr>
        <w:t>2020 Form 10-K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365125</wp:posOffset>
            </wp:positionV>
            <wp:extent cx="5790565" cy="196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90565" cy="19685"/>
                    </a:xfrm>
                    <a:prstGeom prst="rect">
                      <a:avLst/>
                    </a:prstGeom>
                    <a:noFill/>
                  </pic:spPr>
                </pic:pic>
              </a:graphicData>
            </a:graphic>
          </wp:anchor>
        </w:drawing>
      </w:r>
    </w:p>
    <w:p>
      <w:pPr>
        <w:sectPr>
          <w:pgSz w:w="11900" w:h="16838" w:orient="portrait"/>
          <w:cols w:equalWidth="0" w:num="1">
            <w:col w:w="9159"/>
          </w:cols>
          <w:pgMar w:left="1300" w:top="678" w:right="1440" w:bottom="1440" w:gutter="0" w:footer="0" w:header="0"/>
        </w:sectPr>
      </w:pPr>
    </w:p>
    <w:bookmarkStart w:id="26" w:name="page27"/>
    <w:bookmarkEnd w:id="26"/>
    <w:p>
      <w:pPr>
        <w:jc w:val="both"/>
        <w:ind w:right="39"/>
        <w:spacing w:after="0" w:line="234" w:lineRule="auto"/>
        <w:rPr>
          <w:sz w:val="20"/>
          <w:szCs w:val="20"/>
          <w:color w:val="auto"/>
        </w:rPr>
      </w:pPr>
      <w:r>
        <w:rPr>
          <w:rFonts w:ascii="Arial" w:cs="Arial" w:eastAsia="Arial" w:hAnsi="Arial"/>
          <w:sz w:val="13"/>
          <w:szCs w:val="13"/>
          <w:color w:val="auto"/>
        </w:rPr>
        <w:t>Our EMEA and North America operating segments had comparable sales declines, while our Asia Pacific operating segment generated an increase. The decline in EMEA and North America primarily came from the stores channel as a result of the temporary closures of our stores across all of our banners at various times during the year due to the pandemic. Within North America, our Kids Foot Locker and Footaction business generated increases and our Champs Sports business was essentially flat with all other banners being negative. EMEA’s temporary store closures were for longer periods of time and therefore all banners operating in EMEA declined. Our Asia Pacific operating segment increases were led by strong sales in our Australia e-commerce business.</w:t>
      </w:r>
    </w:p>
    <w:p>
      <w:pPr>
        <w:spacing w:after="0" w:line="112" w:lineRule="exact"/>
        <w:rPr>
          <w:sz w:val="20"/>
          <w:szCs w:val="20"/>
          <w:color w:val="auto"/>
        </w:rPr>
      </w:pPr>
    </w:p>
    <w:p>
      <w:pPr>
        <w:jc w:val="both"/>
        <w:ind w:right="39"/>
        <w:spacing w:after="0" w:line="236" w:lineRule="auto"/>
        <w:rPr>
          <w:sz w:val="20"/>
          <w:szCs w:val="20"/>
          <w:color w:val="auto"/>
        </w:rPr>
      </w:pPr>
      <w:r>
        <w:rPr>
          <w:rFonts w:ascii="Arial" w:cs="Arial" w:eastAsia="Arial" w:hAnsi="Arial"/>
          <w:sz w:val="13"/>
          <w:szCs w:val="13"/>
          <w:color w:val="auto"/>
        </w:rPr>
        <w:t>From a product perspective, we experienced a decline across all product categories (footwear, apparel, and accessories) primarily due to closures necessitated by COVID-19. Sales of men’s basketball and women’s footwear were positive for the year. Additionally, our women’s apparel sales also generated an increase for the year.</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80" w:type="dxa"/>
            <w:vAlign w:val="bottom"/>
            <w:gridSpan w:val="3"/>
          </w:tcPr>
          <w:p>
            <w:pPr>
              <w:spacing w:after="0"/>
              <w:rPr>
                <w:sz w:val="20"/>
                <w:szCs w:val="20"/>
                <w:color w:val="auto"/>
              </w:rPr>
            </w:pPr>
            <w:r>
              <w:rPr>
                <w:rFonts w:ascii="Arial" w:cs="Arial" w:eastAsia="Arial" w:hAnsi="Arial"/>
                <w:sz w:val="13"/>
                <w:szCs w:val="13"/>
                <w:i w:val="1"/>
                <w:iCs w:val="1"/>
                <w:color w:val="auto"/>
              </w:rPr>
              <w:t>Gross Margin</w:t>
            </w:r>
          </w:p>
        </w:tc>
        <w:tc>
          <w:tcPr>
            <w:tcW w:w="720" w:type="dxa"/>
            <w:vAlign w:val="bottom"/>
          </w:tcPr>
          <w:p>
            <w:pPr>
              <w:spacing w:after="0"/>
              <w:rPr>
                <w:sz w:val="13"/>
                <w:szCs w:val="13"/>
                <w:color w:val="auto"/>
              </w:rPr>
            </w:pPr>
          </w:p>
        </w:tc>
        <w:tc>
          <w:tcPr>
            <w:tcW w:w="1340" w:type="dxa"/>
            <w:vAlign w:val="bottom"/>
            <w:vMerge w:val="restart"/>
          </w:tcPr>
          <w:p>
            <w:pPr>
              <w:jc w:val="right"/>
              <w:ind w:right="715"/>
              <w:spacing w:after="0"/>
              <w:rPr>
                <w:sz w:val="20"/>
                <w:szCs w:val="20"/>
                <w:color w:val="auto"/>
              </w:rPr>
            </w:pPr>
            <w:r>
              <w:rPr>
                <w:rFonts w:ascii="Arial" w:cs="Arial" w:eastAsia="Arial" w:hAnsi="Arial"/>
                <w:sz w:val="13"/>
                <w:szCs w:val="13"/>
                <w:color w:val="auto"/>
              </w:rPr>
              <w:t>2019</w:t>
            </w:r>
          </w:p>
        </w:tc>
        <w:tc>
          <w:tcPr>
            <w:tcW w:w="1180" w:type="dxa"/>
            <w:vAlign w:val="bottom"/>
            <w:vMerge w:val="restart"/>
          </w:tcPr>
          <w:p>
            <w:pPr>
              <w:jc w:val="right"/>
              <w:ind w:right="555"/>
              <w:spacing w:after="0"/>
              <w:rPr>
                <w:sz w:val="20"/>
                <w:szCs w:val="20"/>
                <w:color w:val="auto"/>
              </w:rPr>
            </w:pPr>
            <w:r>
              <w:rPr>
                <w:rFonts w:ascii="Arial" w:cs="Arial" w:eastAsia="Arial" w:hAnsi="Arial"/>
                <w:sz w:val="13"/>
                <w:szCs w:val="13"/>
                <w:color w:val="auto"/>
              </w:rPr>
              <w:t>2018</w:t>
            </w:r>
          </w:p>
        </w:tc>
        <w:tc>
          <w:tcPr>
            <w:tcW w:w="0" w:type="dxa"/>
            <w:vAlign w:val="bottom"/>
          </w:tcPr>
          <w:p>
            <w:pPr>
              <w:spacing w:after="0"/>
              <w:rPr>
                <w:sz w:val="1"/>
                <w:szCs w:val="1"/>
                <w:color w:val="auto"/>
              </w:rPr>
            </w:pPr>
          </w:p>
        </w:tc>
      </w:tr>
      <w:tr>
        <w:trPr>
          <w:trHeight w:val="154"/>
        </w:trPr>
        <w:tc>
          <w:tcPr>
            <w:tcW w:w="20" w:type="dxa"/>
            <w:vAlign w:val="bottom"/>
            <w:tcBorders>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spacing w:after="0"/>
              <w:rPr>
                <w:sz w:val="13"/>
                <w:szCs w:val="13"/>
                <w:color w:val="auto"/>
              </w:rPr>
            </w:pPr>
          </w:p>
        </w:tc>
        <w:tc>
          <w:tcPr>
            <w:tcW w:w="5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7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vMerge w:val="continue"/>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 w:type="dxa"/>
            <w:vAlign w:val="bottom"/>
            <w:shd w:val="clear" w:color="auto" w:fill="CCEEFF"/>
          </w:tcPr>
          <w:p>
            <w:pPr>
              <w:spacing w:after="0"/>
              <w:rPr>
                <w:sz w:val="11"/>
                <w:szCs w:val="11"/>
                <w:color w:val="auto"/>
              </w:rPr>
            </w:pPr>
          </w:p>
        </w:tc>
        <w:tc>
          <w:tcPr>
            <w:tcW w:w="5860" w:type="dxa"/>
            <w:vAlign w:val="bottom"/>
            <w:gridSpan w:val="2"/>
            <w:shd w:val="clear" w:color="auto" w:fill="CCEEFF"/>
          </w:tcPr>
          <w:p>
            <w:pPr>
              <w:spacing w:after="0" w:line="134" w:lineRule="exact"/>
              <w:rPr>
                <w:sz w:val="20"/>
                <w:szCs w:val="20"/>
                <w:color w:val="auto"/>
              </w:rPr>
            </w:pPr>
            <w:r>
              <w:rPr>
                <w:rFonts w:ascii="Arial" w:cs="Arial" w:eastAsia="Arial" w:hAnsi="Arial"/>
                <w:sz w:val="13"/>
                <w:szCs w:val="13"/>
                <w:color w:val="auto"/>
              </w:rPr>
              <w:t>Gross margin rate</w:t>
            </w:r>
          </w:p>
        </w:tc>
        <w:tc>
          <w:tcPr>
            <w:tcW w:w="720" w:type="dxa"/>
            <w:vAlign w:val="bottom"/>
            <w:shd w:val="clear" w:color="auto" w:fill="CCEEFF"/>
          </w:tcPr>
          <w:p>
            <w:pPr>
              <w:jc w:val="right"/>
              <w:ind w:right="195"/>
              <w:spacing w:after="0" w:line="134" w:lineRule="exact"/>
              <w:rPr>
                <w:sz w:val="20"/>
                <w:szCs w:val="20"/>
                <w:color w:val="auto"/>
              </w:rPr>
            </w:pPr>
            <w:r>
              <w:rPr>
                <w:rFonts w:ascii="Arial" w:cs="Arial" w:eastAsia="Arial" w:hAnsi="Arial"/>
                <w:sz w:val="13"/>
                <w:szCs w:val="13"/>
                <w:b w:val="1"/>
                <w:bCs w:val="1"/>
                <w:color w:val="auto"/>
              </w:rPr>
              <w:t>28.9 %</w:t>
            </w:r>
          </w:p>
        </w:tc>
        <w:tc>
          <w:tcPr>
            <w:tcW w:w="1340" w:type="dxa"/>
            <w:vAlign w:val="bottom"/>
            <w:shd w:val="clear" w:color="auto" w:fill="CCEEFF"/>
          </w:tcPr>
          <w:p>
            <w:pPr>
              <w:jc w:val="right"/>
              <w:ind w:right="195"/>
              <w:spacing w:after="0" w:line="134" w:lineRule="exact"/>
              <w:rPr>
                <w:sz w:val="20"/>
                <w:szCs w:val="20"/>
                <w:color w:val="auto"/>
              </w:rPr>
            </w:pPr>
            <w:r>
              <w:rPr>
                <w:rFonts w:ascii="Arial" w:cs="Arial" w:eastAsia="Arial" w:hAnsi="Arial"/>
                <w:sz w:val="13"/>
                <w:szCs w:val="13"/>
                <w:color w:val="auto"/>
              </w:rPr>
              <w:t>31.8 %</w:t>
            </w:r>
          </w:p>
        </w:tc>
        <w:tc>
          <w:tcPr>
            <w:tcW w:w="1180" w:type="dxa"/>
            <w:vAlign w:val="bottom"/>
            <w:shd w:val="clear" w:color="auto" w:fill="CCEEFF"/>
          </w:tcPr>
          <w:p>
            <w:pPr>
              <w:jc w:val="right"/>
              <w:ind w:right="55"/>
              <w:spacing w:after="0" w:line="134" w:lineRule="exact"/>
              <w:rPr>
                <w:sz w:val="20"/>
                <w:szCs w:val="20"/>
                <w:color w:val="auto"/>
              </w:rPr>
            </w:pPr>
            <w:r>
              <w:rPr>
                <w:rFonts w:ascii="Arial" w:cs="Arial" w:eastAsia="Arial" w:hAnsi="Arial"/>
                <w:sz w:val="13"/>
                <w:szCs w:val="13"/>
                <w:color w:val="auto"/>
              </w:rPr>
              <w:t>31.8 %</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60" w:type="dxa"/>
            <w:vAlign w:val="bottom"/>
            <w:gridSpan w:val="2"/>
          </w:tcPr>
          <w:p>
            <w:pPr>
              <w:spacing w:after="0" w:line="144" w:lineRule="exact"/>
              <w:rPr>
                <w:sz w:val="20"/>
                <w:szCs w:val="20"/>
                <w:color w:val="auto"/>
              </w:rPr>
            </w:pPr>
            <w:r>
              <w:rPr>
                <w:rFonts w:ascii="Arial" w:cs="Arial" w:eastAsia="Arial" w:hAnsi="Arial"/>
                <w:sz w:val="13"/>
                <w:szCs w:val="13"/>
                <w:color w:val="auto"/>
              </w:rPr>
              <w:t>Basis point (decrease) increase in the gross margin rate</w:t>
            </w:r>
          </w:p>
        </w:tc>
        <w:tc>
          <w:tcPr>
            <w:tcW w:w="720" w:type="dxa"/>
            <w:vAlign w:val="bottom"/>
          </w:tcPr>
          <w:p>
            <w:pPr>
              <w:jc w:val="right"/>
              <w:ind w:right="315"/>
              <w:spacing w:after="0" w:line="144" w:lineRule="exact"/>
              <w:rPr>
                <w:sz w:val="20"/>
                <w:szCs w:val="20"/>
                <w:color w:val="auto"/>
              </w:rPr>
            </w:pPr>
            <w:r>
              <w:rPr>
                <w:rFonts w:ascii="Arial" w:cs="Arial" w:eastAsia="Arial" w:hAnsi="Arial"/>
                <w:sz w:val="13"/>
                <w:szCs w:val="13"/>
                <w:b w:val="1"/>
                <w:bCs w:val="1"/>
                <w:color w:val="auto"/>
              </w:rPr>
              <w:t>(290)</w:t>
            </w:r>
          </w:p>
        </w:tc>
        <w:tc>
          <w:tcPr>
            <w:tcW w:w="1340" w:type="dxa"/>
            <w:vAlign w:val="bottom"/>
          </w:tcPr>
          <w:p>
            <w:pPr>
              <w:jc w:val="right"/>
              <w:ind w:right="355"/>
              <w:spacing w:after="0" w:line="144"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195"/>
              <w:spacing w:after="0" w:line="144" w:lineRule="exact"/>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5860" w:type="dxa"/>
            <w:vAlign w:val="bottom"/>
            <w:gridSpan w:val="2"/>
            <w:shd w:val="clear" w:color="auto" w:fill="CCEEFF"/>
          </w:tcPr>
          <w:p>
            <w:pPr>
              <w:ind w:left="60"/>
              <w:spacing w:after="0" w:line="144" w:lineRule="exact"/>
              <w:rPr>
                <w:sz w:val="20"/>
                <w:szCs w:val="20"/>
                <w:color w:val="auto"/>
              </w:rPr>
            </w:pPr>
            <w:r>
              <w:rPr>
                <w:rFonts w:ascii="Arial" w:cs="Arial" w:eastAsia="Arial" w:hAnsi="Arial"/>
                <w:sz w:val="13"/>
                <w:szCs w:val="13"/>
                <w:color w:val="auto"/>
              </w:rPr>
              <w:t>Components of the change-</w:t>
            </w:r>
          </w:p>
        </w:tc>
        <w:tc>
          <w:tcPr>
            <w:tcW w:w="7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60" w:type="dxa"/>
            <w:vAlign w:val="bottom"/>
            <w:gridSpan w:val="2"/>
          </w:tcPr>
          <w:p>
            <w:pPr>
              <w:ind w:left="140"/>
              <w:spacing w:after="0" w:line="144" w:lineRule="exact"/>
              <w:rPr>
                <w:sz w:val="20"/>
                <w:szCs w:val="20"/>
                <w:color w:val="auto"/>
              </w:rPr>
            </w:pPr>
            <w:r>
              <w:rPr>
                <w:rFonts w:ascii="Arial" w:cs="Arial" w:eastAsia="Arial" w:hAnsi="Arial"/>
                <w:sz w:val="13"/>
                <w:szCs w:val="13"/>
                <w:color w:val="auto"/>
              </w:rPr>
              <w:t>Merchandise margin rate (decline) / improvement</w:t>
            </w:r>
          </w:p>
        </w:tc>
        <w:tc>
          <w:tcPr>
            <w:tcW w:w="720" w:type="dxa"/>
            <w:vAlign w:val="bottom"/>
          </w:tcPr>
          <w:p>
            <w:pPr>
              <w:jc w:val="right"/>
              <w:ind w:right="315"/>
              <w:spacing w:after="0" w:line="144" w:lineRule="exact"/>
              <w:rPr>
                <w:sz w:val="20"/>
                <w:szCs w:val="20"/>
                <w:color w:val="auto"/>
              </w:rPr>
            </w:pPr>
            <w:r>
              <w:rPr>
                <w:rFonts w:ascii="Arial" w:cs="Arial" w:eastAsia="Arial" w:hAnsi="Arial"/>
                <w:sz w:val="13"/>
                <w:szCs w:val="13"/>
                <w:b w:val="1"/>
                <w:bCs w:val="1"/>
                <w:color w:val="auto"/>
              </w:rPr>
              <w:t>(340)</w:t>
            </w:r>
          </w:p>
        </w:tc>
        <w:tc>
          <w:tcPr>
            <w:tcW w:w="1340" w:type="dxa"/>
            <w:vAlign w:val="bottom"/>
          </w:tcPr>
          <w:p>
            <w:pPr>
              <w:jc w:val="right"/>
              <w:ind w:right="315"/>
              <w:spacing w:after="0" w:line="144" w:lineRule="exact"/>
              <w:rPr>
                <w:sz w:val="20"/>
                <w:szCs w:val="20"/>
                <w:color w:val="auto"/>
              </w:rPr>
            </w:pPr>
            <w:r>
              <w:rPr>
                <w:rFonts w:ascii="Arial" w:cs="Arial" w:eastAsia="Arial" w:hAnsi="Arial"/>
                <w:sz w:val="13"/>
                <w:szCs w:val="13"/>
                <w:color w:val="auto"/>
              </w:rPr>
              <w:t>(30)</w:t>
            </w:r>
          </w:p>
        </w:tc>
        <w:tc>
          <w:tcPr>
            <w:tcW w:w="1180" w:type="dxa"/>
            <w:vAlign w:val="bottom"/>
          </w:tcPr>
          <w:p>
            <w:pPr>
              <w:jc w:val="right"/>
              <w:ind w:right="195"/>
              <w:spacing w:after="0" w:line="144" w:lineRule="exact"/>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44"/>
        </w:trPr>
        <w:tc>
          <w:tcPr>
            <w:tcW w:w="20" w:type="dxa"/>
            <w:vAlign w:val="bottom"/>
            <w:tcBorders>
              <w:bottom w:val="single" w:sz="8" w:color="auto"/>
            </w:tcBorders>
            <w:shd w:val="clear" w:color="auto" w:fill="CCEEFF"/>
          </w:tcPr>
          <w:p>
            <w:pPr>
              <w:spacing w:after="0"/>
              <w:rPr>
                <w:sz w:val="12"/>
                <w:szCs w:val="12"/>
                <w:color w:val="auto"/>
              </w:rPr>
            </w:pPr>
          </w:p>
        </w:tc>
        <w:tc>
          <w:tcPr>
            <w:tcW w:w="5860" w:type="dxa"/>
            <w:vAlign w:val="bottom"/>
            <w:tcBorders>
              <w:bottom w:val="single" w:sz="8" w:color="auto"/>
            </w:tcBorders>
            <w:gridSpan w:val="2"/>
            <w:shd w:val="clear" w:color="auto" w:fill="CCEEFF"/>
          </w:tcPr>
          <w:p>
            <w:pPr>
              <w:ind w:left="140"/>
              <w:spacing w:after="0" w:line="144" w:lineRule="exact"/>
              <w:rPr>
                <w:sz w:val="20"/>
                <w:szCs w:val="20"/>
                <w:color w:val="auto"/>
              </w:rPr>
            </w:pPr>
            <w:r>
              <w:rPr>
                <w:rFonts w:ascii="Arial" w:cs="Arial" w:eastAsia="Arial" w:hAnsi="Arial"/>
                <w:sz w:val="13"/>
                <w:szCs w:val="13"/>
                <w:color w:val="auto"/>
              </w:rPr>
              <w:t>Lower / (higher) occupancy and buyers’ compensation expense rate</w:t>
            </w:r>
          </w:p>
        </w:tc>
        <w:tc>
          <w:tcPr>
            <w:tcW w:w="720" w:type="dxa"/>
            <w:vAlign w:val="bottom"/>
            <w:tcBorders>
              <w:bottom w:val="single" w:sz="8" w:color="auto"/>
            </w:tcBorders>
            <w:shd w:val="clear" w:color="auto" w:fill="CCEEFF"/>
          </w:tcPr>
          <w:p>
            <w:pPr>
              <w:jc w:val="right"/>
              <w:ind w:right="355"/>
              <w:spacing w:after="0" w:line="144" w:lineRule="exact"/>
              <w:rPr>
                <w:sz w:val="20"/>
                <w:szCs w:val="20"/>
                <w:color w:val="auto"/>
              </w:rPr>
            </w:pPr>
            <w:r>
              <w:rPr>
                <w:rFonts w:ascii="Arial" w:cs="Arial" w:eastAsia="Arial" w:hAnsi="Arial"/>
                <w:sz w:val="13"/>
                <w:szCs w:val="13"/>
                <w:b w:val="1"/>
                <w:bCs w:val="1"/>
                <w:color w:val="auto"/>
              </w:rPr>
              <w:t>50</w:t>
            </w:r>
          </w:p>
        </w:tc>
        <w:tc>
          <w:tcPr>
            <w:tcW w:w="1340" w:type="dxa"/>
            <w:vAlign w:val="bottom"/>
            <w:tcBorders>
              <w:bottom w:val="single" w:sz="8" w:color="auto"/>
            </w:tcBorders>
            <w:shd w:val="clear" w:color="auto" w:fill="CCEEFF"/>
          </w:tcPr>
          <w:p>
            <w:pPr>
              <w:jc w:val="right"/>
              <w:ind w:right="355"/>
              <w:spacing w:after="0" w:line="144" w:lineRule="exact"/>
              <w:rPr>
                <w:sz w:val="20"/>
                <w:szCs w:val="20"/>
                <w:color w:val="auto"/>
              </w:rPr>
            </w:pPr>
            <w:r>
              <w:rPr>
                <w:rFonts w:ascii="Arial" w:cs="Arial" w:eastAsia="Arial" w:hAnsi="Arial"/>
                <w:sz w:val="13"/>
                <w:szCs w:val="13"/>
                <w:color w:val="auto"/>
              </w:rPr>
              <w:t>30</w:t>
            </w:r>
          </w:p>
        </w:tc>
        <w:tc>
          <w:tcPr>
            <w:tcW w:w="1180" w:type="dxa"/>
            <w:vAlign w:val="bottom"/>
            <w:tcBorders>
              <w:bottom w:val="single" w:sz="8" w:color="auto"/>
            </w:tcBorders>
            <w:shd w:val="clear" w:color="auto" w:fill="CCEEFF"/>
          </w:tcPr>
          <w:p>
            <w:pPr>
              <w:jc w:val="right"/>
              <w:ind w:right="155"/>
              <w:spacing w:after="0" w:line="144" w:lineRule="exact"/>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bl>
    <w:p>
      <w:pPr>
        <w:spacing w:after="0" w:line="159" w:lineRule="exact"/>
        <w:rPr>
          <w:sz w:val="20"/>
          <w:szCs w:val="20"/>
          <w:color w:val="auto"/>
        </w:rPr>
      </w:pPr>
    </w:p>
    <w:p>
      <w:pPr>
        <w:jc w:val="both"/>
        <w:ind w:right="39"/>
        <w:spacing w:after="0" w:line="236" w:lineRule="auto"/>
        <w:rPr>
          <w:sz w:val="20"/>
          <w:szCs w:val="20"/>
          <w:color w:val="auto"/>
        </w:rPr>
      </w:pPr>
      <w:r>
        <w:rPr>
          <w:rFonts w:ascii="Arial" w:cs="Arial" w:eastAsia="Arial" w:hAnsi="Arial"/>
          <w:sz w:val="13"/>
          <w:szCs w:val="13"/>
          <w:color w:val="auto"/>
        </w:rPr>
        <w:t>Gross margin is calculated as sales minus cost of sales. Cost of sales includes the cost of merchandise, freight, distribution costs including related depreciation expense, shipping and handling, occupancy and buyers’ compensation. Occupancy costs include rent (including fixed common area maintenance charges and other fixed non-lease components), real estate taxes, general maintenance, and utilities.</w:t>
      </w:r>
    </w:p>
    <w:p>
      <w:pPr>
        <w:spacing w:after="0" w:line="123" w:lineRule="exact"/>
        <w:rPr>
          <w:sz w:val="20"/>
          <w:szCs w:val="20"/>
          <w:color w:val="auto"/>
        </w:rPr>
      </w:pPr>
    </w:p>
    <w:p>
      <w:pPr>
        <w:jc w:val="both"/>
        <w:ind w:right="39"/>
        <w:spacing w:after="0" w:line="234" w:lineRule="auto"/>
        <w:rPr>
          <w:sz w:val="20"/>
          <w:szCs w:val="20"/>
          <w:color w:val="auto"/>
        </w:rPr>
      </w:pPr>
      <w:r>
        <w:rPr>
          <w:rFonts w:ascii="Arial" w:cs="Arial" w:eastAsia="Arial" w:hAnsi="Arial"/>
          <w:sz w:val="13"/>
          <w:szCs w:val="13"/>
          <w:color w:val="auto"/>
        </w:rPr>
        <w:t>Overall, the gross margin rate decreased to 28.9 percent as compared with the prior year rate of 31.8 percent. The decline in the gross margin rate was due to increased promotions to remain competitive in the marketplace and to clear inventory, as well as the higher portion of direct-to-customer sales, which bear higher freight costs. The promotional stance was partially necessitated by COVID-19 related store closures and our inability to return slow-moving inventory to our suppliers. Offsetting, in part, the higher promotional markdowns taken was increased supplier support, which positively affected the gross margin rate by 80 basis points as compared with the prior year.</w:t>
      </w:r>
    </w:p>
    <w:p>
      <w:pPr>
        <w:spacing w:after="0" w:line="112" w:lineRule="exact"/>
        <w:rPr>
          <w:sz w:val="20"/>
          <w:szCs w:val="20"/>
          <w:color w:val="auto"/>
        </w:rPr>
      </w:pPr>
    </w:p>
    <w:p>
      <w:pPr>
        <w:jc w:val="both"/>
        <w:ind w:right="39"/>
        <w:spacing w:after="0" w:line="236" w:lineRule="auto"/>
        <w:rPr>
          <w:sz w:val="20"/>
          <w:szCs w:val="20"/>
          <w:color w:val="auto"/>
        </w:rPr>
      </w:pPr>
      <w:r>
        <w:rPr>
          <w:rFonts w:ascii="Arial" w:cs="Arial" w:eastAsia="Arial" w:hAnsi="Arial"/>
          <w:sz w:val="13"/>
          <w:szCs w:val="13"/>
          <w:color w:val="auto"/>
        </w:rPr>
        <w:t>The occupancy rate was positively affected by COVID-19 related rent abatements. Due to completed lease negotiations, we were able to record $67 million of rent savings due primarily to rent abatements during the year. We record rent abatements in rent expense when the negotiations are completed and the leases are modified.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2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w w:val="99"/>
              </w:rPr>
              <w:t>Selling, General and Administrative Expenses (SG&amp;A)</w:t>
            </w:r>
          </w:p>
        </w:tc>
        <w:tc>
          <w:tcPr>
            <w:tcW w:w="820" w:type="dxa"/>
            <w:vAlign w:val="bottom"/>
          </w:tcPr>
          <w:p>
            <w:pPr>
              <w:spacing w:after="0"/>
              <w:rPr>
                <w:sz w:val="13"/>
                <w:szCs w:val="13"/>
                <w:color w:val="auto"/>
              </w:rPr>
            </w:pPr>
          </w:p>
        </w:tc>
        <w:tc>
          <w:tcPr>
            <w:tcW w:w="16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2020</w:t>
            </w: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94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 in millions)</w:t>
            </w:r>
          </w:p>
        </w:tc>
        <w:tc>
          <w:tcPr>
            <w:tcW w:w="1600" w:type="dxa"/>
            <w:vAlign w:val="bottom"/>
            <w:tcBorders>
              <w:bottom w:val="single" w:sz="8" w:color="auto"/>
            </w:tcBorders>
            <w:vMerge w:val="continue"/>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2019</w:t>
            </w:r>
          </w:p>
        </w:tc>
        <w:tc>
          <w:tcPr>
            <w:tcW w:w="6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55"/>
              <w:spacing w:after="0"/>
              <w:rPr>
                <w:sz w:val="20"/>
                <w:szCs w:val="20"/>
                <w:color w:val="auto"/>
              </w:rPr>
            </w:pPr>
            <w:r>
              <w:rPr>
                <w:rFonts w:ascii="Arial" w:cs="Arial" w:eastAsia="Arial" w:hAnsi="Arial"/>
                <w:sz w:val="13"/>
                <w:szCs w:val="13"/>
                <w:color w:val="auto"/>
              </w:rPr>
              <w:t>2018</w:t>
            </w:r>
          </w:p>
        </w:tc>
        <w:tc>
          <w:tcPr>
            <w:tcW w:w="0" w:type="dxa"/>
            <w:vAlign w:val="bottom"/>
          </w:tcPr>
          <w:p>
            <w:pPr>
              <w:spacing w:after="0"/>
              <w:rPr>
                <w:sz w:val="1"/>
                <w:szCs w:val="1"/>
                <w:color w:val="auto"/>
              </w:rPr>
            </w:pPr>
          </w:p>
        </w:tc>
      </w:tr>
      <w:tr>
        <w:trPr>
          <w:trHeight w:val="134"/>
        </w:trPr>
        <w:tc>
          <w:tcPr>
            <w:tcW w:w="3940" w:type="dxa"/>
            <w:vAlign w:val="bottom"/>
            <w:gridSpan w:val="2"/>
            <w:shd w:val="clear" w:color="auto" w:fill="CCEEFF"/>
          </w:tcPr>
          <w:p>
            <w:pPr>
              <w:spacing w:after="0" w:line="134" w:lineRule="exact"/>
              <w:rPr>
                <w:sz w:val="20"/>
                <w:szCs w:val="20"/>
                <w:color w:val="auto"/>
              </w:rPr>
            </w:pPr>
            <w:r>
              <w:rPr>
                <w:rFonts w:ascii="Arial" w:cs="Arial" w:eastAsia="Arial" w:hAnsi="Arial"/>
                <w:sz w:val="13"/>
                <w:szCs w:val="13"/>
                <w:color w:val="auto"/>
              </w:rPr>
              <w:t>SG&amp;A</w:t>
            </w:r>
          </w:p>
        </w:tc>
        <w:tc>
          <w:tcPr>
            <w:tcW w:w="1600" w:type="dxa"/>
            <w:vAlign w:val="bottom"/>
            <w:shd w:val="clear" w:color="auto" w:fill="CCEEFF"/>
          </w:tcPr>
          <w:p>
            <w:pPr>
              <w:jc w:val="right"/>
              <w:ind w:right="635"/>
              <w:spacing w:after="0" w:line="134" w:lineRule="exact"/>
              <w:rPr>
                <w:sz w:val="20"/>
                <w:szCs w:val="20"/>
                <w:color w:val="auto"/>
              </w:rPr>
            </w:pPr>
            <w:r>
              <w:rPr>
                <w:rFonts w:ascii="Arial" w:cs="Arial" w:eastAsia="Arial" w:hAnsi="Arial"/>
                <w:sz w:val="13"/>
                <w:szCs w:val="13"/>
                <w:b w:val="1"/>
                <w:bCs w:val="1"/>
                <w:color w:val="auto"/>
              </w:rPr>
              <w:t>$</w:t>
            </w:r>
          </w:p>
        </w:tc>
        <w:tc>
          <w:tcPr>
            <w:tcW w:w="600" w:type="dxa"/>
            <w:vAlign w:val="bottom"/>
            <w:shd w:val="clear" w:color="auto" w:fill="CCEEFF"/>
          </w:tcPr>
          <w:p>
            <w:pPr>
              <w:jc w:val="right"/>
              <w:ind w:right="175"/>
              <w:spacing w:after="0" w:line="134" w:lineRule="exact"/>
              <w:rPr>
                <w:sz w:val="20"/>
                <w:szCs w:val="20"/>
                <w:color w:val="auto"/>
              </w:rPr>
            </w:pPr>
            <w:r>
              <w:rPr>
                <w:rFonts w:ascii="Arial" w:cs="Arial" w:eastAsia="Arial" w:hAnsi="Arial"/>
                <w:sz w:val="13"/>
                <w:szCs w:val="13"/>
                <w:b w:val="1"/>
                <w:bCs w:val="1"/>
                <w:color w:val="auto"/>
              </w:rPr>
              <w:t>1,587</w:t>
            </w:r>
          </w:p>
        </w:tc>
        <w:tc>
          <w:tcPr>
            <w:tcW w:w="840" w:type="dxa"/>
            <w:vAlign w:val="bottom"/>
            <w:shd w:val="clear" w:color="auto" w:fill="CCEEFF"/>
          </w:tcPr>
          <w:p>
            <w:pPr>
              <w:jc w:val="right"/>
              <w:ind w:right="635"/>
              <w:spacing w:after="0" w:line="134" w:lineRule="exact"/>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ind w:right="155"/>
              <w:spacing w:after="0" w:line="134" w:lineRule="exact"/>
              <w:rPr>
                <w:sz w:val="20"/>
                <w:szCs w:val="20"/>
                <w:color w:val="auto"/>
              </w:rPr>
            </w:pPr>
            <w:r>
              <w:rPr>
                <w:rFonts w:ascii="Arial" w:cs="Arial" w:eastAsia="Arial" w:hAnsi="Arial"/>
                <w:sz w:val="13"/>
                <w:szCs w:val="13"/>
                <w:color w:val="auto"/>
              </w:rPr>
              <w:t>1,650</w:t>
            </w:r>
          </w:p>
        </w:tc>
        <w:tc>
          <w:tcPr>
            <w:tcW w:w="340" w:type="dxa"/>
            <w:vAlign w:val="bottom"/>
            <w:shd w:val="clear" w:color="auto" w:fill="CCEEFF"/>
          </w:tcPr>
          <w:p>
            <w:pPr>
              <w:jc w:val="right"/>
              <w:ind w:right="135"/>
              <w:spacing w:after="0" w:line="134" w:lineRule="exact"/>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55"/>
              <w:spacing w:after="0" w:line="134" w:lineRule="exact"/>
              <w:rPr>
                <w:sz w:val="20"/>
                <w:szCs w:val="20"/>
                <w:color w:val="auto"/>
              </w:rPr>
            </w:pPr>
            <w:r>
              <w:rPr>
                <w:rFonts w:ascii="Arial" w:cs="Arial" w:eastAsia="Arial" w:hAnsi="Arial"/>
                <w:sz w:val="13"/>
                <w:szCs w:val="13"/>
                <w:color w:val="auto"/>
              </w:rPr>
              <w:t>1,614</w:t>
            </w:r>
          </w:p>
        </w:tc>
        <w:tc>
          <w:tcPr>
            <w:tcW w:w="0" w:type="dxa"/>
            <w:vAlign w:val="bottom"/>
          </w:tcPr>
          <w:p>
            <w:pPr>
              <w:spacing w:after="0"/>
              <w:rPr>
                <w:sz w:val="1"/>
                <w:szCs w:val="1"/>
                <w:color w:val="auto"/>
              </w:rPr>
            </w:pPr>
          </w:p>
        </w:tc>
      </w:tr>
      <w:tr>
        <w:trPr>
          <w:trHeight w:val="144"/>
        </w:trPr>
        <w:tc>
          <w:tcPr>
            <w:tcW w:w="3940" w:type="dxa"/>
            <w:vAlign w:val="bottom"/>
            <w:gridSpan w:val="2"/>
          </w:tcPr>
          <w:p>
            <w:pPr>
              <w:spacing w:after="0" w:line="144" w:lineRule="exact"/>
              <w:rPr>
                <w:sz w:val="20"/>
                <w:szCs w:val="20"/>
                <w:color w:val="auto"/>
              </w:rPr>
            </w:pPr>
            <w:r>
              <w:rPr>
                <w:rFonts w:ascii="Arial" w:cs="Arial" w:eastAsia="Arial" w:hAnsi="Arial"/>
                <w:sz w:val="13"/>
                <w:szCs w:val="13"/>
                <w:color w:val="auto"/>
              </w:rPr>
              <w:t>$ Change</w:t>
            </w:r>
          </w:p>
        </w:tc>
        <w:tc>
          <w:tcPr>
            <w:tcW w:w="1600" w:type="dxa"/>
            <w:vAlign w:val="bottom"/>
          </w:tcPr>
          <w:p>
            <w:pPr>
              <w:jc w:val="right"/>
              <w:ind w:right="635"/>
              <w:spacing w:after="0" w:line="144" w:lineRule="exact"/>
              <w:rPr>
                <w:sz w:val="20"/>
                <w:szCs w:val="20"/>
                <w:color w:val="auto"/>
              </w:rPr>
            </w:pPr>
            <w:r>
              <w:rPr>
                <w:rFonts w:ascii="Arial" w:cs="Arial" w:eastAsia="Arial" w:hAnsi="Arial"/>
                <w:sz w:val="13"/>
                <w:szCs w:val="13"/>
                <w:b w:val="1"/>
                <w:bCs w:val="1"/>
                <w:color w:val="auto"/>
              </w:rPr>
              <w:t>$</w:t>
            </w:r>
          </w:p>
        </w:tc>
        <w:tc>
          <w:tcPr>
            <w:tcW w:w="600" w:type="dxa"/>
            <w:vAlign w:val="bottom"/>
          </w:tcPr>
          <w:p>
            <w:pPr>
              <w:jc w:val="right"/>
              <w:ind w:right="135"/>
              <w:spacing w:after="0" w:line="144" w:lineRule="exact"/>
              <w:rPr>
                <w:sz w:val="20"/>
                <w:szCs w:val="20"/>
                <w:color w:val="auto"/>
              </w:rPr>
            </w:pPr>
            <w:r>
              <w:rPr>
                <w:rFonts w:ascii="Arial" w:cs="Arial" w:eastAsia="Arial" w:hAnsi="Arial"/>
                <w:sz w:val="13"/>
                <w:szCs w:val="13"/>
                <w:b w:val="1"/>
                <w:bCs w:val="1"/>
                <w:color w:val="auto"/>
              </w:rPr>
              <w:t>(63)</w:t>
            </w:r>
          </w:p>
        </w:tc>
        <w:tc>
          <w:tcPr>
            <w:tcW w:w="840" w:type="dxa"/>
            <w:vAlign w:val="bottom"/>
          </w:tcPr>
          <w:p>
            <w:pPr>
              <w:jc w:val="right"/>
              <w:ind w:right="635"/>
              <w:spacing w:after="0" w:line="144" w:lineRule="exact"/>
              <w:rPr>
                <w:sz w:val="20"/>
                <w:szCs w:val="20"/>
                <w:color w:val="auto"/>
              </w:rPr>
            </w:pPr>
            <w:r>
              <w:rPr>
                <w:rFonts w:ascii="Arial" w:cs="Arial" w:eastAsia="Arial" w:hAnsi="Arial"/>
                <w:sz w:val="13"/>
                <w:szCs w:val="13"/>
                <w:color w:val="auto"/>
              </w:rPr>
              <w:t>$</w:t>
            </w:r>
          </w:p>
        </w:tc>
        <w:tc>
          <w:tcPr>
            <w:tcW w:w="600" w:type="dxa"/>
            <w:vAlign w:val="bottom"/>
          </w:tcPr>
          <w:p>
            <w:pPr>
              <w:jc w:val="right"/>
              <w:ind w:right="155"/>
              <w:spacing w:after="0" w:line="144" w:lineRule="exact"/>
              <w:rPr>
                <w:sz w:val="20"/>
                <w:szCs w:val="20"/>
                <w:color w:val="auto"/>
              </w:rPr>
            </w:pPr>
            <w:r>
              <w:rPr>
                <w:rFonts w:ascii="Arial" w:cs="Arial" w:eastAsia="Arial" w:hAnsi="Arial"/>
                <w:sz w:val="13"/>
                <w:szCs w:val="13"/>
                <w:color w:val="auto"/>
              </w:rPr>
              <w:t>36</w:t>
            </w:r>
          </w:p>
        </w:tc>
        <w:tc>
          <w:tcPr>
            <w:tcW w:w="340" w:type="dxa"/>
            <w:vAlign w:val="bottom"/>
          </w:tcPr>
          <w:p>
            <w:pPr>
              <w:jc w:val="right"/>
              <w:ind w:right="135"/>
              <w:spacing w:after="0" w:line="144"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255"/>
              <w:spacing w:after="0" w:line="144" w:lineRule="exact"/>
              <w:rPr>
                <w:sz w:val="20"/>
                <w:szCs w:val="20"/>
                <w:color w:val="auto"/>
              </w:rPr>
            </w:pPr>
            <w:r>
              <w:rPr>
                <w:rFonts w:ascii="Arial" w:cs="Arial" w:eastAsia="Arial" w:hAnsi="Arial"/>
                <w:sz w:val="13"/>
                <w:szCs w:val="13"/>
                <w:color w:val="auto"/>
              </w:rPr>
              <w:t>113</w:t>
            </w:r>
          </w:p>
        </w:tc>
        <w:tc>
          <w:tcPr>
            <w:tcW w:w="0" w:type="dxa"/>
            <w:vAlign w:val="bottom"/>
          </w:tcPr>
          <w:p>
            <w:pPr>
              <w:spacing w:after="0"/>
              <w:rPr>
                <w:sz w:val="1"/>
                <w:szCs w:val="1"/>
                <w:color w:val="auto"/>
              </w:rPr>
            </w:pPr>
          </w:p>
        </w:tc>
      </w:tr>
      <w:tr>
        <w:trPr>
          <w:trHeight w:val="144"/>
        </w:trPr>
        <w:tc>
          <w:tcPr>
            <w:tcW w:w="3940" w:type="dxa"/>
            <w:vAlign w:val="bottom"/>
            <w:gridSpan w:val="2"/>
            <w:shd w:val="clear" w:color="auto" w:fill="CCEEFF"/>
          </w:tcPr>
          <w:p>
            <w:pPr>
              <w:spacing w:after="0" w:line="144" w:lineRule="exact"/>
              <w:rPr>
                <w:sz w:val="20"/>
                <w:szCs w:val="20"/>
                <w:color w:val="auto"/>
              </w:rPr>
            </w:pPr>
            <w:r>
              <w:rPr>
                <w:rFonts w:ascii="Arial" w:cs="Arial" w:eastAsia="Arial" w:hAnsi="Arial"/>
                <w:sz w:val="13"/>
                <w:szCs w:val="13"/>
                <w:color w:val="auto"/>
              </w:rPr>
              <w:t>% Change</w:t>
            </w:r>
          </w:p>
        </w:tc>
        <w:tc>
          <w:tcPr>
            <w:tcW w:w="160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5"/>
              <w:spacing w:after="0" w:line="144" w:lineRule="exact"/>
              <w:rPr>
                <w:sz w:val="20"/>
                <w:szCs w:val="20"/>
                <w:color w:val="auto"/>
              </w:rPr>
            </w:pPr>
            <w:r>
              <w:rPr>
                <w:rFonts w:ascii="Arial" w:cs="Arial" w:eastAsia="Arial" w:hAnsi="Arial"/>
                <w:sz w:val="13"/>
                <w:szCs w:val="13"/>
                <w:b w:val="1"/>
                <w:bCs w:val="1"/>
                <w:color w:val="auto"/>
              </w:rPr>
              <w:t>(3.8)%</w:t>
            </w:r>
          </w:p>
        </w:tc>
        <w:tc>
          <w:tcPr>
            <w:tcW w:w="84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15"/>
              <w:spacing w:after="0" w:line="144" w:lineRule="exact"/>
              <w:rPr>
                <w:sz w:val="20"/>
                <w:szCs w:val="20"/>
                <w:color w:val="auto"/>
              </w:rPr>
            </w:pPr>
            <w:r>
              <w:rPr>
                <w:rFonts w:ascii="Arial" w:cs="Arial" w:eastAsia="Arial" w:hAnsi="Arial"/>
                <w:sz w:val="13"/>
                <w:szCs w:val="13"/>
                <w:color w:val="auto"/>
              </w:rPr>
              <w:t>2.2 %</w:t>
            </w: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95"/>
              <w:spacing w:after="0" w:line="144" w:lineRule="exact"/>
              <w:rPr>
                <w:sz w:val="20"/>
                <w:szCs w:val="20"/>
                <w:color w:val="auto"/>
              </w:rPr>
            </w:pPr>
            <w:r>
              <w:rPr>
                <w:rFonts w:ascii="Arial" w:cs="Arial" w:eastAsia="Arial" w:hAnsi="Arial"/>
                <w:sz w:val="13"/>
                <w:szCs w:val="13"/>
                <w:color w:val="auto"/>
              </w:rPr>
              <w:t>7.5 %</w:t>
            </w:r>
          </w:p>
        </w:tc>
        <w:tc>
          <w:tcPr>
            <w:tcW w:w="0" w:type="dxa"/>
            <w:vAlign w:val="bottom"/>
          </w:tcPr>
          <w:p>
            <w:pPr>
              <w:spacing w:after="0"/>
              <w:rPr>
                <w:sz w:val="1"/>
                <w:szCs w:val="1"/>
                <w:color w:val="auto"/>
              </w:rPr>
            </w:pPr>
          </w:p>
        </w:tc>
      </w:tr>
      <w:tr>
        <w:trPr>
          <w:trHeight w:val="144"/>
        </w:trPr>
        <w:tc>
          <w:tcPr>
            <w:tcW w:w="3940" w:type="dxa"/>
            <w:vAlign w:val="bottom"/>
            <w:tcBorders>
              <w:bottom w:val="single" w:sz="8" w:color="auto"/>
            </w:tcBorders>
            <w:gridSpan w:val="2"/>
          </w:tcPr>
          <w:p>
            <w:pPr>
              <w:spacing w:after="0" w:line="144" w:lineRule="exact"/>
              <w:rPr>
                <w:sz w:val="20"/>
                <w:szCs w:val="20"/>
                <w:color w:val="auto"/>
              </w:rPr>
            </w:pPr>
            <w:r>
              <w:rPr>
                <w:rFonts w:ascii="Arial" w:cs="Arial" w:eastAsia="Arial" w:hAnsi="Arial"/>
                <w:sz w:val="13"/>
                <w:szCs w:val="13"/>
                <w:color w:val="auto"/>
              </w:rPr>
              <w:t>SG&amp;A as a percentage of sales</w:t>
            </w:r>
          </w:p>
        </w:tc>
        <w:tc>
          <w:tcPr>
            <w:tcW w:w="16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
              <w:spacing w:after="0" w:line="144" w:lineRule="exact"/>
              <w:rPr>
                <w:sz w:val="20"/>
                <w:szCs w:val="20"/>
                <w:color w:val="auto"/>
              </w:rPr>
            </w:pPr>
            <w:r>
              <w:rPr>
                <w:rFonts w:ascii="Arial" w:cs="Arial" w:eastAsia="Arial" w:hAnsi="Arial"/>
                <w:sz w:val="13"/>
                <w:szCs w:val="13"/>
                <w:b w:val="1"/>
                <w:bCs w:val="1"/>
                <w:color w:val="auto"/>
              </w:rPr>
              <w:t>21.0 %</w:t>
            </w:r>
          </w:p>
        </w:tc>
        <w:tc>
          <w:tcPr>
            <w:tcW w:w="8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
              <w:spacing w:after="0" w:line="144" w:lineRule="exact"/>
              <w:rPr>
                <w:sz w:val="20"/>
                <w:szCs w:val="20"/>
                <w:color w:val="auto"/>
              </w:rPr>
            </w:pPr>
            <w:r>
              <w:rPr>
                <w:rFonts w:ascii="Arial" w:cs="Arial" w:eastAsia="Arial" w:hAnsi="Arial"/>
                <w:sz w:val="13"/>
                <w:szCs w:val="13"/>
                <w:color w:val="auto"/>
              </w:rPr>
              <w:t>20.6 %</w:t>
            </w:r>
          </w:p>
        </w:tc>
        <w:tc>
          <w:tcPr>
            <w:tcW w:w="3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95"/>
              <w:spacing w:after="0" w:line="144" w:lineRule="exact"/>
              <w:rPr>
                <w:sz w:val="20"/>
                <w:szCs w:val="20"/>
                <w:color w:val="auto"/>
              </w:rPr>
            </w:pPr>
            <w:r>
              <w:rPr>
                <w:rFonts w:ascii="Arial" w:cs="Arial" w:eastAsia="Arial" w:hAnsi="Arial"/>
                <w:sz w:val="13"/>
                <w:szCs w:val="13"/>
                <w:color w:val="auto"/>
              </w:rPr>
              <w:t>20.3 %</w:t>
            </w:r>
          </w:p>
        </w:tc>
        <w:tc>
          <w:tcPr>
            <w:tcW w:w="0" w:type="dxa"/>
            <w:vAlign w:val="bottom"/>
          </w:tcPr>
          <w:p>
            <w:pPr>
              <w:spacing w:after="0"/>
              <w:rPr>
                <w:sz w:val="1"/>
                <w:szCs w:val="1"/>
                <w:color w:val="auto"/>
              </w:rPr>
            </w:pPr>
          </w:p>
        </w:tc>
      </w:tr>
    </w:tbl>
    <w:p>
      <w:pPr>
        <w:spacing w:after="0" w:line="129" w:lineRule="exact"/>
        <w:rPr>
          <w:sz w:val="20"/>
          <w:szCs w:val="20"/>
          <w:color w:val="auto"/>
        </w:rPr>
      </w:pPr>
    </w:p>
    <w:p>
      <w:pPr>
        <w:jc w:val="both"/>
        <w:ind w:right="39"/>
        <w:spacing w:after="0" w:line="236" w:lineRule="auto"/>
        <w:rPr>
          <w:sz w:val="20"/>
          <w:szCs w:val="20"/>
          <w:color w:val="auto"/>
        </w:rPr>
      </w:pPr>
      <w:r>
        <w:rPr>
          <w:rFonts w:ascii="Arial" w:cs="Arial" w:eastAsia="Arial" w:hAnsi="Arial"/>
          <w:sz w:val="13"/>
          <w:szCs w:val="13"/>
          <w:color w:val="auto"/>
        </w:rPr>
        <w:t>SG&amp;A decreased by $63 million, or 3.8 percent, in 2020, as compared with the prior year. As a percentage of sales, the SG&amp;A rate increased by 40 basis points as compared with 2019. Excluding the effect of foreign currency fluctuations, SG&amp;A decreased by $78 million, or 4.7 percent, as compared with the prior year.</w:t>
      </w:r>
    </w:p>
    <w:p>
      <w:pPr>
        <w:spacing w:after="0" w:line="113" w:lineRule="exact"/>
        <w:rPr>
          <w:sz w:val="20"/>
          <w:szCs w:val="20"/>
          <w:color w:val="auto"/>
        </w:rPr>
      </w:pPr>
    </w:p>
    <w:p>
      <w:pPr>
        <w:jc w:val="both"/>
        <w:ind w:right="39"/>
        <w:spacing w:after="0" w:line="236" w:lineRule="auto"/>
        <w:rPr>
          <w:sz w:val="20"/>
          <w:szCs w:val="20"/>
          <w:color w:val="auto"/>
        </w:rPr>
      </w:pPr>
      <w:r>
        <w:rPr>
          <w:rFonts w:ascii="Arial" w:cs="Arial" w:eastAsia="Arial" w:hAnsi="Arial"/>
          <w:sz w:val="13"/>
          <w:szCs w:val="13"/>
          <w:color w:val="auto"/>
        </w:rPr>
        <w:t>SG&amp;A included CARES Act retention credits and similar governmental subsidies of $71 million, as we continued to pay our employees throughout most of the first quarter despite the temporary store closures. We also incurred incremental expenses of $14 million for personal protective equipment. We carefully managed expenses by reducing spending in all areas of the business, including marketing and travel, among other categories.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Depreciation and Amortization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2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 in millions)</w:t>
            </w:r>
          </w:p>
        </w:tc>
        <w:tc>
          <w:tcPr>
            <w:tcW w:w="17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75"/>
              <w:spacing w:after="0"/>
              <w:rPr>
                <w:sz w:val="20"/>
                <w:szCs w:val="20"/>
                <w:color w:val="auto"/>
              </w:rPr>
            </w:pPr>
            <w:r>
              <w:rPr>
                <w:rFonts w:ascii="Arial" w:cs="Arial" w:eastAsia="Arial" w:hAnsi="Arial"/>
                <w:sz w:val="13"/>
                <w:szCs w:val="13"/>
                <w:b w:val="1"/>
                <w:bCs w:val="1"/>
                <w:color w:val="auto"/>
              </w:rPr>
              <w:t>2020</w:t>
            </w: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75"/>
              <w:spacing w:after="0"/>
              <w:rPr>
                <w:sz w:val="20"/>
                <w:szCs w:val="20"/>
                <w:color w:val="auto"/>
              </w:rPr>
            </w:pPr>
            <w:r>
              <w:rPr>
                <w:rFonts w:ascii="Arial" w:cs="Arial" w:eastAsia="Arial" w:hAnsi="Arial"/>
                <w:sz w:val="13"/>
                <w:szCs w:val="13"/>
                <w:color w:val="auto"/>
              </w:rPr>
              <w:t>2019</w:t>
            </w: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55"/>
              <w:spacing w:after="0"/>
              <w:rPr>
                <w:sz w:val="20"/>
                <w:szCs w:val="20"/>
                <w:color w:val="auto"/>
              </w:rPr>
            </w:pPr>
            <w:r>
              <w:rPr>
                <w:rFonts w:ascii="Arial" w:cs="Arial" w:eastAsia="Arial" w:hAnsi="Arial"/>
                <w:sz w:val="13"/>
                <w:szCs w:val="13"/>
                <w:color w:val="auto"/>
              </w:rPr>
              <w:t>2018</w:t>
            </w:r>
          </w:p>
        </w:tc>
      </w:tr>
      <w:tr>
        <w:trPr>
          <w:trHeight w:val="134"/>
        </w:trPr>
        <w:tc>
          <w:tcPr>
            <w:tcW w:w="324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Depreciation and amortization</w:t>
            </w:r>
          </w:p>
        </w:tc>
        <w:tc>
          <w:tcPr>
            <w:tcW w:w="1780" w:type="dxa"/>
            <w:vAlign w:val="bottom"/>
            <w:shd w:val="clear" w:color="auto" w:fill="CCEEFF"/>
          </w:tcPr>
          <w:p>
            <w:pPr>
              <w:jc w:val="right"/>
              <w:ind w:right="115"/>
              <w:spacing w:after="0" w:line="134" w:lineRule="exact"/>
              <w:rPr>
                <w:sz w:val="20"/>
                <w:szCs w:val="20"/>
                <w:color w:val="auto"/>
              </w:rPr>
            </w:pPr>
            <w:r>
              <w:rPr>
                <w:rFonts w:ascii="Arial" w:cs="Arial" w:eastAsia="Arial" w:hAnsi="Arial"/>
                <w:sz w:val="13"/>
                <w:szCs w:val="13"/>
                <w:b w:val="1"/>
                <w:bCs w:val="1"/>
                <w:color w:val="auto"/>
              </w:rPr>
              <w:t>$</w:t>
            </w:r>
          </w:p>
        </w:tc>
        <w:tc>
          <w:tcPr>
            <w:tcW w:w="1120" w:type="dxa"/>
            <w:vAlign w:val="bottom"/>
            <w:shd w:val="clear" w:color="auto" w:fill="CCEEFF"/>
          </w:tcPr>
          <w:p>
            <w:pPr>
              <w:jc w:val="right"/>
              <w:ind w:right="175"/>
              <w:spacing w:after="0" w:line="134" w:lineRule="exact"/>
              <w:rPr>
                <w:sz w:val="20"/>
                <w:szCs w:val="20"/>
                <w:color w:val="auto"/>
              </w:rPr>
            </w:pPr>
            <w:r>
              <w:rPr>
                <w:rFonts w:ascii="Arial" w:cs="Arial" w:eastAsia="Arial" w:hAnsi="Arial"/>
                <w:sz w:val="13"/>
                <w:szCs w:val="13"/>
                <w:b w:val="1"/>
                <w:bCs w:val="1"/>
                <w:color w:val="auto"/>
              </w:rPr>
              <w:t>176</w:t>
            </w:r>
          </w:p>
        </w:tc>
        <w:tc>
          <w:tcPr>
            <w:tcW w:w="320" w:type="dxa"/>
            <w:vAlign w:val="bottom"/>
            <w:shd w:val="clear" w:color="auto" w:fill="CCEEFF"/>
          </w:tcPr>
          <w:p>
            <w:pPr>
              <w:jc w:val="right"/>
              <w:ind w:right="115"/>
              <w:spacing w:after="0" w:line="134" w:lineRule="exact"/>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155"/>
              <w:spacing w:after="0" w:line="134" w:lineRule="exact"/>
              <w:rPr>
                <w:sz w:val="20"/>
                <w:szCs w:val="20"/>
                <w:color w:val="auto"/>
              </w:rPr>
            </w:pPr>
            <w:r>
              <w:rPr>
                <w:rFonts w:ascii="Arial" w:cs="Arial" w:eastAsia="Arial" w:hAnsi="Arial"/>
                <w:sz w:val="13"/>
                <w:szCs w:val="13"/>
                <w:color w:val="auto"/>
              </w:rPr>
              <w:t>179</w:t>
            </w:r>
          </w:p>
        </w:tc>
        <w:tc>
          <w:tcPr>
            <w:tcW w:w="340" w:type="dxa"/>
            <w:vAlign w:val="bottom"/>
            <w:shd w:val="clear" w:color="auto" w:fill="CCEEFF"/>
          </w:tcPr>
          <w:p>
            <w:pPr>
              <w:jc w:val="right"/>
              <w:ind w:right="135"/>
              <w:spacing w:after="0" w:line="134" w:lineRule="exact"/>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ind w:right="255"/>
              <w:spacing w:after="0" w:line="134" w:lineRule="exact"/>
              <w:rPr>
                <w:sz w:val="20"/>
                <w:szCs w:val="20"/>
                <w:color w:val="auto"/>
              </w:rPr>
            </w:pPr>
            <w:r>
              <w:rPr>
                <w:rFonts w:ascii="Arial" w:cs="Arial" w:eastAsia="Arial" w:hAnsi="Arial"/>
                <w:sz w:val="13"/>
                <w:szCs w:val="13"/>
                <w:color w:val="auto"/>
              </w:rPr>
              <w:t>178</w:t>
            </w:r>
          </w:p>
        </w:tc>
      </w:tr>
      <w:tr>
        <w:trPr>
          <w:trHeight w:val="144"/>
        </w:trPr>
        <w:tc>
          <w:tcPr>
            <w:tcW w:w="3240" w:type="dxa"/>
            <w:vAlign w:val="bottom"/>
          </w:tcPr>
          <w:p>
            <w:pPr>
              <w:spacing w:after="0" w:line="144" w:lineRule="exact"/>
              <w:rPr>
                <w:sz w:val="20"/>
                <w:szCs w:val="20"/>
                <w:color w:val="auto"/>
              </w:rPr>
            </w:pPr>
            <w:r>
              <w:rPr>
                <w:rFonts w:ascii="Arial" w:cs="Arial" w:eastAsia="Arial" w:hAnsi="Arial"/>
                <w:sz w:val="13"/>
                <w:szCs w:val="13"/>
                <w:color w:val="auto"/>
              </w:rPr>
              <w:t>$ Change</w:t>
            </w:r>
          </w:p>
        </w:tc>
        <w:tc>
          <w:tcPr>
            <w:tcW w:w="1780" w:type="dxa"/>
            <w:vAlign w:val="bottom"/>
          </w:tcPr>
          <w:p>
            <w:pPr>
              <w:jc w:val="right"/>
              <w:ind w:right="115"/>
              <w:spacing w:after="0" w:line="144" w:lineRule="exact"/>
              <w:rPr>
                <w:sz w:val="20"/>
                <w:szCs w:val="20"/>
                <w:color w:val="auto"/>
              </w:rPr>
            </w:pPr>
            <w:r>
              <w:rPr>
                <w:rFonts w:ascii="Arial" w:cs="Arial" w:eastAsia="Arial" w:hAnsi="Arial"/>
                <w:sz w:val="13"/>
                <w:szCs w:val="13"/>
                <w:b w:val="1"/>
                <w:bCs w:val="1"/>
                <w:color w:val="auto"/>
              </w:rPr>
              <w:t>$</w:t>
            </w:r>
          </w:p>
        </w:tc>
        <w:tc>
          <w:tcPr>
            <w:tcW w:w="1120" w:type="dxa"/>
            <w:vAlign w:val="bottom"/>
          </w:tcPr>
          <w:p>
            <w:pPr>
              <w:jc w:val="right"/>
              <w:ind w:right="135"/>
              <w:spacing w:after="0" w:line="144" w:lineRule="exact"/>
              <w:rPr>
                <w:sz w:val="20"/>
                <w:szCs w:val="20"/>
                <w:color w:val="auto"/>
              </w:rPr>
            </w:pPr>
            <w:r>
              <w:rPr>
                <w:rFonts w:ascii="Arial" w:cs="Arial" w:eastAsia="Arial" w:hAnsi="Arial"/>
                <w:sz w:val="13"/>
                <w:szCs w:val="13"/>
                <w:b w:val="1"/>
                <w:bCs w:val="1"/>
                <w:color w:val="auto"/>
              </w:rPr>
              <w:t>(3)</w:t>
            </w:r>
          </w:p>
        </w:tc>
        <w:tc>
          <w:tcPr>
            <w:tcW w:w="320" w:type="dxa"/>
            <w:vAlign w:val="bottom"/>
          </w:tcPr>
          <w:p>
            <w:pPr>
              <w:jc w:val="right"/>
              <w:ind w:right="115"/>
              <w:spacing w:after="0" w:line="144" w:lineRule="exact"/>
              <w:rPr>
                <w:sz w:val="20"/>
                <w:szCs w:val="20"/>
                <w:color w:val="auto"/>
              </w:rPr>
            </w:pPr>
            <w:r>
              <w:rPr>
                <w:rFonts w:ascii="Arial" w:cs="Arial" w:eastAsia="Arial" w:hAnsi="Arial"/>
                <w:sz w:val="13"/>
                <w:szCs w:val="13"/>
                <w:color w:val="auto"/>
              </w:rPr>
              <w:t>$</w:t>
            </w:r>
          </w:p>
        </w:tc>
        <w:tc>
          <w:tcPr>
            <w:tcW w:w="1120" w:type="dxa"/>
            <w:vAlign w:val="bottom"/>
          </w:tcPr>
          <w:p>
            <w:pPr>
              <w:jc w:val="right"/>
              <w:ind w:right="155"/>
              <w:spacing w:after="0" w:line="144" w:lineRule="exact"/>
              <w:rPr>
                <w:sz w:val="20"/>
                <w:szCs w:val="20"/>
                <w:color w:val="auto"/>
              </w:rPr>
            </w:pPr>
            <w:r>
              <w:rPr>
                <w:rFonts w:ascii="Arial" w:cs="Arial" w:eastAsia="Arial" w:hAnsi="Arial"/>
                <w:sz w:val="13"/>
                <w:szCs w:val="13"/>
                <w:color w:val="auto"/>
              </w:rPr>
              <w:t>1</w:t>
            </w:r>
          </w:p>
        </w:tc>
        <w:tc>
          <w:tcPr>
            <w:tcW w:w="340" w:type="dxa"/>
            <w:vAlign w:val="bottom"/>
          </w:tcPr>
          <w:p>
            <w:pPr>
              <w:jc w:val="right"/>
              <w:ind w:right="135"/>
              <w:spacing w:after="0" w:line="144"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255"/>
              <w:spacing w:after="0" w:line="144" w:lineRule="exact"/>
              <w:rPr>
                <w:sz w:val="20"/>
                <w:szCs w:val="20"/>
                <w:color w:val="auto"/>
              </w:rPr>
            </w:pPr>
            <w:r>
              <w:rPr>
                <w:rFonts w:ascii="Arial" w:cs="Arial" w:eastAsia="Arial" w:hAnsi="Arial"/>
                <w:sz w:val="13"/>
                <w:szCs w:val="13"/>
                <w:color w:val="auto"/>
              </w:rPr>
              <w:t>5</w:t>
            </w:r>
          </w:p>
        </w:tc>
      </w:tr>
      <w:tr>
        <w:trPr>
          <w:trHeight w:val="144"/>
        </w:trPr>
        <w:tc>
          <w:tcPr>
            <w:tcW w:w="3240" w:type="dxa"/>
            <w:vAlign w:val="bottom"/>
            <w:tcBorders>
              <w:bottom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rPr>
              <w:t>% Change</w:t>
            </w:r>
          </w:p>
        </w:tc>
        <w:tc>
          <w:tcPr>
            <w:tcW w:w="178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15"/>
              <w:spacing w:after="0" w:line="144" w:lineRule="exact"/>
              <w:rPr>
                <w:sz w:val="20"/>
                <w:szCs w:val="20"/>
                <w:color w:val="auto"/>
              </w:rPr>
            </w:pPr>
            <w:r>
              <w:rPr>
                <w:rFonts w:ascii="Arial" w:cs="Arial" w:eastAsia="Arial" w:hAnsi="Arial"/>
                <w:sz w:val="13"/>
                <w:szCs w:val="13"/>
                <w:b w:val="1"/>
                <w:bCs w:val="1"/>
                <w:color w:val="auto"/>
              </w:rPr>
              <w:t>(1.7)%</w:t>
            </w:r>
          </w:p>
        </w:tc>
        <w:tc>
          <w:tcPr>
            <w:tcW w:w="3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15"/>
              <w:spacing w:after="0" w:line="144" w:lineRule="exact"/>
              <w:rPr>
                <w:sz w:val="20"/>
                <w:szCs w:val="20"/>
                <w:color w:val="auto"/>
              </w:rPr>
            </w:pPr>
            <w:r>
              <w:rPr>
                <w:rFonts w:ascii="Arial" w:cs="Arial" w:eastAsia="Arial" w:hAnsi="Arial"/>
                <w:sz w:val="13"/>
                <w:szCs w:val="13"/>
                <w:color w:val="auto"/>
              </w:rPr>
              <w:t>0.6 %</w:t>
            </w:r>
          </w:p>
        </w:tc>
        <w:tc>
          <w:tcPr>
            <w:tcW w:w="34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ind w:right="95"/>
              <w:spacing w:after="0" w:line="144" w:lineRule="exact"/>
              <w:rPr>
                <w:sz w:val="20"/>
                <w:szCs w:val="20"/>
                <w:color w:val="auto"/>
              </w:rPr>
            </w:pPr>
            <w:r>
              <w:rPr>
                <w:rFonts w:ascii="Arial" w:cs="Arial" w:eastAsia="Arial" w:hAnsi="Arial"/>
                <w:sz w:val="13"/>
                <w:szCs w:val="13"/>
                <w:color w:val="auto"/>
              </w:rPr>
              <w:t>2.9 %</w:t>
            </w:r>
          </w:p>
        </w:tc>
      </w:tr>
    </w:tbl>
    <w:p>
      <w:pPr>
        <w:spacing w:after="0" w:line="139" w:lineRule="exact"/>
        <w:rPr>
          <w:sz w:val="20"/>
          <w:szCs w:val="20"/>
          <w:color w:val="auto"/>
        </w:rPr>
      </w:pPr>
    </w:p>
    <w:p>
      <w:pPr>
        <w:ind w:left="7660"/>
        <w:spacing w:after="0"/>
        <w:rPr>
          <w:sz w:val="20"/>
          <w:szCs w:val="20"/>
          <w:color w:val="auto"/>
        </w:rPr>
      </w:pPr>
      <w:r>
        <w:rPr>
          <w:rFonts w:ascii="Arial" w:cs="Arial" w:eastAsia="Arial" w:hAnsi="Arial"/>
          <w:sz w:val="12"/>
          <w:szCs w:val="12"/>
          <w:color w:val="auto"/>
        </w:rPr>
        <w:t>2020 Form 10-K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365125</wp:posOffset>
            </wp:positionV>
            <wp:extent cx="5790565" cy="13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90565" cy="13335"/>
                    </a:xfrm>
                    <a:prstGeom prst="rect">
                      <a:avLst/>
                    </a:prstGeom>
                    <a:noFill/>
                  </pic:spPr>
                </pic:pic>
              </a:graphicData>
            </a:graphic>
          </wp:anchor>
        </w:drawing>
      </w:r>
    </w:p>
    <w:p>
      <w:pPr>
        <w:sectPr>
          <w:pgSz w:w="11900" w:h="16838" w:orient="portrait"/>
          <w:cols w:equalWidth="0" w:num="1">
            <w:col w:w="9159"/>
          </w:cols>
          <w:pgMar w:left="1300" w:top="678" w:right="1440" w:bottom="1440" w:gutter="0" w:footer="0" w:header="0"/>
        </w:sectPr>
      </w:pPr>
    </w:p>
    <w:bookmarkStart w:id="27" w:name="page28"/>
    <w:bookmarkEnd w:id="27"/>
    <w:p>
      <w:pPr>
        <w:jc w:val="both"/>
        <w:ind w:right="39"/>
        <w:spacing w:after="0" w:line="236" w:lineRule="auto"/>
        <w:rPr>
          <w:sz w:val="20"/>
          <w:szCs w:val="20"/>
          <w:color w:val="auto"/>
        </w:rPr>
      </w:pPr>
      <w:r>
        <w:rPr>
          <w:rFonts w:ascii="Arial" w:cs="Arial" w:eastAsia="Arial" w:hAnsi="Arial"/>
          <w:sz w:val="13"/>
          <w:szCs w:val="13"/>
          <w:color w:val="auto"/>
        </w:rPr>
        <w:t>Capital expenditures were reduced at the onset of the COVID-19 pandemic and this contributed to the $3 million reduction in depreciation and amortization in 2020 as compared with 2019. Excluding the effect of foreign currency fluctuations, depreciation and amortization decreased by $5 million as compared with the prior year.</w:t>
      </w: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Operating Results</w:t>
      </w:r>
    </w:p>
    <w:p>
      <w:pPr>
        <w:spacing w:after="0" w:line="152" w:lineRule="exact"/>
        <w:rPr>
          <w:sz w:val="20"/>
          <w:szCs w:val="20"/>
          <w:color w:val="auto"/>
        </w:rPr>
      </w:pPr>
    </w:p>
    <w:p>
      <w:pPr>
        <w:jc w:val="both"/>
        <w:ind w:right="39"/>
        <w:spacing w:after="0" w:line="236" w:lineRule="auto"/>
        <w:rPr>
          <w:sz w:val="20"/>
          <w:szCs w:val="20"/>
          <w:color w:val="auto"/>
        </w:rPr>
      </w:pPr>
      <w:r>
        <w:rPr>
          <w:rFonts w:ascii="Arial" w:cs="Arial" w:eastAsia="Arial" w:hAnsi="Arial"/>
          <w:sz w:val="13"/>
          <w:szCs w:val="13"/>
          <w:color w:val="auto"/>
        </w:rPr>
        <w:t>Division profit was $491 million, or 6.5 percent of sales in 2020. This compares with $788 million, or 9.8 percent of sales, for the prior year. The decline was from our stores channel and was partially offset by an increase in our direct-to-customers channel. Our direct-to-customers channel improved its gross margins and both channels significantly reduced operating costs as mitigation for the loss of sales caused by the COVID-19 pandemic.</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Impairment and Other Charges</w:t>
      </w:r>
    </w:p>
    <w:p>
      <w:pPr>
        <w:spacing w:after="0" w:line="141" w:lineRule="exact"/>
        <w:rPr>
          <w:sz w:val="20"/>
          <w:szCs w:val="20"/>
          <w:color w:val="auto"/>
        </w:rPr>
      </w:pPr>
    </w:p>
    <w:p>
      <w:pPr>
        <w:jc w:val="both"/>
        <w:ind w:right="39"/>
        <w:spacing w:after="0" w:line="233" w:lineRule="auto"/>
        <w:rPr>
          <w:sz w:val="20"/>
          <w:szCs w:val="20"/>
          <w:color w:val="auto"/>
        </w:rPr>
      </w:pPr>
      <w:r>
        <w:rPr>
          <w:rFonts w:ascii="Arial" w:cs="Arial" w:eastAsia="Arial" w:hAnsi="Arial"/>
          <w:sz w:val="13"/>
          <w:szCs w:val="13"/>
          <w:color w:val="auto"/>
        </w:rPr>
        <w:t>Due to COVID-19 and its effect on our actual and projected results, during the first quarter of 2020 we determined that a triggering event occurred for certain underperforming stores operating in Europe and, therefore, we conducted an impairment review. We evaluated the long-lived assets, including the right-of-use assets, and recorded non-cash charges of $15 million to write down store fixtures, leasehold improvements, and right-of-use assets of 70 stores. During the fourth quarter of 2020, we conducted an additional impairment review for approximately 90 underperforming stores. We evaluated the long-lived assets, including the right-of-use assets and recorded non-cash charges of $62 million to write down store fixtures, leasehold improvements, and right-of-use assets for approximately 60 of those stores.</w:t>
      </w:r>
    </w:p>
    <w:p>
      <w:pPr>
        <w:spacing w:after="0" w:line="124" w:lineRule="exact"/>
        <w:rPr>
          <w:sz w:val="20"/>
          <w:szCs w:val="20"/>
          <w:color w:val="auto"/>
        </w:rPr>
      </w:pPr>
    </w:p>
    <w:p>
      <w:pPr>
        <w:jc w:val="both"/>
        <w:ind w:right="39"/>
        <w:spacing w:after="0" w:line="233" w:lineRule="auto"/>
        <w:rPr>
          <w:sz w:val="20"/>
          <w:szCs w:val="20"/>
          <w:color w:val="auto"/>
        </w:rPr>
      </w:pPr>
      <w:r>
        <w:rPr>
          <w:rFonts w:ascii="Arial" w:cs="Arial" w:eastAsia="Arial" w:hAnsi="Arial"/>
          <w:sz w:val="13"/>
          <w:szCs w:val="13"/>
          <w:color w:val="auto"/>
        </w:rPr>
        <w:t>Losses related to social unrest represented inventory losses, damages to store property, repairs, and other costs incurred in connection with the riots that affected certain parts of the United States and Canada during 2020 and resulted in a loss of $18 million. Approximately 140 stores were damaged due to the unrest. The total charge included inventory losses of $15 million, damages to store property of $1 million, and repairs and other costs of $2 million. During the fourth quarter, we recorded a partial insurance recovery of $10 million. We are continuing to work with our insurers to determine the remaining amount of our covered losses under our property insurance policy. Additional insurance recoveries will be recorded in the period in which we conclude our settlement discussions with our insurance providers.</w:t>
      </w:r>
    </w:p>
    <w:p>
      <w:pPr>
        <w:spacing w:after="0" w:line="114" w:lineRule="exact"/>
        <w:rPr>
          <w:sz w:val="20"/>
          <w:szCs w:val="20"/>
          <w:color w:val="auto"/>
        </w:rPr>
      </w:pPr>
    </w:p>
    <w:p>
      <w:pPr>
        <w:jc w:val="both"/>
        <w:ind w:right="39"/>
        <w:spacing w:after="0" w:line="234" w:lineRule="auto"/>
        <w:rPr>
          <w:sz w:val="20"/>
          <w:szCs w:val="20"/>
          <w:color w:val="auto"/>
        </w:rPr>
      </w:pPr>
      <w:r>
        <w:rPr>
          <w:rFonts w:ascii="Arial" w:cs="Arial" w:eastAsia="Arial" w:hAnsi="Arial"/>
          <w:sz w:val="13"/>
          <w:szCs w:val="13"/>
          <w:color w:val="auto"/>
        </w:rPr>
        <w:t>In May 2020, we made the strategic decision to shut down our Runners Point business and to consolidate our Sidestep support staff into our other operations in Europe. Also, as part of the next phase of the Champs Sports and Eastbay strategic initiative, we restructured positions and aligned several functions across the banners and consolidated certain Eastbay operations into Champs Sports. We recorded charges of $19 million related to the shutdown of the Runners Point business and $3 million related to the reorganization associated with Eastbay. We also recorded a charge of $4 million in connection with the reorganization of certain support functions and supply chain operations within our EMEA segment.</w:t>
      </w:r>
    </w:p>
    <w:p>
      <w:pPr>
        <w:spacing w:after="0" w:line="123" w:lineRule="exact"/>
        <w:rPr>
          <w:sz w:val="20"/>
          <w:szCs w:val="20"/>
          <w:color w:val="auto"/>
        </w:rPr>
      </w:pPr>
    </w:p>
    <w:p>
      <w:pPr>
        <w:jc w:val="both"/>
        <w:ind w:right="39"/>
        <w:spacing w:after="0"/>
        <w:rPr>
          <w:sz w:val="20"/>
          <w:szCs w:val="20"/>
          <w:color w:val="auto"/>
        </w:rPr>
      </w:pPr>
      <w:r>
        <w:rPr>
          <w:rFonts w:ascii="Arial" w:cs="Arial" w:eastAsia="Arial" w:hAnsi="Arial"/>
          <w:sz w:val="13"/>
          <w:szCs w:val="13"/>
          <w:color w:val="auto"/>
        </w:rPr>
        <w:t>During 2020, we recorded charges totaling $4 million related to the write-down of one of our minority investments and we incurred $2 million related to the pension matter and related plan reformation.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00" w:type="dxa"/>
            <w:vAlign w:val="bottom"/>
            <w:gridSpan w:val="2"/>
          </w:tcPr>
          <w:p>
            <w:pPr>
              <w:spacing w:after="0"/>
              <w:rPr>
                <w:sz w:val="20"/>
                <w:szCs w:val="20"/>
                <w:color w:val="auto"/>
              </w:rPr>
            </w:pPr>
            <w:r>
              <w:rPr>
                <w:rFonts w:ascii="Arial" w:cs="Arial" w:eastAsia="Arial" w:hAnsi="Arial"/>
                <w:sz w:val="13"/>
                <w:szCs w:val="13"/>
                <w:color w:val="auto"/>
              </w:rPr>
              <w:t xml:space="preserve">See Note 3, </w:t>
            </w:r>
            <w:r>
              <w:rPr>
                <w:rFonts w:ascii="Arial" w:cs="Arial" w:eastAsia="Arial" w:hAnsi="Arial"/>
                <w:sz w:val="13"/>
                <w:szCs w:val="13"/>
                <w:i w:val="1"/>
                <w:iCs w:val="1"/>
                <w:color w:val="auto"/>
              </w:rPr>
              <w:t>Impairment and Other Charges</w:t>
            </w:r>
            <w:r>
              <w:rPr>
                <w:rFonts w:ascii="Arial" w:cs="Arial" w:eastAsia="Arial" w:hAnsi="Arial"/>
                <w:sz w:val="13"/>
                <w:szCs w:val="13"/>
                <w:color w:val="auto"/>
              </w:rPr>
              <w:t xml:space="preserve"> for additional information.</w:t>
            </w:r>
          </w:p>
        </w:tc>
        <w:tc>
          <w:tcPr>
            <w:tcW w:w="1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12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w w:val="98"/>
              </w:rPr>
              <w:t>Corporate Expense</w:t>
            </w:r>
          </w:p>
        </w:tc>
        <w:tc>
          <w:tcPr>
            <w:tcW w:w="3380" w:type="dxa"/>
            <w:vAlign w:val="bottom"/>
          </w:tcPr>
          <w:p>
            <w:pPr>
              <w:spacing w:after="0"/>
              <w:rPr>
                <w:sz w:val="21"/>
                <w:szCs w:val="21"/>
                <w:color w:val="auto"/>
              </w:rPr>
            </w:pPr>
          </w:p>
        </w:tc>
        <w:tc>
          <w:tcPr>
            <w:tcW w:w="1400" w:type="dxa"/>
            <w:vAlign w:val="bottom"/>
            <w:vMerge w:val="restart"/>
          </w:tcPr>
          <w:p>
            <w:pPr>
              <w:jc w:val="right"/>
              <w:ind w:right="75"/>
              <w:spacing w:after="0"/>
              <w:rPr>
                <w:sz w:val="20"/>
                <w:szCs w:val="20"/>
                <w:color w:val="auto"/>
              </w:rPr>
            </w:pPr>
            <w:r>
              <w:rPr>
                <w:rFonts w:ascii="Arial" w:cs="Arial" w:eastAsia="Arial" w:hAnsi="Arial"/>
                <w:sz w:val="13"/>
                <w:szCs w:val="13"/>
                <w:b w:val="1"/>
                <w:bCs w:val="1"/>
                <w:color w:val="auto"/>
              </w:rPr>
              <w:t>2020</w:t>
            </w: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4"/>
        </w:trPr>
        <w:tc>
          <w:tcPr>
            <w:tcW w:w="450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 in millions)</w:t>
            </w:r>
          </w:p>
        </w:tc>
        <w:tc>
          <w:tcPr>
            <w:tcW w:w="1400" w:type="dxa"/>
            <w:vAlign w:val="bottom"/>
            <w:tcBorders>
              <w:bottom w:val="single" w:sz="8" w:color="auto"/>
            </w:tcBorders>
            <w:vMerge w:val="continue"/>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rPr>
              <w:t>2019</w:t>
            </w:r>
          </w:p>
        </w:tc>
        <w:tc>
          <w:tcPr>
            <w:tcW w:w="4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3"/>
                <w:szCs w:val="13"/>
                <w:color w:val="auto"/>
              </w:rPr>
              <w:t>2018</w:t>
            </w:r>
          </w:p>
        </w:tc>
        <w:tc>
          <w:tcPr>
            <w:tcW w:w="0" w:type="dxa"/>
            <w:vAlign w:val="bottom"/>
          </w:tcPr>
          <w:p>
            <w:pPr>
              <w:spacing w:after="0"/>
              <w:rPr>
                <w:sz w:val="1"/>
                <w:szCs w:val="1"/>
                <w:color w:val="auto"/>
              </w:rPr>
            </w:pPr>
          </w:p>
        </w:tc>
      </w:tr>
      <w:tr>
        <w:trPr>
          <w:trHeight w:val="134"/>
        </w:trPr>
        <w:tc>
          <w:tcPr>
            <w:tcW w:w="4500" w:type="dxa"/>
            <w:vAlign w:val="bottom"/>
            <w:gridSpan w:val="2"/>
            <w:shd w:val="clear" w:color="auto" w:fill="CCEEFF"/>
          </w:tcPr>
          <w:p>
            <w:pPr>
              <w:spacing w:after="0" w:line="134" w:lineRule="exact"/>
              <w:rPr>
                <w:sz w:val="20"/>
                <w:szCs w:val="20"/>
                <w:color w:val="auto"/>
              </w:rPr>
            </w:pPr>
            <w:r>
              <w:rPr>
                <w:rFonts w:ascii="Arial" w:cs="Arial" w:eastAsia="Arial" w:hAnsi="Arial"/>
                <w:sz w:val="13"/>
                <w:szCs w:val="13"/>
                <w:color w:val="auto"/>
              </w:rPr>
              <w:t>Corporate expense</w:t>
            </w:r>
          </w:p>
        </w:tc>
        <w:tc>
          <w:tcPr>
            <w:tcW w:w="1400" w:type="dxa"/>
            <w:vAlign w:val="bottom"/>
            <w:shd w:val="clear" w:color="auto" w:fill="CCEEFF"/>
          </w:tcPr>
          <w:p>
            <w:pPr>
              <w:jc w:val="right"/>
              <w:ind w:right="775"/>
              <w:spacing w:after="0" w:line="134" w:lineRule="exact"/>
              <w:rPr>
                <w:sz w:val="20"/>
                <w:szCs w:val="20"/>
                <w:color w:val="auto"/>
              </w:rPr>
            </w:pPr>
            <w:r>
              <w:rPr>
                <w:rFonts w:ascii="Arial" w:cs="Arial" w:eastAsia="Arial" w:hAnsi="Arial"/>
                <w:sz w:val="13"/>
                <w:szCs w:val="13"/>
                <w:b w:val="1"/>
                <w:bCs w:val="1"/>
                <w:color w:val="auto"/>
              </w:rPr>
              <w:t>$</w:t>
            </w:r>
          </w:p>
        </w:tc>
        <w:tc>
          <w:tcPr>
            <w:tcW w:w="420" w:type="dxa"/>
            <w:vAlign w:val="bottom"/>
            <w:shd w:val="clear" w:color="auto" w:fill="CCEEFF"/>
          </w:tcPr>
          <w:p>
            <w:pPr>
              <w:jc w:val="right"/>
              <w:ind w:right="75"/>
              <w:spacing w:after="0" w:line="134" w:lineRule="exact"/>
              <w:rPr>
                <w:sz w:val="20"/>
                <w:szCs w:val="20"/>
                <w:color w:val="auto"/>
              </w:rPr>
            </w:pPr>
            <w:r>
              <w:rPr>
                <w:rFonts w:ascii="Arial" w:cs="Arial" w:eastAsia="Arial" w:hAnsi="Arial"/>
                <w:sz w:val="13"/>
                <w:szCs w:val="13"/>
                <w:b w:val="1"/>
                <w:bCs w:val="1"/>
                <w:color w:val="auto"/>
              </w:rPr>
              <w:t>71</w:t>
            </w:r>
          </w:p>
        </w:tc>
        <w:tc>
          <w:tcPr>
            <w:tcW w:w="1020" w:type="dxa"/>
            <w:vAlign w:val="bottom"/>
            <w:shd w:val="clear" w:color="auto" w:fill="CCEEFF"/>
          </w:tcPr>
          <w:p>
            <w:pPr>
              <w:jc w:val="right"/>
              <w:ind w:right="775"/>
              <w:spacing w:after="0" w:line="134"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75"/>
              <w:spacing w:after="0" w:line="134" w:lineRule="exact"/>
              <w:rPr>
                <w:sz w:val="20"/>
                <w:szCs w:val="20"/>
                <w:color w:val="auto"/>
              </w:rPr>
            </w:pPr>
            <w:r>
              <w:rPr>
                <w:rFonts w:ascii="Arial" w:cs="Arial" w:eastAsia="Arial" w:hAnsi="Arial"/>
                <w:sz w:val="13"/>
                <w:szCs w:val="13"/>
                <w:color w:val="auto"/>
              </w:rPr>
              <w:t>74</w:t>
            </w:r>
          </w:p>
        </w:tc>
        <w:tc>
          <w:tcPr>
            <w:tcW w:w="380" w:type="dxa"/>
            <w:vAlign w:val="bottom"/>
            <w:shd w:val="clear" w:color="auto" w:fill="CCEEFF"/>
          </w:tcPr>
          <w:p>
            <w:pPr>
              <w:jc w:val="right"/>
              <w:ind w:right="135"/>
              <w:spacing w:after="0" w:line="134"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72</w:t>
            </w:r>
          </w:p>
        </w:tc>
        <w:tc>
          <w:tcPr>
            <w:tcW w:w="0" w:type="dxa"/>
            <w:vAlign w:val="bottom"/>
          </w:tcPr>
          <w:p>
            <w:pPr>
              <w:spacing w:after="0"/>
              <w:rPr>
                <w:sz w:val="1"/>
                <w:szCs w:val="1"/>
                <w:color w:val="auto"/>
              </w:rPr>
            </w:pPr>
          </w:p>
        </w:tc>
      </w:tr>
      <w:tr>
        <w:trPr>
          <w:trHeight w:val="144"/>
        </w:trPr>
        <w:tc>
          <w:tcPr>
            <w:tcW w:w="4500" w:type="dxa"/>
            <w:vAlign w:val="bottom"/>
            <w:tcBorders>
              <w:bottom w:val="single" w:sz="8" w:color="auto"/>
            </w:tcBorders>
            <w:gridSpan w:val="2"/>
          </w:tcPr>
          <w:p>
            <w:pPr>
              <w:spacing w:after="0" w:line="144" w:lineRule="exact"/>
              <w:rPr>
                <w:sz w:val="20"/>
                <w:szCs w:val="20"/>
                <w:color w:val="auto"/>
              </w:rPr>
            </w:pPr>
            <w:r>
              <w:rPr>
                <w:rFonts w:ascii="Arial" w:cs="Arial" w:eastAsia="Arial" w:hAnsi="Arial"/>
                <w:sz w:val="13"/>
                <w:szCs w:val="13"/>
                <w:color w:val="auto"/>
              </w:rPr>
              <w:t>$ Change</w:t>
            </w:r>
          </w:p>
        </w:tc>
        <w:tc>
          <w:tcPr>
            <w:tcW w:w="1400" w:type="dxa"/>
            <w:vAlign w:val="bottom"/>
            <w:tcBorders>
              <w:bottom w:val="single" w:sz="8" w:color="auto"/>
            </w:tcBorders>
          </w:tcPr>
          <w:p>
            <w:pPr>
              <w:jc w:val="right"/>
              <w:ind w:right="775"/>
              <w:spacing w:after="0" w:line="144" w:lineRule="exact"/>
              <w:rPr>
                <w:sz w:val="20"/>
                <w:szCs w:val="20"/>
                <w:color w:val="auto"/>
              </w:rPr>
            </w:pPr>
            <w:r>
              <w:rPr>
                <w:rFonts w:ascii="Arial" w:cs="Arial" w:eastAsia="Arial" w:hAnsi="Arial"/>
                <w:sz w:val="13"/>
                <w:szCs w:val="13"/>
                <w:b w:val="1"/>
                <w:bCs w:val="1"/>
                <w:color w:val="auto"/>
              </w:rPr>
              <w:t>$</w:t>
            </w:r>
          </w:p>
        </w:tc>
        <w:tc>
          <w:tcPr>
            <w:tcW w:w="420" w:type="dxa"/>
            <w:vAlign w:val="bottom"/>
            <w:tcBorders>
              <w:bottom w:val="single" w:sz="8" w:color="auto"/>
            </w:tcBorders>
          </w:tcPr>
          <w:p>
            <w:pPr>
              <w:jc w:val="right"/>
              <w:ind w:right="35"/>
              <w:spacing w:after="0" w:line="144" w:lineRule="exact"/>
              <w:rPr>
                <w:sz w:val="20"/>
                <w:szCs w:val="20"/>
                <w:color w:val="auto"/>
              </w:rPr>
            </w:pPr>
            <w:r>
              <w:rPr>
                <w:rFonts w:ascii="Arial" w:cs="Arial" w:eastAsia="Arial" w:hAnsi="Arial"/>
                <w:sz w:val="13"/>
                <w:szCs w:val="13"/>
                <w:b w:val="1"/>
                <w:bCs w:val="1"/>
                <w:color w:val="auto"/>
              </w:rPr>
              <w:t>(3)</w:t>
            </w:r>
          </w:p>
        </w:tc>
        <w:tc>
          <w:tcPr>
            <w:tcW w:w="1020" w:type="dxa"/>
            <w:vAlign w:val="bottom"/>
            <w:tcBorders>
              <w:bottom w:val="single" w:sz="8" w:color="auto"/>
            </w:tcBorders>
          </w:tcPr>
          <w:p>
            <w:pPr>
              <w:jc w:val="right"/>
              <w:ind w:right="775"/>
              <w:spacing w:after="0" w:line="144" w:lineRule="exact"/>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tcPr>
          <w:p>
            <w:pPr>
              <w:jc w:val="right"/>
              <w:ind w:right="75"/>
              <w:spacing w:after="0" w:line="144" w:lineRule="exact"/>
              <w:rPr>
                <w:sz w:val="20"/>
                <w:szCs w:val="20"/>
                <w:color w:val="auto"/>
              </w:rPr>
            </w:pPr>
            <w:r>
              <w:rPr>
                <w:rFonts w:ascii="Arial" w:cs="Arial" w:eastAsia="Arial" w:hAnsi="Arial"/>
                <w:sz w:val="13"/>
                <w:szCs w:val="13"/>
                <w:color w:val="auto"/>
              </w:rPr>
              <w:t>2</w:t>
            </w:r>
          </w:p>
        </w:tc>
        <w:tc>
          <w:tcPr>
            <w:tcW w:w="380" w:type="dxa"/>
            <w:vAlign w:val="bottom"/>
            <w:tcBorders>
              <w:bottom w:val="single" w:sz="8" w:color="auto"/>
            </w:tcBorders>
          </w:tcPr>
          <w:p>
            <w:pPr>
              <w:jc w:val="right"/>
              <w:ind w:right="135"/>
              <w:spacing w:after="0" w:line="144" w:lineRule="exact"/>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bl>
    <w:p>
      <w:pPr>
        <w:spacing w:after="0" w:line="118" w:lineRule="exact"/>
        <w:rPr>
          <w:sz w:val="20"/>
          <w:szCs w:val="20"/>
          <w:color w:val="auto"/>
        </w:rPr>
      </w:pPr>
    </w:p>
    <w:p>
      <w:pPr>
        <w:jc w:val="both"/>
        <w:ind w:right="39"/>
        <w:spacing w:after="0" w:line="236" w:lineRule="auto"/>
        <w:rPr>
          <w:sz w:val="20"/>
          <w:szCs w:val="20"/>
          <w:color w:val="auto"/>
        </w:rPr>
      </w:pPr>
      <w:r>
        <w:rPr>
          <w:rFonts w:ascii="Arial" w:cs="Arial" w:eastAsia="Arial" w:hAnsi="Arial"/>
          <w:sz w:val="13"/>
          <w:szCs w:val="13"/>
          <w:color w:val="auto"/>
        </w:rPr>
        <w:t>Corporate expense consists of unallocated general and administrative expenses as well as depreciation and amortization related to our corporate headquarters, centrally managed departments, unallocated insurance and benefit programs, certain foreign exchange transaction gains and losses, and other items. Depreciation and amortization included in corporate expense was $24 million, $19 million, and $18 million in 2020, 2019, and 2018, respectively.</w:t>
      </w:r>
    </w:p>
    <w:p>
      <w:pPr>
        <w:spacing w:after="0" w:line="123" w:lineRule="exact"/>
        <w:rPr>
          <w:sz w:val="20"/>
          <w:szCs w:val="20"/>
          <w:color w:val="auto"/>
        </w:rPr>
      </w:pPr>
    </w:p>
    <w:p>
      <w:pPr>
        <w:jc w:val="both"/>
        <w:ind w:right="39"/>
        <w:spacing w:after="0" w:line="230" w:lineRule="auto"/>
        <w:rPr>
          <w:sz w:val="20"/>
          <w:szCs w:val="20"/>
          <w:color w:val="auto"/>
        </w:rPr>
      </w:pPr>
      <w:r>
        <w:rPr>
          <w:rFonts w:ascii="Arial" w:cs="Arial" w:eastAsia="Arial" w:hAnsi="Arial"/>
          <w:sz w:val="13"/>
          <w:szCs w:val="13"/>
          <w:color w:val="auto"/>
        </w:rPr>
        <w:t>The allocation of corporate expense to the operating divisions is adjusted annually based upon an internal study; accordingly, the allocation increased by $28 million in 2020, thus reducing corporate expense. Excluding the corporate allocation change, corporate expense increased by $25 million as compared with 2019. This increase was primarily due to higher incentive compensation expense.</w:t>
      </w:r>
    </w:p>
    <w:p>
      <w:pPr>
        <w:spacing w:after="0" w:line="1" w:lineRule="exact"/>
        <w:rPr>
          <w:sz w:val="20"/>
          <w:szCs w:val="20"/>
          <w:color w:val="auto"/>
        </w:rPr>
      </w:pPr>
    </w:p>
    <w:p>
      <w:pPr>
        <w:ind w:left="7660"/>
        <w:spacing w:after="0"/>
        <w:rPr>
          <w:sz w:val="20"/>
          <w:szCs w:val="20"/>
          <w:color w:val="auto"/>
        </w:rPr>
      </w:pPr>
      <w:r>
        <w:rPr>
          <w:rFonts w:ascii="Arial" w:cs="Arial" w:eastAsia="Arial" w:hAnsi="Arial"/>
          <w:sz w:val="12"/>
          <w:szCs w:val="12"/>
          <w:color w:val="auto"/>
        </w:rPr>
        <w:t>2020 Form 10-K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365125</wp:posOffset>
            </wp:positionV>
            <wp:extent cx="5790565" cy="196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90565" cy="19685"/>
                    </a:xfrm>
                    <a:prstGeom prst="rect">
                      <a:avLst/>
                    </a:prstGeom>
                    <a:noFill/>
                  </pic:spPr>
                </pic:pic>
              </a:graphicData>
            </a:graphic>
          </wp:anchor>
        </w:drawing>
      </w:r>
    </w:p>
    <w:p>
      <w:pPr>
        <w:sectPr>
          <w:pgSz w:w="11900" w:h="16838" w:orient="portrait"/>
          <w:cols w:equalWidth="0" w:num="1">
            <w:col w:w="9159"/>
          </w:cols>
          <w:pgMar w:left="1300" w:top="678" w:right="1440"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49"/>
        </w:trPr>
        <w:tc>
          <w:tcPr>
            <w:tcW w:w="178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w w:val="98"/>
              </w:rPr>
              <w:t>Interest (Expense) Income, net</w:t>
            </w:r>
          </w:p>
        </w:tc>
        <w:tc>
          <w:tcPr>
            <w:tcW w:w="19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00" w:type="dxa"/>
            <w:vAlign w:val="bottom"/>
            <w:vMerge w:val="restart"/>
          </w:tcPr>
          <w:p>
            <w:pPr>
              <w:jc w:val="right"/>
              <w:ind w:right="555"/>
              <w:spacing w:after="0"/>
              <w:rPr>
                <w:sz w:val="20"/>
                <w:szCs w:val="20"/>
                <w:color w:val="auto"/>
              </w:rPr>
            </w:pPr>
            <w:r>
              <w:rPr>
                <w:rFonts w:ascii="Arial" w:cs="Arial" w:eastAsia="Arial" w:hAnsi="Arial"/>
                <w:sz w:val="13"/>
                <w:szCs w:val="13"/>
                <w:b w:val="1"/>
                <w:bCs w:val="1"/>
                <w:color w:val="auto"/>
              </w:rPr>
              <w:t>2020</w:t>
            </w:r>
          </w:p>
        </w:tc>
        <w:tc>
          <w:tcPr>
            <w:tcW w:w="3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76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 in millions)</w:t>
            </w:r>
          </w:p>
        </w:tc>
        <w:tc>
          <w:tcPr>
            <w:tcW w:w="1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75"/>
              <w:spacing w:after="0"/>
              <w:rPr>
                <w:sz w:val="20"/>
                <w:szCs w:val="20"/>
                <w:color w:val="auto"/>
              </w:rPr>
            </w:pPr>
            <w:r>
              <w:rPr>
                <w:rFonts w:ascii="Arial" w:cs="Arial" w:eastAsia="Arial" w:hAnsi="Arial"/>
                <w:sz w:val="13"/>
                <w:szCs w:val="13"/>
                <w:color w:val="auto"/>
              </w:rPr>
              <w:t>2019</w:t>
            </w:r>
          </w:p>
        </w:tc>
        <w:tc>
          <w:tcPr>
            <w:tcW w:w="3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3"/>
                <w:szCs w:val="13"/>
                <w:color w:val="auto"/>
              </w:rPr>
              <w:t>2018</w:t>
            </w:r>
          </w:p>
        </w:tc>
        <w:tc>
          <w:tcPr>
            <w:tcW w:w="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760" w:type="dxa"/>
            <w:vAlign w:val="bottom"/>
            <w:gridSpan w:val="2"/>
            <w:shd w:val="clear" w:color="auto" w:fill="CCEEFF"/>
          </w:tcPr>
          <w:p>
            <w:pPr>
              <w:spacing w:after="0" w:line="134" w:lineRule="exact"/>
              <w:rPr>
                <w:sz w:val="20"/>
                <w:szCs w:val="20"/>
                <w:color w:val="auto"/>
              </w:rPr>
            </w:pPr>
            <w:r>
              <w:rPr>
                <w:rFonts w:ascii="Arial" w:cs="Arial" w:eastAsia="Arial" w:hAnsi="Arial"/>
                <w:sz w:val="13"/>
                <w:szCs w:val="13"/>
                <w:color w:val="auto"/>
              </w:rPr>
              <w:t>Interest expense</w:t>
            </w:r>
          </w:p>
        </w:tc>
        <w:tc>
          <w:tcPr>
            <w:tcW w:w="1300" w:type="dxa"/>
            <w:vAlign w:val="bottom"/>
            <w:shd w:val="clear" w:color="auto" w:fill="CCEEFF"/>
          </w:tcPr>
          <w:p>
            <w:pPr>
              <w:jc w:val="right"/>
              <w:ind w:right="135"/>
              <w:spacing w:after="0" w:line="134" w:lineRule="exact"/>
              <w:rPr>
                <w:sz w:val="20"/>
                <w:szCs w:val="20"/>
                <w:color w:val="auto"/>
              </w:rPr>
            </w:pPr>
            <w:r>
              <w:rPr>
                <w:rFonts w:ascii="Arial" w:cs="Arial" w:eastAsia="Arial" w:hAnsi="Arial"/>
                <w:sz w:val="13"/>
                <w:szCs w:val="13"/>
                <w:b w:val="1"/>
                <w:bCs w:val="1"/>
                <w:color w:val="auto"/>
              </w:rPr>
              <w:t>$</w:t>
            </w:r>
          </w:p>
        </w:tc>
        <w:tc>
          <w:tcPr>
            <w:tcW w:w="1100" w:type="dxa"/>
            <w:vAlign w:val="bottom"/>
            <w:shd w:val="clear" w:color="auto" w:fill="CCEEFF"/>
          </w:tcPr>
          <w:p>
            <w:pPr>
              <w:jc w:val="right"/>
              <w:ind w:right="115"/>
              <w:spacing w:after="0" w:line="134" w:lineRule="exact"/>
              <w:rPr>
                <w:sz w:val="20"/>
                <w:szCs w:val="20"/>
                <w:color w:val="auto"/>
              </w:rPr>
            </w:pPr>
            <w:r>
              <w:rPr>
                <w:rFonts w:ascii="Arial" w:cs="Arial" w:eastAsia="Arial" w:hAnsi="Arial"/>
                <w:sz w:val="13"/>
                <w:szCs w:val="13"/>
                <w:b w:val="1"/>
                <w:bCs w:val="1"/>
                <w:color w:val="auto"/>
              </w:rPr>
              <w:t>(13)</w:t>
            </w:r>
          </w:p>
        </w:tc>
        <w:tc>
          <w:tcPr>
            <w:tcW w:w="340" w:type="dxa"/>
            <w:vAlign w:val="bottom"/>
            <w:shd w:val="clear" w:color="auto" w:fill="CCEEFF"/>
          </w:tcPr>
          <w:p>
            <w:pPr>
              <w:jc w:val="right"/>
              <w:ind w:right="135"/>
              <w:spacing w:after="0" w:line="134" w:lineRule="exact"/>
              <w:rPr>
                <w:sz w:val="20"/>
                <w:szCs w:val="20"/>
                <w:color w:val="auto"/>
              </w:rPr>
            </w:pPr>
            <w:r>
              <w:rPr>
                <w:rFonts w:ascii="Arial" w:cs="Arial" w:eastAsia="Arial" w:hAnsi="Arial"/>
                <w:sz w:val="13"/>
                <w:szCs w:val="13"/>
                <w:color w:val="auto"/>
              </w:rPr>
              <w:t>$</w:t>
            </w:r>
          </w:p>
        </w:tc>
        <w:tc>
          <w:tcPr>
            <w:tcW w:w="1120" w:type="dxa"/>
            <w:vAlign w:val="bottom"/>
            <w:shd w:val="clear" w:color="auto" w:fill="CCEEFF"/>
          </w:tcPr>
          <w:p>
            <w:pPr>
              <w:jc w:val="right"/>
              <w:ind w:right="115"/>
              <w:spacing w:after="0" w:line="134" w:lineRule="exact"/>
              <w:rPr>
                <w:sz w:val="20"/>
                <w:szCs w:val="20"/>
                <w:color w:val="auto"/>
              </w:rPr>
            </w:pPr>
            <w:r>
              <w:rPr>
                <w:rFonts w:ascii="Arial" w:cs="Arial" w:eastAsia="Arial" w:hAnsi="Arial"/>
                <w:sz w:val="13"/>
                <w:szCs w:val="13"/>
                <w:color w:val="auto"/>
              </w:rPr>
              <w:t>(10)</w:t>
            </w:r>
          </w:p>
        </w:tc>
        <w:tc>
          <w:tcPr>
            <w:tcW w:w="340" w:type="dxa"/>
            <w:vAlign w:val="bottom"/>
            <w:shd w:val="clear" w:color="auto" w:fill="CCEEFF"/>
          </w:tcPr>
          <w:p>
            <w:pPr>
              <w:jc w:val="right"/>
              <w:ind w:right="135"/>
              <w:spacing w:after="0" w:line="134" w:lineRule="exact"/>
              <w:rPr>
                <w:sz w:val="20"/>
                <w:szCs w:val="20"/>
                <w:color w:val="auto"/>
              </w:rPr>
            </w:pPr>
            <w:r>
              <w:rPr>
                <w:rFonts w:ascii="Arial" w:cs="Arial" w:eastAsia="Arial" w:hAnsi="Arial"/>
                <w:sz w:val="13"/>
                <w:szCs w:val="13"/>
                <w:color w:val="auto"/>
              </w:rPr>
              <w:t>$</w:t>
            </w:r>
          </w:p>
        </w:tc>
        <w:tc>
          <w:tcPr>
            <w:tcW w:w="1160" w:type="dxa"/>
            <w:vAlign w:val="bottom"/>
            <w:gridSpan w:val="2"/>
            <w:shd w:val="clear" w:color="auto" w:fill="CCEEFF"/>
          </w:tcPr>
          <w:p>
            <w:pPr>
              <w:jc w:val="right"/>
              <w:ind w:right="155"/>
              <w:spacing w:after="0" w:line="134" w:lineRule="exact"/>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44"/>
        </w:trPr>
        <w:tc>
          <w:tcPr>
            <w:tcW w:w="3760" w:type="dxa"/>
            <w:vAlign w:val="bottom"/>
            <w:tcBorders>
              <w:bottom w:val="single" w:sz="8" w:color="auto"/>
            </w:tcBorders>
            <w:gridSpan w:val="2"/>
          </w:tcPr>
          <w:p>
            <w:pPr>
              <w:spacing w:after="0" w:line="144" w:lineRule="exact"/>
              <w:rPr>
                <w:sz w:val="20"/>
                <w:szCs w:val="20"/>
                <w:color w:val="auto"/>
              </w:rPr>
            </w:pPr>
            <w:r>
              <w:rPr>
                <w:rFonts w:ascii="Arial" w:cs="Arial" w:eastAsia="Arial" w:hAnsi="Arial"/>
                <w:sz w:val="13"/>
                <w:szCs w:val="13"/>
                <w:color w:val="auto"/>
              </w:rPr>
              <w:t>Interest income</w:t>
            </w:r>
          </w:p>
        </w:tc>
        <w:tc>
          <w:tcPr>
            <w:tcW w:w="13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155"/>
              <w:spacing w:after="0" w:line="144" w:lineRule="exact"/>
              <w:rPr>
                <w:sz w:val="20"/>
                <w:szCs w:val="20"/>
                <w:color w:val="auto"/>
              </w:rPr>
            </w:pPr>
            <w:r>
              <w:rPr>
                <w:rFonts w:ascii="Arial" w:cs="Arial" w:eastAsia="Arial" w:hAnsi="Arial"/>
                <w:sz w:val="13"/>
                <w:szCs w:val="13"/>
                <w:b w:val="1"/>
                <w:bCs w:val="1"/>
                <w:color w:val="auto"/>
              </w:rPr>
              <w:t>6</w:t>
            </w: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155"/>
              <w:spacing w:after="0" w:line="144" w:lineRule="exact"/>
              <w:rPr>
                <w:sz w:val="20"/>
                <w:szCs w:val="20"/>
                <w:color w:val="auto"/>
              </w:rPr>
            </w:pPr>
            <w:r>
              <w:rPr>
                <w:rFonts w:ascii="Arial" w:cs="Arial" w:eastAsia="Arial" w:hAnsi="Arial"/>
                <w:sz w:val="13"/>
                <w:szCs w:val="13"/>
                <w:color w:val="auto"/>
              </w:rPr>
              <w:t>21</w:t>
            </w:r>
          </w:p>
        </w:tc>
        <w:tc>
          <w:tcPr>
            <w:tcW w:w="3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20</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760" w:type="dxa"/>
            <w:vAlign w:val="bottom"/>
            <w:tcBorders>
              <w:bottom w:val="single" w:sz="8" w:color="auto"/>
            </w:tcBorders>
            <w:gridSpan w:val="2"/>
            <w:shd w:val="clear" w:color="auto" w:fill="CCEEFF"/>
          </w:tcPr>
          <w:p>
            <w:pPr>
              <w:spacing w:after="0" w:line="134" w:lineRule="exact"/>
              <w:rPr>
                <w:sz w:val="20"/>
                <w:szCs w:val="20"/>
                <w:color w:val="auto"/>
              </w:rPr>
            </w:pPr>
            <w:r>
              <w:rPr>
                <w:rFonts w:ascii="Arial" w:cs="Arial" w:eastAsia="Arial" w:hAnsi="Arial"/>
                <w:sz w:val="13"/>
                <w:szCs w:val="13"/>
                <w:color w:val="auto"/>
              </w:rPr>
              <w:t>Interest (expense) income, net</w:t>
            </w:r>
          </w:p>
        </w:tc>
        <w:tc>
          <w:tcPr>
            <w:tcW w:w="1300" w:type="dxa"/>
            <w:vAlign w:val="bottom"/>
            <w:tcBorders>
              <w:bottom w:val="single" w:sz="8" w:color="auto"/>
            </w:tcBorders>
            <w:shd w:val="clear" w:color="auto" w:fill="CCEEFF"/>
          </w:tcPr>
          <w:p>
            <w:pPr>
              <w:jc w:val="right"/>
              <w:ind w:right="135"/>
              <w:spacing w:after="0" w:line="134" w:lineRule="exact"/>
              <w:rPr>
                <w:sz w:val="20"/>
                <w:szCs w:val="20"/>
                <w:color w:val="auto"/>
              </w:rPr>
            </w:pPr>
            <w:r>
              <w:rPr>
                <w:rFonts w:ascii="Arial" w:cs="Arial" w:eastAsia="Arial" w:hAnsi="Arial"/>
                <w:sz w:val="13"/>
                <w:szCs w:val="13"/>
                <w:b w:val="1"/>
                <w:bCs w:val="1"/>
                <w:color w:val="auto"/>
              </w:rPr>
              <w:t>$</w:t>
            </w:r>
          </w:p>
        </w:tc>
        <w:tc>
          <w:tcPr>
            <w:tcW w:w="1100" w:type="dxa"/>
            <w:vAlign w:val="bottom"/>
            <w:tcBorders>
              <w:bottom w:val="single" w:sz="8" w:color="auto"/>
            </w:tcBorders>
            <w:shd w:val="clear" w:color="auto" w:fill="CCEEFF"/>
          </w:tcPr>
          <w:p>
            <w:pPr>
              <w:jc w:val="right"/>
              <w:ind w:right="115"/>
              <w:spacing w:after="0" w:line="134" w:lineRule="exact"/>
              <w:rPr>
                <w:sz w:val="20"/>
                <w:szCs w:val="20"/>
                <w:color w:val="auto"/>
              </w:rPr>
            </w:pPr>
            <w:r>
              <w:rPr>
                <w:rFonts w:ascii="Arial" w:cs="Arial" w:eastAsia="Arial" w:hAnsi="Arial"/>
                <w:sz w:val="13"/>
                <w:szCs w:val="13"/>
                <w:b w:val="1"/>
                <w:bCs w:val="1"/>
                <w:color w:val="auto"/>
              </w:rPr>
              <w:t>(7)</w:t>
            </w:r>
          </w:p>
        </w:tc>
        <w:tc>
          <w:tcPr>
            <w:tcW w:w="340" w:type="dxa"/>
            <w:vAlign w:val="bottom"/>
            <w:tcBorders>
              <w:bottom w:val="single" w:sz="8" w:color="auto"/>
            </w:tcBorders>
            <w:shd w:val="clear" w:color="auto" w:fill="CCEEFF"/>
          </w:tcPr>
          <w:p>
            <w:pPr>
              <w:jc w:val="right"/>
              <w:ind w:right="135"/>
              <w:spacing w:after="0" w:line="134" w:lineRule="exact"/>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ind w:right="155"/>
              <w:spacing w:after="0" w:line="134" w:lineRule="exact"/>
              <w:rPr>
                <w:sz w:val="20"/>
                <w:szCs w:val="20"/>
                <w:color w:val="auto"/>
              </w:rPr>
            </w:pPr>
            <w:r>
              <w:rPr>
                <w:rFonts w:ascii="Arial" w:cs="Arial" w:eastAsia="Arial" w:hAnsi="Arial"/>
                <w:sz w:val="13"/>
                <w:szCs w:val="13"/>
                <w:color w:val="auto"/>
              </w:rPr>
              <w:t>11</w:t>
            </w:r>
          </w:p>
        </w:tc>
        <w:tc>
          <w:tcPr>
            <w:tcW w:w="340" w:type="dxa"/>
            <w:vAlign w:val="bottom"/>
            <w:tcBorders>
              <w:bottom w:val="single" w:sz="8" w:color="auto"/>
            </w:tcBorders>
            <w:shd w:val="clear" w:color="auto" w:fill="CCEEFF"/>
          </w:tcPr>
          <w:p>
            <w:pPr>
              <w:jc w:val="right"/>
              <w:ind w:right="135"/>
              <w:spacing w:after="0" w:line="134" w:lineRule="exact"/>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9</w:t>
            </w:r>
          </w:p>
        </w:tc>
        <w:tc>
          <w:tcPr>
            <w:tcW w:w="22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3760" w:type="dxa"/>
            <w:vAlign w:val="bottom"/>
            <w:tcBorders>
              <w:top w:val="single" w:sz="8" w:color="auto"/>
              <w:bottom w:val="single" w:sz="8" w:color="auto"/>
            </w:tcBorders>
            <w:gridSpan w:val="2"/>
          </w:tcPr>
          <w:p>
            <w:pPr>
              <w:spacing w:after="0" w:line="114" w:lineRule="exact"/>
              <w:rPr>
                <w:sz w:val="20"/>
                <w:szCs w:val="20"/>
                <w:color w:val="auto"/>
              </w:rPr>
            </w:pPr>
            <w:r>
              <w:rPr>
                <w:rFonts w:ascii="Arial" w:cs="Arial" w:eastAsia="Arial" w:hAnsi="Arial"/>
                <w:sz w:val="13"/>
                <w:szCs w:val="13"/>
                <w:color w:val="auto"/>
              </w:rPr>
              <w:t>Weighted-average interest rate (excluding fees)</w:t>
            </w:r>
          </w:p>
        </w:tc>
        <w:tc>
          <w:tcPr>
            <w:tcW w:w="1300" w:type="dxa"/>
            <w:vAlign w:val="bottom"/>
            <w:tcBorders>
              <w:top w:val="single" w:sz="8" w:color="auto"/>
              <w:bottom w:val="single" w:sz="8" w:color="auto"/>
            </w:tcBorders>
          </w:tcPr>
          <w:p>
            <w:pPr>
              <w:spacing w:after="0"/>
              <w:rPr>
                <w:sz w:val="9"/>
                <w:szCs w:val="9"/>
                <w:color w:val="auto"/>
              </w:rPr>
            </w:pPr>
          </w:p>
        </w:tc>
        <w:tc>
          <w:tcPr>
            <w:tcW w:w="1100" w:type="dxa"/>
            <w:vAlign w:val="bottom"/>
            <w:tcBorders>
              <w:top w:val="single" w:sz="8" w:color="auto"/>
              <w:bottom w:val="single" w:sz="8" w:color="auto"/>
            </w:tcBorders>
          </w:tcPr>
          <w:p>
            <w:pPr>
              <w:jc w:val="right"/>
              <w:spacing w:after="0" w:line="114" w:lineRule="exact"/>
              <w:rPr>
                <w:sz w:val="20"/>
                <w:szCs w:val="20"/>
                <w:color w:val="auto"/>
              </w:rPr>
            </w:pPr>
            <w:r>
              <w:rPr>
                <w:rFonts w:ascii="Arial" w:cs="Arial" w:eastAsia="Arial" w:hAnsi="Arial"/>
                <w:sz w:val="13"/>
                <w:szCs w:val="13"/>
                <w:b w:val="1"/>
                <w:bCs w:val="1"/>
                <w:color w:val="auto"/>
              </w:rPr>
              <w:t>6.6 %</w:t>
            </w:r>
          </w:p>
        </w:tc>
        <w:tc>
          <w:tcPr>
            <w:tcW w:w="340" w:type="dxa"/>
            <w:vAlign w:val="bottom"/>
            <w:tcBorders>
              <w:top w:val="single" w:sz="8" w:color="auto"/>
              <w:bottom w:val="single" w:sz="8" w:color="auto"/>
            </w:tcBorders>
          </w:tcPr>
          <w:p>
            <w:pPr>
              <w:spacing w:after="0"/>
              <w:rPr>
                <w:sz w:val="9"/>
                <w:szCs w:val="9"/>
                <w:color w:val="auto"/>
              </w:rPr>
            </w:pPr>
          </w:p>
        </w:tc>
        <w:tc>
          <w:tcPr>
            <w:tcW w:w="1120" w:type="dxa"/>
            <w:vAlign w:val="bottom"/>
            <w:tcBorders>
              <w:top w:val="single" w:sz="8" w:color="auto"/>
              <w:bottom w:val="single" w:sz="8" w:color="auto"/>
            </w:tcBorders>
          </w:tcPr>
          <w:p>
            <w:pPr>
              <w:jc w:val="right"/>
              <w:spacing w:after="0" w:line="114" w:lineRule="exact"/>
              <w:rPr>
                <w:sz w:val="20"/>
                <w:szCs w:val="20"/>
                <w:color w:val="auto"/>
              </w:rPr>
            </w:pPr>
            <w:r>
              <w:rPr>
                <w:rFonts w:ascii="Arial" w:cs="Arial" w:eastAsia="Arial" w:hAnsi="Arial"/>
                <w:sz w:val="13"/>
                <w:szCs w:val="13"/>
                <w:color w:val="auto"/>
              </w:rPr>
              <w:t>6.9 %</w:t>
            </w:r>
          </w:p>
        </w:tc>
        <w:tc>
          <w:tcPr>
            <w:tcW w:w="340" w:type="dxa"/>
            <w:vAlign w:val="bottom"/>
            <w:tcBorders>
              <w:top w:val="single" w:sz="8" w:color="auto"/>
              <w:bottom w:val="single" w:sz="8" w:color="auto"/>
            </w:tcBorders>
          </w:tcPr>
          <w:p>
            <w:pPr>
              <w:spacing w:after="0"/>
              <w:rPr>
                <w:sz w:val="9"/>
                <w:szCs w:val="9"/>
                <w:color w:val="auto"/>
              </w:rPr>
            </w:pPr>
          </w:p>
        </w:tc>
        <w:tc>
          <w:tcPr>
            <w:tcW w:w="940" w:type="dxa"/>
            <w:vAlign w:val="bottom"/>
            <w:tcBorders>
              <w:top w:val="single" w:sz="8" w:color="auto"/>
              <w:bottom w:val="single" w:sz="8" w:color="auto"/>
            </w:tcBorders>
          </w:tcPr>
          <w:p>
            <w:pPr>
              <w:jc w:val="right"/>
              <w:spacing w:after="0" w:line="114" w:lineRule="exact"/>
              <w:rPr>
                <w:sz w:val="20"/>
                <w:szCs w:val="20"/>
                <w:color w:val="auto"/>
              </w:rPr>
            </w:pPr>
            <w:r>
              <w:rPr>
                <w:rFonts w:ascii="Arial" w:cs="Arial" w:eastAsia="Arial" w:hAnsi="Arial"/>
                <w:sz w:val="13"/>
                <w:szCs w:val="13"/>
                <w:color w:val="auto"/>
              </w:rPr>
              <w:t>7.0</w:t>
            </w:r>
          </w:p>
        </w:tc>
        <w:tc>
          <w:tcPr>
            <w:tcW w:w="220" w:type="dxa"/>
            <w:vAlign w:val="bottom"/>
            <w:tcBorders>
              <w:bottom w:val="single" w:sz="8" w:color="auto"/>
            </w:tcBorders>
          </w:tcPr>
          <w:p>
            <w:pPr>
              <w:jc w:val="right"/>
              <w:ind w:right="35"/>
              <w:spacing w:after="0" w:line="114" w:lineRule="exact"/>
              <w:rPr>
                <w:sz w:val="20"/>
                <w:szCs w:val="20"/>
                <w:color w:val="auto"/>
              </w:rPr>
            </w:pPr>
            <w:r>
              <w:rPr>
                <w:rFonts w:ascii="Arial" w:cs="Arial" w:eastAsia="Arial" w:hAnsi="Arial"/>
                <w:sz w:val="13"/>
                <w:szCs w:val="13"/>
                <w:color w:val="auto"/>
                <w:w w:val="86"/>
              </w:rPr>
              <w:t>%</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right="39"/>
        <w:spacing w:after="0" w:line="235" w:lineRule="auto"/>
        <w:rPr>
          <w:sz w:val="20"/>
          <w:szCs w:val="20"/>
          <w:color w:val="auto"/>
        </w:rPr>
      </w:pPr>
      <w:r>
        <w:rPr>
          <w:rFonts w:ascii="Arial" w:cs="Arial" w:eastAsia="Arial" w:hAnsi="Arial"/>
          <w:sz w:val="13"/>
          <w:szCs w:val="13"/>
          <w:color w:val="auto"/>
        </w:rPr>
        <w:t>We recorded net interest expense of $7 million in 2020 as compared with net interest income of $11 million in 2019. Interest income decreased as a result of lower average interest rates on our cash and cash equivalents. Additionally, interest expense increased due to the drawdown of the revolving credit facility in March 2020 and higher costs related to the new revolving credit facility. In the first quarter of 2020, we borrowed $330 million of our credit facility which was repaid in full during the second quarter of 2020.</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4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w w:val="97"/>
              </w:rPr>
              <w:t>Other Income, net</w:t>
            </w:r>
          </w:p>
        </w:tc>
        <w:tc>
          <w:tcPr>
            <w:tcW w:w="18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040" w:type="dxa"/>
            <w:vAlign w:val="bottom"/>
            <w:vMerge w:val="restart"/>
          </w:tcPr>
          <w:p>
            <w:pPr>
              <w:jc w:val="right"/>
              <w:ind w:right="495"/>
              <w:spacing w:after="0"/>
              <w:rPr>
                <w:sz w:val="20"/>
                <w:szCs w:val="20"/>
                <w:color w:val="auto"/>
              </w:rPr>
            </w:pPr>
            <w:r>
              <w:rPr>
                <w:rFonts w:ascii="Arial" w:cs="Arial" w:eastAsia="Arial" w:hAnsi="Arial"/>
                <w:sz w:val="13"/>
                <w:szCs w:val="13"/>
                <w:b w:val="1"/>
                <w:bCs w:val="1"/>
                <w:color w:val="auto"/>
              </w:rPr>
              <w:t>2020</w:t>
            </w:r>
          </w:p>
        </w:tc>
        <w:tc>
          <w:tcPr>
            <w:tcW w:w="4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92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 in millions)</w:t>
            </w:r>
          </w:p>
        </w:tc>
        <w:tc>
          <w:tcPr>
            <w:tcW w:w="2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95"/>
              <w:spacing w:after="0"/>
              <w:rPr>
                <w:sz w:val="20"/>
                <w:szCs w:val="20"/>
                <w:color w:val="auto"/>
              </w:rPr>
            </w:pPr>
            <w:r>
              <w:rPr>
                <w:rFonts w:ascii="Arial" w:cs="Arial" w:eastAsia="Arial" w:hAnsi="Arial"/>
                <w:sz w:val="13"/>
                <w:szCs w:val="13"/>
                <w:color w:val="auto"/>
              </w:rPr>
              <w:t>2019</w:t>
            </w:r>
          </w:p>
        </w:tc>
        <w:tc>
          <w:tcPr>
            <w:tcW w:w="4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15"/>
              <w:spacing w:after="0"/>
              <w:rPr>
                <w:sz w:val="20"/>
                <w:szCs w:val="20"/>
                <w:color w:val="auto"/>
              </w:rPr>
            </w:pPr>
            <w:r>
              <w:rPr>
                <w:rFonts w:ascii="Arial" w:cs="Arial" w:eastAsia="Arial" w:hAnsi="Arial"/>
                <w:sz w:val="13"/>
                <w:szCs w:val="13"/>
                <w:color w:val="auto"/>
              </w:rPr>
              <w:t>2018</w:t>
            </w:r>
          </w:p>
        </w:tc>
        <w:tc>
          <w:tcPr>
            <w:tcW w:w="0" w:type="dxa"/>
            <w:vAlign w:val="bottom"/>
          </w:tcPr>
          <w:p>
            <w:pPr>
              <w:spacing w:after="0"/>
              <w:rPr>
                <w:sz w:val="1"/>
                <w:szCs w:val="1"/>
                <w:color w:val="auto"/>
              </w:rPr>
            </w:pPr>
          </w:p>
        </w:tc>
      </w:tr>
      <w:tr>
        <w:trPr>
          <w:trHeight w:val="134"/>
        </w:trPr>
        <w:tc>
          <w:tcPr>
            <w:tcW w:w="2920" w:type="dxa"/>
            <w:vAlign w:val="bottom"/>
            <w:tcBorders>
              <w:bottom w:val="single" w:sz="8" w:color="auto"/>
            </w:tcBorders>
            <w:gridSpan w:val="2"/>
            <w:shd w:val="clear" w:color="auto" w:fill="CCEEFF"/>
          </w:tcPr>
          <w:p>
            <w:pPr>
              <w:spacing w:after="0" w:line="134" w:lineRule="exact"/>
              <w:rPr>
                <w:sz w:val="20"/>
                <w:szCs w:val="20"/>
                <w:color w:val="auto"/>
              </w:rPr>
            </w:pPr>
            <w:r>
              <w:rPr>
                <w:rFonts w:ascii="Arial" w:cs="Arial" w:eastAsia="Arial" w:hAnsi="Arial"/>
                <w:sz w:val="13"/>
                <w:szCs w:val="13"/>
                <w:color w:val="auto"/>
              </w:rPr>
              <w:t>Other income, net</w:t>
            </w:r>
          </w:p>
        </w:tc>
        <w:tc>
          <w:tcPr>
            <w:tcW w:w="2160" w:type="dxa"/>
            <w:vAlign w:val="bottom"/>
            <w:tcBorders>
              <w:bottom w:val="single" w:sz="8" w:color="auto"/>
            </w:tcBorders>
            <w:shd w:val="clear" w:color="auto" w:fill="CCEEFF"/>
          </w:tcPr>
          <w:p>
            <w:pPr>
              <w:jc w:val="right"/>
              <w:ind w:right="135"/>
              <w:spacing w:after="0" w:line="134" w:lineRule="exact"/>
              <w:rPr>
                <w:sz w:val="20"/>
                <w:szCs w:val="20"/>
                <w:color w:val="auto"/>
              </w:rPr>
            </w:pPr>
            <w:r>
              <w:rPr>
                <w:rFonts w:ascii="Arial" w:cs="Arial" w:eastAsia="Arial" w:hAnsi="Arial"/>
                <w:sz w:val="13"/>
                <w:szCs w:val="13"/>
                <w:b w:val="1"/>
                <w:bCs w:val="1"/>
                <w:color w:val="auto"/>
              </w:rPr>
              <w:t>$</w:t>
            </w:r>
          </w:p>
        </w:tc>
        <w:tc>
          <w:tcPr>
            <w:tcW w:w="1040" w:type="dxa"/>
            <w:vAlign w:val="bottom"/>
            <w:tcBorders>
              <w:bottom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b w:val="1"/>
                <w:bCs w:val="1"/>
                <w:color w:val="auto"/>
              </w:rPr>
              <w:t>198</w:t>
            </w:r>
          </w:p>
        </w:tc>
        <w:tc>
          <w:tcPr>
            <w:tcW w:w="400" w:type="dxa"/>
            <w:vAlign w:val="bottom"/>
            <w:tcBorders>
              <w:bottom w:val="single" w:sz="8" w:color="auto"/>
            </w:tcBorders>
            <w:shd w:val="clear" w:color="auto" w:fill="CCEEFF"/>
          </w:tcPr>
          <w:p>
            <w:pPr>
              <w:jc w:val="right"/>
              <w:ind w:right="135"/>
              <w:spacing w:after="0" w:line="134" w:lineRule="exact"/>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color w:val="auto"/>
              </w:rPr>
              <w:t>12</w:t>
            </w:r>
          </w:p>
        </w:tc>
        <w:tc>
          <w:tcPr>
            <w:tcW w:w="400" w:type="dxa"/>
            <w:vAlign w:val="bottom"/>
            <w:tcBorders>
              <w:bottom w:val="single" w:sz="8" w:color="auto"/>
            </w:tcBorders>
            <w:shd w:val="clear" w:color="auto" w:fill="CCEEFF"/>
          </w:tcPr>
          <w:p>
            <w:pPr>
              <w:jc w:val="right"/>
              <w:ind w:right="135"/>
              <w:spacing w:after="0" w:line="134" w:lineRule="exact"/>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CCEEFF"/>
          </w:tcPr>
          <w:p>
            <w:pPr>
              <w:jc w:val="right"/>
              <w:ind w:right="175"/>
              <w:spacing w:after="0" w:line="134" w:lineRule="exact"/>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bl>
    <w:p>
      <w:pPr>
        <w:spacing w:after="0" w:line="108" w:lineRule="exact"/>
        <w:rPr>
          <w:sz w:val="20"/>
          <w:szCs w:val="20"/>
          <w:color w:val="auto"/>
        </w:rPr>
      </w:pPr>
    </w:p>
    <w:p>
      <w:pPr>
        <w:jc w:val="both"/>
        <w:ind w:right="39"/>
        <w:spacing w:after="0" w:line="234" w:lineRule="auto"/>
        <w:rPr>
          <w:sz w:val="20"/>
          <w:szCs w:val="20"/>
          <w:color w:val="auto"/>
        </w:rPr>
      </w:pPr>
      <w:r>
        <w:rPr>
          <w:rFonts w:ascii="Arial" w:cs="Arial" w:eastAsia="Arial" w:hAnsi="Arial"/>
          <w:sz w:val="13"/>
          <w:szCs w:val="13"/>
          <w:color w:val="auto"/>
        </w:rPr>
        <w:t>Other income, net includes non-operating items, franchise royalty income, gains associated with disposal of property, changes in fair value, premiums paid, and realized gains associated with foreign currency option contracts, changes in the market value of our available-for-sale security, premiums paid to repurchase and retire bonds, changes in value for our investments accounted for using the fair value measurement alternative, which is at cost adjusted for changes in observable prices minus impairment, our share of earnings or losses related to our equity method investments, and net benefit expense or income related to our pension and postretirement programs, excluding the service cost component.</w:t>
      </w:r>
    </w:p>
    <w:p>
      <w:pPr>
        <w:spacing w:after="0" w:line="112" w:lineRule="exact"/>
        <w:rPr>
          <w:sz w:val="20"/>
          <w:szCs w:val="20"/>
          <w:color w:val="auto"/>
        </w:rPr>
      </w:pPr>
    </w:p>
    <w:p>
      <w:pPr>
        <w:jc w:val="both"/>
        <w:ind w:right="39"/>
        <w:spacing w:after="0" w:line="235" w:lineRule="auto"/>
        <w:rPr>
          <w:sz w:val="20"/>
          <w:szCs w:val="20"/>
          <w:color w:val="auto"/>
        </w:rPr>
      </w:pPr>
      <w:r>
        <w:rPr>
          <w:rFonts w:ascii="Arial" w:cs="Arial" w:eastAsia="Arial" w:hAnsi="Arial"/>
          <w:sz w:val="13"/>
          <w:szCs w:val="13"/>
          <w:color w:val="auto"/>
        </w:rPr>
        <w:t>One of our minority investments, which is measured using the fair value measurement alternative, received additional funding at a higher valuation than our initial investment. As a result, we recorded a $190 million non-cash gain during the third quarter of 2020. Other income, net also included $6 million of royalty income, $5 million of net benefit income relating to our pension and post retirement programs. This income was partially offset by $2 million in premiums paid in connection with the repurchase and retirement of bonds and a $1 million loss related to our equity method investments.</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Income Taxes</w:t>
      </w:r>
    </w:p>
    <w:p>
      <w:pPr>
        <w:spacing w:after="0" w:line="141" w:lineRule="exact"/>
        <w:rPr>
          <w:sz w:val="20"/>
          <w:szCs w:val="20"/>
          <w:color w:val="auto"/>
        </w:rPr>
      </w:pPr>
    </w:p>
    <w:p>
      <w:pPr>
        <w:jc w:val="both"/>
        <w:ind w:right="39"/>
        <w:spacing w:after="0" w:line="235" w:lineRule="auto"/>
        <w:rPr>
          <w:sz w:val="20"/>
          <w:szCs w:val="20"/>
          <w:color w:val="auto"/>
        </w:rPr>
      </w:pPr>
      <w:r>
        <w:rPr>
          <w:rFonts w:ascii="Arial" w:cs="Arial" w:eastAsia="Arial" w:hAnsi="Arial"/>
          <w:sz w:val="13"/>
          <w:szCs w:val="13"/>
          <w:color w:val="auto"/>
        </w:rPr>
        <w:t>Our effective tax rate for 2020 was 34.5 percent, as compared with 27.0 percent in 2019. The increase was primarily due to valuation allowances for losses in certain foreign jurisdictions and a $25 million tax charge related to the revaluation of certain intellectual property rights pursuant to a non-U.S. advance pricing agreement. Additionally, during the fourth quarters of 2020 and 2019, we recorded tax benefits of $5 million and $2 million, respectively, in connection with tax law changes in the Netherlands.</w:t>
      </w:r>
    </w:p>
    <w:p>
      <w:pPr>
        <w:spacing w:after="0" w:line="133" w:lineRule="exact"/>
        <w:rPr>
          <w:sz w:val="20"/>
          <w:szCs w:val="20"/>
          <w:color w:val="auto"/>
        </w:rPr>
      </w:pPr>
    </w:p>
    <w:p>
      <w:pPr>
        <w:jc w:val="both"/>
        <w:ind w:right="39"/>
        <w:spacing w:after="0" w:line="235" w:lineRule="auto"/>
        <w:rPr>
          <w:sz w:val="20"/>
          <w:szCs w:val="20"/>
          <w:color w:val="auto"/>
        </w:rPr>
      </w:pPr>
      <w:r>
        <w:rPr>
          <w:rFonts w:ascii="Arial" w:cs="Arial" w:eastAsia="Arial" w:hAnsi="Arial"/>
          <w:sz w:val="13"/>
          <w:szCs w:val="13"/>
          <w:color w:val="auto"/>
        </w:rPr>
        <w:t>We regularly assess the adequacy of provisions for income tax contingencies in accordance with the applicable authoritative guidance on accounting for income taxes. As a result, reserves for unrecognized tax benefits may be adjusted due to new facts and developments, such as changes to interpretations of relevant tax law, assessments from taxing authorities, settlements with taxing authorities, and lapses of statutes of limitations. The changes in the tax reserves were not significant in 2020 and 2019.</w:t>
      </w:r>
    </w:p>
    <w:p>
      <w:pPr>
        <w:spacing w:after="0" w:line="133" w:lineRule="exact"/>
        <w:rPr>
          <w:sz w:val="20"/>
          <w:szCs w:val="20"/>
          <w:color w:val="auto"/>
        </w:rPr>
      </w:pPr>
    </w:p>
    <w:p>
      <w:pPr>
        <w:jc w:val="both"/>
        <w:ind w:right="39"/>
        <w:spacing w:after="0" w:line="233" w:lineRule="auto"/>
        <w:rPr>
          <w:sz w:val="20"/>
          <w:szCs w:val="20"/>
          <w:color w:val="auto"/>
        </w:rPr>
      </w:pPr>
      <w:r>
        <w:rPr>
          <w:rFonts w:ascii="Arial" w:cs="Arial" w:eastAsia="Arial" w:hAnsi="Arial"/>
          <w:sz w:val="13"/>
          <w:szCs w:val="13"/>
          <w:color w:val="auto"/>
        </w:rPr>
        <w:t>On March 27, 2020, the Coronavirus Aid, Relief, and Economic Security Act (the “CARES Act”) was signed into law in the U.S. to provide certain relief as a result of the COVID-19 pandemic. On December 27, the Consolidations Appropriations Act, 2021 (“CAA”) was signed into law to fund the federal government through the end of the fiscal year, provide further COVID-19 economic relief, and extend certain expiring tax provisions. In addition, governments around the world enacted or implemented various forms of tax relief measures in response to the economic conditions in the wake of COVID-19. We are required to recognize the effects of tax law changes in the period of enactment. We have assessed the applicability of the CARES Act &amp; CAA, (combined as “Acts”), and changes to income tax laws or regulations in other jurisdictions and determined there is no significant effect on our income tax provision for the year ended January 30, 2021. We continue to assess the effect of the Acts and ongoing government guidance related to COVID-19 that may be issued.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7660"/>
        <w:spacing w:after="0"/>
        <w:rPr>
          <w:sz w:val="20"/>
          <w:szCs w:val="20"/>
          <w:color w:val="auto"/>
        </w:rPr>
      </w:pPr>
      <w:r>
        <w:rPr>
          <w:rFonts w:ascii="Arial" w:cs="Arial" w:eastAsia="Arial" w:hAnsi="Arial"/>
          <w:sz w:val="12"/>
          <w:szCs w:val="12"/>
          <w:color w:val="auto"/>
        </w:rPr>
        <w:t>2020 Form 10-K 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365125</wp:posOffset>
            </wp:positionV>
            <wp:extent cx="5790565" cy="13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90565" cy="13335"/>
                    </a:xfrm>
                    <a:prstGeom prst="rect">
                      <a:avLst/>
                    </a:prstGeom>
                    <a:noFill/>
                  </pic:spPr>
                </pic:pic>
              </a:graphicData>
            </a:graphic>
          </wp:anchor>
        </w:drawing>
      </w:r>
    </w:p>
    <w:p>
      <w:pPr>
        <w:sectPr>
          <w:pgSz w:w="11900" w:h="16838" w:orient="portrait"/>
          <w:cols w:equalWidth="0" w:num="1">
            <w:col w:w="9159"/>
          </w:cols>
          <w:pgMar w:left="1300" w:top="657" w:right="1440" w:bottom="1440" w:gutter="0" w:footer="0" w:header="0"/>
        </w:sectPr>
      </w:pPr>
    </w:p>
    <w:bookmarkStart w:id="29" w:name="page30"/>
    <w:bookmarkEnd w:id="29"/>
    <w:p>
      <w:pPr>
        <w:spacing w:after="0"/>
        <w:rPr>
          <w:sz w:val="20"/>
          <w:szCs w:val="20"/>
          <w:color w:val="auto"/>
        </w:rPr>
      </w:pPr>
      <w:r>
        <w:rPr>
          <w:rFonts w:ascii="Arial" w:cs="Arial" w:eastAsia="Arial" w:hAnsi="Arial"/>
          <w:sz w:val="13"/>
          <w:szCs w:val="13"/>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Liquidity</w:t>
      </w:r>
    </w:p>
    <w:p>
      <w:pPr>
        <w:spacing w:after="0" w:line="141" w:lineRule="exact"/>
        <w:rPr>
          <w:sz w:val="20"/>
          <w:szCs w:val="20"/>
          <w:color w:val="auto"/>
        </w:rPr>
      </w:pPr>
    </w:p>
    <w:p>
      <w:pPr>
        <w:jc w:val="both"/>
        <w:ind w:right="39"/>
        <w:spacing w:after="0" w:line="234" w:lineRule="auto"/>
        <w:rPr>
          <w:sz w:val="20"/>
          <w:szCs w:val="20"/>
          <w:color w:val="auto"/>
        </w:rPr>
      </w:pPr>
      <w:r>
        <w:rPr>
          <w:rFonts w:ascii="Arial" w:cs="Arial" w:eastAsia="Arial" w:hAnsi="Arial"/>
          <w:sz w:val="13"/>
          <w:szCs w:val="13"/>
          <w:color w:val="auto"/>
        </w:rPr>
        <w:t>Our primary source of liquidity has been cash flow from operations, while the principal uses of cash have been to fund inventory and other working capital requirements; finance capital expenditures related to store openings, store remodelings, internet and mobile sites, information systems, and other support facilities; make retirement plan contributions, quarterly dividend payments, and interest payments; and fund other cash requirements to support the development of our short-term and long-term operating strategies. We generally finance real estate with operating leases. We believe our cash, cash equivalents, future cash flow from operations, and amounts available under our credit agreement will be adequate to fund these requirements.</w:t>
      </w:r>
    </w:p>
    <w:p>
      <w:pPr>
        <w:spacing w:after="0" w:line="123" w:lineRule="exact"/>
        <w:rPr>
          <w:sz w:val="20"/>
          <w:szCs w:val="20"/>
          <w:color w:val="auto"/>
        </w:rPr>
      </w:pPr>
    </w:p>
    <w:p>
      <w:pPr>
        <w:jc w:val="both"/>
        <w:ind w:right="39"/>
        <w:spacing w:after="0" w:line="236" w:lineRule="auto"/>
        <w:rPr>
          <w:sz w:val="20"/>
          <w:szCs w:val="20"/>
          <w:color w:val="auto"/>
        </w:rPr>
      </w:pPr>
      <w:r>
        <w:rPr>
          <w:rFonts w:ascii="Arial" w:cs="Arial" w:eastAsia="Arial" w:hAnsi="Arial"/>
          <w:sz w:val="13"/>
          <w:szCs w:val="13"/>
          <w:color w:val="auto"/>
        </w:rPr>
        <w:t>We may also repurchase our common stock through open market purchases, privately negotiated transactions, or otherwise. Such repurchases if any, will depend on prevailing market conditions, liquidity requirements, contractual restrictions, and other factors. The amounts involved may be material. As of January 30, 2021, approximately $830 million remained available under our current $1.2 billion share repurchase program.</w:t>
      </w:r>
    </w:p>
    <w:p>
      <w:pPr>
        <w:spacing w:after="0" w:line="113" w:lineRule="exact"/>
        <w:rPr>
          <w:sz w:val="20"/>
          <w:szCs w:val="20"/>
          <w:color w:val="auto"/>
        </w:rPr>
      </w:pPr>
    </w:p>
    <w:p>
      <w:pPr>
        <w:jc w:val="both"/>
        <w:ind w:right="39"/>
        <w:spacing w:after="0"/>
        <w:rPr>
          <w:sz w:val="20"/>
          <w:szCs w:val="20"/>
          <w:color w:val="auto"/>
        </w:rPr>
      </w:pPr>
      <w:r>
        <w:rPr>
          <w:rFonts w:ascii="Arial" w:cs="Arial" w:eastAsia="Arial" w:hAnsi="Arial"/>
          <w:sz w:val="13"/>
          <w:szCs w:val="13"/>
          <w:color w:val="auto"/>
        </w:rPr>
        <w:t>In February 2021, the Board of Directors declared a quarterly dividend of $0.20 per share to be paid on April 30, 2021, representing a 33 percent increase over the previous quarterly per share amount.</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color w:val="auto"/>
        </w:rPr>
        <w:t>In January 2022, we will repay the $98 million principal outstanding of our 8.5 percent debentures.</w:t>
      </w:r>
    </w:p>
    <w:p>
      <w:pPr>
        <w:spacing w:after="0" w:line="127" w:lineRule="exact"/>
        <w:rPr>
          <w:sz w:val="20"/>
          <w:szCs w:val="20"/>
          <w:color w:val="auto"/>
        </w:rPr>
      </w:pPr>
    </w:p>
    <w:p>
      <w:pPr>
        <w:jc w:val="both"/>
        <w:ind w:right="39"/>
        <w:spacing w:after="0" w:line="234" w:lineRule="auto"/>
        <w:rPr>
          <w:sz w:val="20"/>
          <w:szCs w:val="20"/>
          <w:color w:val="auto"/>
        </w:rPr>
      </w:pPr>
      <w:r>
        <w:rPr>
          <w:rFonts w:ascii="Arial" w:cs="Arial" w:eastAsia="Arial" w:hAnsi="Arial"/>
          <w:sz w:val="13"/>
          <w:szCs w:val="13"/>
          <w:color w:val="auto"/>
        </w:rPr>
        <w:t>Any material adverse change in customer demand, fashion trends, competitive market forces, or customer acceptance of our merchandise mix and retail locations, uncertainties related to the effect of competitive products and pricing, our reliance on a few key suppliers for a significant portion of our merchandise purchases and risks associated with global product sourcing, economic conditions worldwide, the effects of currency fluctuations, uncertainties caused by COVID-19, as well as other factors listed under the heading “Disclosure Regarding Forward-Looking Statements,” could affect our ability to continue to fund our liquidity needs from business operations.</w:t>
      </w:r>
    </w:p>
    <w:p>
      <w:pPr>
        <w:spacing w:after="0" w:line="112" w:lineRule="exact"/>
        <w:rPr>
          <w:sz w:val="20"/>
          <w:szCs w:val="20"/>
          <w:color w:val="auto"/>
        </w:rPr>
      </w:pPr>
    </w:p>
    <w:p>
      <w:pPr>
        <w:jc w:val="both"/>
        <w:ind w:right="39"/>
        <w:spacing w:after="0" w:line="235" w:lineRule="auto"/>
        <w:rPr>
          <w:sz w:val="20"/>
          <w:szCs w:val="20"/>
          <w:color w:val="auto"/>
        </w:rPr>
      </w:pPr>
      <w:r>
        <w:rPr>
          <w:rFonts w:ascii="Arial" w:cs="Arial" w:eastAsia="Arial" w:hAnsi="Arial"/>
          <w:sz w:val="13"/>
          <w:szCs w:val="13"/>
          <w:color w:val="auto"/>
        </w:rPr>
        <w:t>Maintaining access to merchandise that we consider appropriate for our business may be subject to the policies and practices of our key suppliers. Therefore, we believe that it is critical to continue to maintain satisfactory relationships with these key suppliers. We purchased approximately 91 percent of our merchandise from our top five suppliers in both 2020 and 2019 and expect to continue to obtain a significant percentage of our athletic product from these suppliers in future periods. Approximately 75 percent and 71 percent was purchased from one supplier, Nike, Inc., in 2020 and 2019, respectively.</w:t>
      </w:r>
    </w:p>
    <w:p>
      <w:pPr>
        <w:spacing w:after="0" w:line="122" w:lineRule="exact"/>
        <w:rPr>
          <w:sz w:val="20"/>
          <w:szCs w:val="20"/>
          <w:color w:val="auto"/>
        </w:rPr>
      </w:pPr>
    </w:p>
    <w:p>
      <w:pPr>
        <w:jc w:val="both"/>
        <w:ind w:right="39"/>
        <w:spacing w:after="0" w:line="233" w:lineRule="auto"/>
        <w:rPr>
          <w:sz w:val="20"/>
          <w:szCs w:val="20"/>
          <w:color w:val="auto"/>
        </w:rPr>
      </w:pPr>
      <w:r>
        <w:rPr>
          <w:rFonts w:ascii="Arial" w:cs="Arial" w:eastAsia="Arial" w:hAnsi="Arial"/>
          <w:sz w:val="13"/>
          <w:szCs w:val="13"/>
          <w:color w:val="auto"/>
        </w:rPr>
        <w:t>Planned capital expenditures in 2021 are $275 million. Included in the planned amount is $160 million dedicated to real estate projects designed to elevate our customers’ in-store experience. The real estate total includes the remodeling or expansion of approximately 130 existing stores, as well as the planned opening of approximately 100 new stores, including the continued expansion of our off-mall community-based and “power” store formats, which provide pinnacle retail experiences that deliver connected customer interactions through service, experience, product, and a sense of community. The real estate total also includes continued expansion in Asia. Finally, the capital plan for 2021 also includes $115 million for digital and supply chain initiatives. As shown in 2020, we have the ability to revise and reschedule much of the anticipated capital expenditure program should our financial position require it.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w w:val="98"/>
              </w:rPr>
              <w:t>Operating Activities</w:t>
            </w:r>
          </w:p>
        </w:tc>
        <w:tc>
          <w:tcPr>
            <w:tcW w:w="25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60" w:type="dxa"/>
            <w:vAlign w:val="bottom"/>
            <w:vMerge w:val="restart"/>
          </w:tcPr>
          <w:p>
            <w:pPr>
              <w:jc w:val="right"/>
              <w:ind w:right="495"/>
              <w:spacing w:after="0"/>
              <w:rPr>
                <w:sz w:val="20"/>
                <w:szCs w:val="20"/>
                <w:color w:val="auto"/>
              </w:rPr>
            </w:pPr>
            <w:r>
              <w:rPr>
                <w:rFonts w:ascii="Arial" w:cs="Arial" w:eastAsia="Arial" w:hAnsi="Arial"/>
                <w:sz w:val="13"/>
                <w:szCs w:val="13"/>
                <w:b w:val="1"/>
                <w:bCs w:val="1"/>
                <w:color w:val="auto"/>
              </w:rPr>
              <w:t>2020</w:t>
            </w:r>
          </w:p>
        </w:tc>
        <w:tc>
          <w:tcPr>
            <w:tcW w:w="4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62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 in millions)</w:t>
            </w:r>
          </w:p>
        </w:tc>
        <w:tc>
          <w:tcPr>
            <w:tcW w:w="15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vMerge w:val="continue"/>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15"/>
              <w:spacing w:after="0"/>
              <w:rPr>
                <w:sz w:val="20"/>
                <w:szCs w:val="20"/>
                <w:color w:val="auto"/>
              </w:rPr>
            </w:pPr>
            <w:r>
              <w:rPr>
                <w:rFonts w:ascii="Arial" w:cs="Arial" w:eastAsia="Arial" w:hAnsi="Arial"/>
                <w:sz w:val="13"/>
                <w:szCs w:val="13"/>
                <w:color w:val="auto"/>
              </w:rPr>
              <w:t>2019</w:t>
            </w:r>
          </w:p>
        </w:tc>
        <w:tc>
          <w:tcPr>
            <w:tcW w:w="4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3"/>
                <w:szCs w:val="13"/>
                <w:color w:val="auto"/>
              </w:rPr>
              <w:t>2018</w:t>
            </w:r>
          </w:p>
        </w:tc>
        <w:tc>
          <w:tcPr>
            <w:tcW w:w="0" w:type="dxa"/>
            <w:vAlign w:val="bottom"/>
          </w:tcPr>
          <w:p>
            <w:pPr>
              <w:spacing w:after="0"/>
              <w:rPr>
                <w:sz w:val="1"/>
                <w:szCs w:val="1"/>
                <w:color w:val="auto"/>
              </w:rPr>
            </w:pPr>
          </w:p>
        </w:tc>
      </w:tr>
      <w:tr>
        <w:trPr>
          <w:trHeight w:val="134"/>
        </w:trPr>
        <w:tc>
          <w:tcPr>
            <w:tcW w:w="3620" w:type="dxa"/>
            <w:vAlign w:val="bottom"/>
            <w:gridSpan w:val="2"/>
            <w:shd w:val="clear" w:color="auto" w:fill="CCEEFF"/>
          </w:tcPr>
          <w:p>
            <w:pPr>
              <w:spacing w:after="0" w:line="134" w:lineRule="exact"/>
              <w:rPr>
                <w:sz w:val="20"/>
                <w:szCs w:val="20"/>
                <w:color w:val="auto"/>
              </w:rPr>
            </w:pPr>
            <w:r>
              <w:rPr>
                <w:rFonts w:ascii="Arial" w:cs="Arial" w:eastAsia="Arial" w:hAnsi="Arial"/>
                <w:sz w:val="13"/>
                <w:szCs w:val="13"/>
                <w:color w:val="auto"/>
              </w:rPr>
              <w:t>Net cash provided by operating activities</w:t>
            </w:r>
          </w:p>
        </w:tc>
        <w:tc>
          <w:tcPr>
            <w:tcW w:w="1580" w:type="dxa"/>
            <w:vAlign w:val="bottom"/>
            <w:shd w:val="clear" w:color="auto" w:fill="CCEEFF"/>
          </w:tcPr>
          <w:p>
            <w:pPr>
              <w:jc w:val="right"/>
              <w:ind w:right="135"/>
              <w:spacing w:after="0" w:line="134" w:lineRule="exact"/>
              <w:rPr>
                <w:sz w:val="20"/>
                <w:szCs w:val="20"/>
                <w:color w:val="auto"/>
              </w:rPr>
            </w:pPr>
            <w:r>
              <w:rPr>
                <w:rFonts w:ascii="Arial" w:cs="Arial" w:eastAsia="Arial" w:hAnsi="Arial"/>
                <w:sz w:val="13"/>
                <w:szCs w:val="13"/>
                <w:b w:val="1"/>
                <w:bCs w:val="1"/>
                <w:color w:val="auto"/>
              </w:rPr>
              <w:t>$</w:t>
            </w:r>
          </w:p>
        </w:tc>
        <w:tc>
          <w:tcPr>
            <w:tcW w:w="1060" w:type="dxa"/>
            <w:vAlign w:val="bottom"/>
            <w:shd w:val="clear" w:color="auto" w:fill="CCEEFF"/>
          </w:tcPr>
          <w:p>
            <w:pPr>
              <w:jc w:val="right"/>
              <w:ind w:right="55"/>
              <w:spacing w:after="0" w:line="134" w:lineRule="exact"/>
              <w:rPr>
                <w:sz w:val="20"/>
                <w:szCs w:val="20"/>
                <w:color w:val="auto"/>
              </w:rPr>
            </w:pPr>
            <w:r>
              <w:rPr>
                <w:rFonts w:ascii="Arial" w:cs="Arial" w:eastAsia="Arial" w:hAnsi="Arial"/>
                <w:sz w:val="13"/>
                <w:szCs w:val="13"/>
                <w:b w:val="1"/>
                <w:bCs w:val="1"/>
                <w:color w:val="auto"/>
              </w:rPr>
              <w:t>1,062</w:t>
            </w:r>
          </w:p>
        </w:tc>
        <w:tc>
          <w:tcPr>
            <w:tcW w:w="400" w:type="dxa"/>
            <w:vAlign w:val="bottom"/>
            <w:shd w:val="clear" w:color="auto" w:fill="CCEEFF"/>
          </w:tcPr>
          <w:p>
            <w:pPr>
              <w:jc w:val="right"/>
              <w:ind w:right="135"/>
              <w:spacing w:after="0" w:line="134" w:lineRule="exact"/>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75"/>
              <w:spacing w:after="0" w:line="134" w:lineRule="exact"/>
              <w:rPr>
                <w:sz w:val="20"/>
                <w:szCs w:val="20"/>
                <w:color w:val="auto"/>
              </w:rPr>
            </w:pPr>
            <w:r>
              <w:rPr>
                <w:rFonts w:ascii="Arial" w:cs="Arial" w:eastAsia="Arial" w:hAnsi="Arial"/>
                <w:sz w:val="13"/>
                <w:szCs w:val="13"/>
                <w:color w:val="auto"/>
              </w:rPr>
              <w:t>696</w:t>
            </w:r>
          </w:p>
        </w:tc>
        <w:tc>
          <w:tcPr>
            <w:tcW w:w="400" w:type="dxa"/>
            <w:vAlign w:val="bottom"/>
            <w:shd w:val="clear" w:color="auto" w:fill="CCEEFF"/>
          </w:tcPr>
          <w:p>
            <w:pPr>
              <w:jc w:val="right"/>
              <w:ind w:right="155"/>
              <w:spacing w:after="0" w:line="134"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781</w:t>
            </w:r>
          </w:p>
        </w:tc>
        <w:tc>
          <w:tcPr>
            <w:tcW w:w="0" w:type="dxa"/>
            <w:vAlign w:val="bottom"/>
          </w:tcPr>
          <w:p>
            <w:pPr>
              <w:spacing w:after="0"/>
              <w:rPr>
                <w:sz w:val="1"/>
                <w:szCs w:val="1"/>
                <w:color w:val="auto"/>
              </w:rPr>
            </w:pPr>
          </w:p>
        </w:tc>
      </w:tr>
      <w:tr>
        <w:trPr>
          <w:trHeight w:val="144"/>
        </w:trPr>
        <w:tc>
          <w:tcPr>
            <w:tcW w:w="3620" w:type="dxa"/>
            <w:vAlign w:val="bottom"/>
            <w:tcBorders>
              <w:bottom w:val="single" w:sz="8" w:color="auto"/>
            </w:tcBorders>
            <w:gridSpan w:val="2"/>
          </w:tcPr>
          <w:p>
            <w:pPr>
              <w:spacing w:after="0" w:line="144" w:lineRule="exact"/>
              <w:rPr>
                <w:sz w:val="20"/>
                <w:szCs w:val="20"/>
                <w:color w:val="auto"/>
              </w:rPr>
            </w:pPr>
            <w:r>
              <w:rPr>
                <w:rFonts w:ascii="Arial" w:cs="Arial" w:eastAsia="Arial" w:hAnsi="Arial"/>
                <w:sz w:val="13"/>
                <w:szCs w:val="13"/>
                <w:color w:val="auto"/>
              </w:rPr>
              <w:t>$ Change</w:t>
            </w:r>
          </w:p>
        </w:tc>
        <w:tc>
          <w:tcPr>
            <w:tcW w:w="1580" w:type="dxa"/>
            <w:vAlign w:val="bottom"/>
            <w:tcBorders>
              <w:bottom w:val="single" w:sz="8" w:color="auto"/>
            </w:tcBorders>
          </w:tcPr>
          <w:p>
            <w:pPr>
              <w:jc w:val="right"/>
              <w:ind w:right="135"/>
              <w:spacing w:after="0" w:line="144" w:lineRule="exact"/>
              <w:rPr>
                <w:sz w:val="20"/>
                <w:szCs w:val="20"/>
                <w:color w:val="auto"/>
              </w:rPr>
            </w:pPr>
            <w:r>
              <w:rPr>
                <w:rFonts w:ascii="Arial" w:cs="Arial" w:eastAsia="Arial" w:hAnsi="Arial"/>
                <w:sz w:val="13"/>
                <w:szCs w:val="13"/>
                <w:b w:val="1"/>
                <w:bCs w:val="1"/>
                <w:color w:val="auto"/>
              </w:rPr>
              <w:t>$</w:t>
            </w:r>
          </w:p>
        </w:tc>
        <w:tc>
          <w:tcPr>
            <w:tcW w:w="1060" w:type="dxa"/>
            <w:vAlign w:val="bottom"/>
            <w:tcBorders>
              <w:bottom w:val="single" w:sz="8" w:color="auto"/>
            </w:tcBorders>
          </w:tcPr>
          <w:p>
            <w:pPr>
              <w:jc w:val="right"/>
              <w:ind w:right="55"/>
              <w:spacing w:after="0" w:line="144" w:lineRule="exact"/>
              <w:rPr>
                <w:sz w:val="20"/>
                <w:szCs w:val="20"/>
                <w:color w:val="auto"/>
              </w:rPr>
            </w:pPr>
            <w:r>
              <w:rPr>
                <w:rFonts w:ascii="Arial" w:cs="Arial" w:eastAsia="Arial" w:hAnsi="Arial"/>
                <w:sz w:val="13"/>
                <w:szCs w:val="13"/>
                <w:b w:val="1"/>
                <w:bCs w:val="1"/>
                <w:color w:val="auto"/>
              </w:rPr>
              <w:t>366</w:t>
            </w:r>
          </w:p>
        </w:tc>
        <w:tc>
          <w:tcPr>
            <w:tcW w:w="400" w:type="dxa"/>
            <w:vAlign w:val="bottom"/>
            <w:tcBorders>
              <w:bottom w:val="single" w:sz="8" w:color="auto"/>
            </w:tcBorders>
          </w:tcPr>
          <w:p>
            <w:pPr>
              <w:jc w:val="right"/>
              <w:ind w:right="135"/>
              <w:spacing w:after="0" w:line="144" w:lineRule="exact"/>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35"/>
              <w:spacing w:after="0" w:line="144" w:lineRule="exact"/>
              <w:rPr>
                <w:sz w:val="20"/>
                <w:szCs w:val="20"/>
                <w:color w:val="auto"/>
              </w:rPr>
            </w:pPr>
            <w:r>
              <w:rPr>
                <w:rFonts w:ascii="Arial" w:cs="Arial" w:eastAsia="Arial" w:hAnsi="Arial"/>
                <w:sz w:val="13"/>
                <w:szCs w:val="13"/>
                <w:color w:val="auto"/>
              </w:rPr>
              <w:t>(85)</w:t>
            </w:r>
          </w:p>
        </w:tc>
        <w:tc>
          <w:tcPr>
            <w:tcW w:w="400" w:type="dxa"/>
            <w:vAlign w:val="bottom"/>
            <w:tcBorders>
              <w:bottom w:val="single" w:sz="8" w:color="auto"/>
            </w:tcBorders>
          </w:tcPr>
          <w:p>
            <w:pPr>
              <w:jc w:val="right"/>
              <w:ind w:right="155"/>
              <w:spacing w:after="0" w:line="144" w:lineRule="exact"/>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right="39"/>
        <w:spacing w:after="0" w:line="236" w:lineRule="auto"/>
        <w:rPr>
          <w:sz w:val="20"/>
          <w:szCs w:val="20"/>
          <w:color w:val="auto"/>
        </w:rPr>
      </w:pPr>
      <w:r>
        <w:rPr>
          <w:rFonts w:ascii="Arial" w:cs="Arial" w:eastAsia="Arial" w:hAnsi="Arial"/>
          <w:sz w:val="13"/>
          <w:szCs w:val="13"/>
          <w:color w:val="auto"/>
        </w:rPr>
        <w:t>The amount provided by operating activities reflects income adjusted for non-cash items and working capital changes. Adjustments to net income for non-cash items include non-cash gains, non-cash impairment and other charges, depreciation and amortization, deferred income taxes, and share-based compensation expense.</w:t>
      </w:r>
    </w:p>
    <w:p>
      <w:pPr>
        <w:spacing w:after="0" w:line="113" w:lineRule="exact"/>
        <w:rPr>
          <w:sz w:val="20"/>
          <w:szCs w:val="20"/>
          <w:color w:val="auto"/>
        </w:rPr>
      </w:pPr>
    </w:p>
    <w:p>
      <w:pPr>
        <w:jc w:val="both"/>
        <w:ind w:right="39"/>
        <w:spacing w:after="0" w:line="234" w:lineRule="auto"/>
        <w:rPr>
          <w:sz w:val="20"/>
          <w:szCs w:val="20"/>
          <w:color w:val="auto"/>
        </w:rPr>
      </w:pPr>
      <w:r>
        <w:rPr>
          <w:rFonts w:ascii="Arial" w:cs="Arial" w:eastAsia="Arial" w:hAnsi="Arial"/>
          <w:sz w:val="13"/>
          <w:szCs w:val="13"/>
          <w:color w:val="auto"/>
        </w:rPr>
        <w:t>The increase in cash provided by operating activities in 2020 compared with the prior year reflected higher inflows associated with working capital changes, partially offset by lower net income and a non-cash gain. In response to the COVID-19 pandemic we carefully managed our inventory levels. We were also affected by lack of available inventory caused, in part, by slowdowns in the supply chain environment. During 2020, we did not make any contributions to our U.S. qualified pension plan, as compared with $55 million made in 2019. No U.S. qualified pension plan contributions were required during 2020 due to the strong funded position of the plan. The amounts and timing of pension contributions are dependent on several factors, including asset performance.</w:t>
      </w:r>
    </w:p>
    <w:p>
      <w:pPr>
        <w:spacing w:after="0" w:line="123" w:lineRule="exact"/>
        <w:rPr>
          <w:sz w:val="20"/>
          <w:szCs w:val="20"/>
          <w:color w:val="auto"/>
        </w:rPr>
      </w:pPr>
    </w:p>
    <w:p>
      <w:pPr>
        <w:ind w:left="7660"/>
        <w:spacing w:after="0"/>
        <w:rPr>
          <w:sz w:val="20"/>
          <w:szCs w:val="20"/>
          <w:color w:val="auto"/>
        </w:rPr>
      </w:pPr>
      <w:r>
        <w:rPr>
          <w:rFonts w:ascii="Arial" w:cs="Arial" w:eastAsia="Arial" w:hAnsi="Arial"/>
          <w:sz w:val="12"/>
          <w:szCs w:val="12"/>
          <w:color w:val="auto"/>
        </w:rPr>
        <w:t>2020 Form 10-K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365125</wp:posOffset>
            </wp:positionV>
            <wp:extent cx="5790565" cy="196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90565" cy="19685"/>
                    </a:xfrm>
                    <a:prstGeom prst="rect">
                      <a:avLst/>
                    </a:prstGeom>
                    <a:noFill/>
                  </pic:spPr>
                </pic:pic>
              </a:graphicData>
            </a:graphic>
          </wp:anchor>
        </w:drawing>
      </w:r>
    </w:p>
    <w:p>
      <w:pPr>
        <w:sectPr>
          <w:pgSz w:w="11900" w:h="16838" w:orient="portrait"/>
          <w:cols w:equalWidth="0" w:num="1">
            <w:col w:w="9159"/>
          </w:cols>
          <w:pgMar w:left="1300" w:top="662" w:right="1440" w:bottom="1440" w:gutter="0" w:footer="0" w:header="0"/>
        </w:sectPr>
      </w:pPr>
    </w:p>
    <w:bookmarkStart w:id="30" w:name="page31"/>
    <w:bookmarkEnd w:id="30"/>
    <w:p>
      <w:pPr>
        <w:jc w:val="both"/>
        <w:ind w:right="39"/>
        <w:spacing w:after="0"/>
        <w:rPr>
          <w:sz w:val="20"/>
          <w:szCs w:val="20"/>
          <w:color w:val="auto"/>
        </w:rPr>
      </w:pPr>
      <w:r>
        <w:rPr>
          <w:rFonts w:ascii="Arial" w:cs="Arial" w:eastAsia="Arial" w:hAnsi="Arial"/>
          <w:sz w:val="13"/>
          <w:szCs w:val="13"/>
          <w:color w:val="auto"/>
        </w:rPr>
        <w:t>As of January 30, 2021, we have withheld approximately $24 million of lease and lease-related payments as we continue to negotiate rent deferrals or abatements with our landlords for the period that our stores were closed due to the COVID-19 pandemic.</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color w:val="auto"/>
        </w:rPr>
        <w:t>Cash paid for income taxes was $100 million, $201 million, and $184 million for 2020, 2019, and 2018, respectively.</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80" w:type="dxa"/>
            <w:vAlign w:val="bottom"/>
            <w:gridSpan w:val="2"/>
          </w:tcPr>
          <w:p>
            <w:pPr>
              <w:spacing w:after="0"/>
              <w:rPr>
                <w:sz w:val="20"/>
                <w:szCs w:val="20"/>
                <w:color w:val="auto"/>
              </w:rPr>
            </w:pPr>
            <w:r>
              <w:rPr>
                <w:rFonts w:ascii="Arial" w:cs="Arial" w:eastAsia="Arial" w:hAnsi="Arial"/>
                <w:sz w:val="13"/>
                <w:szCs w:val="13"/>
                <w:i w:val="1"/>
                <w:iCs w:val="1"/>
                <w:color w:val="auto"/>
              </w:rPr>
              <w:t>Investing Activities</w:t>
            </w:r>
          </w:p>
        </w:tc>
        <w:tc>
          <w:tcPr>
            <w:tcW w:w="1720" w:type="dxa"/>
            <w:vAlign w:val="bottom"/>
          </w:tcPr>
          <w:p>
            <w:pPr>
              <w:spacing w:after="0"/>
              <w:rPr>
                <w:sz w:val="13"/>
                <w:szCs w:val="13"/>
                <w:color w:val="auto"/>
              </w:rPr>
            </w:pPr>
          </w:p>
        </w:tc>
        <w:tc>
          <w:tcPr>
            <w:tcW w:w="1080" w:type="dxa"/>
            <w:vAlign w:val="bottom"/>
            <w:vMerge w:val="restart"/>
          </w:tcPr>
          <w:p>
            <w:pPr>
              <w:jc w:val="right"/>
              <w:ind w:right="515"/>
              <w:spacing w:after="0"/>
              <w:rPr>
                <w:sz w:val="20"/>
                <w:szCs w:val="20"/>
                <w:color w:val="auto"/>
              </w:rPr>
            </w:pPr>
            <w:r>
              <w:rPr>
                <w:rFonts w:ascii="Arial" w:cs="Arial" w:eastAsia="Arial" w:hAnsi="Arial"/>
                <w:sz w:val="13"/>
                <w:szCs w:val="13"/>
                <w:b w:val="1"/>
                <w:bCs w:val="1"/>
                <w:color w:val="auto"/>
              </w:rPr>
              <w:t>2020</w:t>
            </w: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06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 in millions)</w:t>
            </w:r>
          </w:p>
        </w:tc>
        <w:tc>
          <w:tcPr>
            <w:tcW w:w="242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15"/>
              <w:spacing w:after="0"/>
              <w:rPr>
                <w:sz w:val="20"/>
                <w:szCs w:val="20"/>
                <w:color w:val="auto"/>
              </w:rPr>
            </w:pPr>
            <w:r>
              <w:rPr>
                <w:rFonts w:ascii="Arial" w:cs="Arial" w:eastAsia="Arial" w:hAnsi="Arial"/>
                <w:sz w:val="13"/>
                <w:szCs w:val="13"/>
                <w:color w:val="auto"/>
              </w:rPr>
              <w:t>2019</w:t>
            </w:r>
          </w:p>
        </w:tc>
        <w:tc>
          <w:tcPr>
            <w:tcW w:w="4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3"/>
                <w:szCs w:val="13"/>
                <w:color w:val="auto"/>
              </w:rPr>
              <w:t>2018</w:t>
            </w:r>
          </w:p>
        </w:tc>
        <w:tc>
          <w:tcPr>
            <w:tcW w:w="0" w:type="dxa"/>
            <w:vAlign w:val="bottom"/>
          </w:tcPr>
          <w:p>
            <w:pPr>
              <w:spacing w:after="0"/>
              <w:rPr>
                <w:sz w:val="1"/>
                <w:szCs w:val="1"/>
                <w:color w:val="auto"/>
              </w:rPr>
            </w:pPr>
          </w:p>
        </w:tc>
      </w:tr>
      <w:tr>
        <w:trPr>
          <w:trHeight w:val="134"/>
        </w:trPr>
        <w:tc>
          <w:tcPr>
            <w:tcW w:w="3480" w:type="dxa"/>
            <w:vAlign w:val="bottom"/>
            <w:gridSpan w:val="2"/>
            <w:shd w:val="clear" w:color="auto" w:fill="CCEEFF"/>
          </w:tcPr>
          <w:p>
            <w:pPr>
              <w:spacing w:after="0" w:line="134" w:lineRule="exact"/>
              <w:rPr>
                <w:sz w:val="20"/>
                <w:szCs w:val="20"/>
                <w:color w:val="auto"/>
              </w:rPr>
            </w:pPr>
            <w:r>
              <w:rPr>
                <w:rFonts w:ascii="Arial" w:cs="Arial" w:eastAsia="Arial" w:hAnsi="Arial"/>
                <w:sz w:val="13"/>
                <w:szCs w:val="13"/>
                <w:color w:val="auto"/>
              </w:rPr>
              <w:t>Net cash used in investing activities</w:t>
            </w:r>
          </w:p>
        </w:tc>
        <w:tc>
          <w:tcPr>
            <w:tcW w:w="1720" w:type="dxa"/>
            <w:vAlign w:val="bottom"/>
            <w:shd w:val="clear" w:color="auto" w:fill="CCEEFF"/>
          </w:tcPr>
          <w:p>
            <w:pPr>
              <w:jc w:val="right"/>
              <w:ind w:right="135"/>
              <w:spacing w:after="0" w:line="134" w:lineRule="exact"/>
              <w:rPr>
                <w:sz w:val="20"/>
                <w:szCs w:val="20"/>
                <w:color w:val="auto"/>
              </w:rPr>
            </w:pPr>
            <w:r>
              <w:rPr>
                <w:rFonts w:ascii="Arial" w:cs="Arial" w:eastAsia="Arial" w:hAnsi="Arial"/>
                <w:sz w:val="13"/>
                <w:szCs w:val="13"/>
                <w:b w:val="1"/>
                <w:bCs w:val="1"/>
                <w:color w:val="auto"/>
              </w:rPr>
              <w:t>$</w:t>
            </w:r>
          </w:p>
        </w:tc>
        <w:tc>
          <w:tcPr>
            <w:tcW w:w="1080" w:type="dxa"/>
            <w:vAlign w:val="bottom"/>
            <w:shd w:val="clear" w:color="auto" w:fill="CCEEFF"/>
          </w:tcPr>
          <w:p>
            <w:pPr>
              <w:jc w:val="right"/>
              <w:ind w:right="75"/>
              <w:spacing w:after="0" w:line="134" w:lineRule="exact"/>
              <w:rPr>
                <w:sz w:val="20"/>
                <w:szCs w:val="20"/>
                <w:color w:val="auto"/>
              </w:rPr>
            </w:pPr>
            <w:r>
              <w:rPr>
                <w:rFonts w:ascii="Arial" w:cs="Arial" w:eastAsia="Arial" w:hAnsi="Arial"/>
                <w:sz w:val="13"/>
                <w:szCs w:val="13"/>
                <w:b w:val="1"/>
                <w:bCs w:val="1"/>
                <w:color w:val="auto"/>
              </w:rPr>
              <w:t>168</w:t>
            </w:r>
          </w:p>
        </w:tc>
        <w:tc>
          <w:tcPr>
            <w:tcW w:w="380" w:type="dxa"/>
            <w:vAlign w:val="bottom"/>
            <w:shd w:val="clear" w:color="auto" w:fill="CCEEFF"/>
          </w:tcPr>
          <w:p>
            <w:pPr>
              <w:jc w:val="right"/>
              <w:ind w:right="135"/>
              <w:spacing w:after="0" w:line="134" w:lineRule="exact"/>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75"/>
              <w:spacing w:after="0" w:line="134" w:lineRule="exact"/>
              <w:rPr>
                <w:sz w:val="20"/>
                <w:szCs w:val="20"/>
                <w:color w:val="auto"/>
              </w:rPr>
            </w:pPr>
            <w:r>
              <w:rPr>
                <w:rFonts w:ascii="Arial" w:cs="Arial" w:eastAsia="Arial" w:hAnsi="Arial"/>
                <w:sz w:val="13"/>
                <w:szCs w:val="13"/>
                <w:color w:val="auto"/>
              </w:rPr>
              <w:t>235</w:t>
            </w:r>
          </w:p>
        </w:tc>
        <w:tc>
          <w:tcPr>
            <w:tcW w:w="400" w:type="dxa"/>
            <w:vAlign w:val="bottom"/>
            <w:shd w:val="clear" w:color="auto" w:fill="CCEEFF"/>
          </w:tcPr>
          <w:p>
            <w:pPr>
              <w:jc w:val="right"/>
              <w:ind w:right="155"/>
              <w:spacing w:after="0" w:line="134"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274</w:t>
            </w:r>
          </w:p>
        </w:tc>
        <w:tc>
          <w:tcPr>
            <w:tcW w:w="0" w:type="dxa"/>
            <w:vAlign w:val="bottom"/>
          </w:tcPr>
          <w:p>
            <w:pPr>
              <w:spacing w:after="0"/>
              <w:rPr>
                <w:sz w:val="1"/>
                <w:szCs w:val="1"/>
                <w:color w:val="auto"/>
              </w:rPr>
            </w:pPr>
          </w:p>
        </w:tc>
      </w:tr>
      <w:tr>
        <w:trPr>
          <w:trHeight w:val="144"/>
        </w:trPr>
        <w:tc>
          <w:tcPr>
            <w:tcW w:w="3480" w:type="dxa"/>
            <w:vAlign w:val="bottom"/>
            <w:tcBorders>
              <w:bottom w:val="single" w:sz="8" w:color="auto"/>
            </w:tcBorders>
            <w:gridSpan w:val="2"/>
          </w:tcPr>
          <w:p>
            <w:pPr>
              <w:spacing w:after="0" w:line="144" w:lineRule="exact"/>
              <w:rPr>
                <w:sz w:val="20"/>
                <w:szCs w:val="20"/>
                <w:color w:val="auto"/>
              </w:rPr>
            </w:pPr>
            <w:r>
              <w:rPr>
                <w:rFonts w:ascii="Arial" w:cs="Arial" w:eastAsia="Arial" w:hAnsi="Arial"/>
                <w:sz w:val="13"/>
                <w:szCs w:val="13"/>
                <w:color w:val="auto"/>
              </w:rPr>
              <w:t>$ Change</w:t>
            </w:r>
          </w:p>
        </w:tc>
        <w:tc>
          <w:tcPr>
            <w:tcW w:w="1720" w:type="dxa"/>
            <w:vAlign w:val="bottom"/>
            <w:tcBorders>
              <w:bottom w:val="single" w:sz="8" w:color="auto"/>
            </w:tcBorders>
          </w:tcPr>
          <w:p>
            <w:pPr>
              <w:jc w:val="right"/>
              <w:ind w:right="135"/>
              <w:spacing w:after="0" w:line="144" w:lineRule="exact"/>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tcPr>
          <w:p>
            <w:pPr>
              <w:jc w:val="right"/>
              <w:ind w:right="35"/>
              <w:spacing w:after="0" w:line="144" w:lineRule="exact"/>
              <w:rPr>
                <w:sz w:val="20"/>
                <w:szCs w:val="20"/>
                <w:color w:val="auto"/>
              </w:rPr>
            </w:pPr>
            <w:r>
              <w:rPr>
                <w:rFonts w:ascii="Arial" w:cs="Arial" w:eastAsia="Arial" w:hAnsi="Arial"/>
                <w:sz w:val="13"/>
                <w:szCs w:val="13"/>
                <w:b w:val="1"/>
                <w:bCs w:val="1"/>
                <w:color w:val="auto"/>
              </w:rPr>
              <w:t>(67)</w:t>
            </w:r>
          </w:p>
        </w:tc>
        <w:tc>
          <w:tcPr>
            <w:tcW w:w="380" w:type="dxa"/>
            <w:vAlign w:val="bottom"/>
            <w:tcBorders>
              <w:bottom w:val="single" w:sz="8" w:color="auto"/>
            </w:tcBorders>
          </w:tcPr>
          <w:p>
            <w:pPr>
              <w:jc w:val="right"/>
              <w:ind w:right="135"/>
              <w:spacing w:after="0" w:line="144" w:lineRule="exact"/>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35"/>
              <w:spacing w:after="0" w:line="144" w:lineRule="exact"/>
              <w:rPr>
                <w:sz w:val="20"/>
                <w:szCs w:val="20"/>
                <w:color w:val="auto"/>
              </w:rPr>
            </w:pPr>
            <w:r>
              <w:rPr>
                <w:rFonts w:ascii="Arial" w:cs="Arial" w:eastAsia="Arial" w:hAnsi="Arial"/>
                <w:sz w:val="13"/>
                <w:szCs w:val="13"/>
                <w:color w:val="auto"/>
              </w:rPr>
              <w:t>(39)</w:t>
            </w:r>
          </w:p>
        </w:tc>
        <w:tc>
          <w:tcPr>
            <w:tcW w:w="400" w:type="dxa"/>
            <w:vAlign w:val="bottom"/>
            <w:tcBorders>
              <w:bottom w:val="single" w:sz="8" w:color="auto"/>
            </w:tcBorders>
          </w:tcPr>
          <w:p>
            <w:pPr>
              <w:jc w:val="right"/>
              <w:ind w:right="155"/>
              <w:spacing w:after="0" w:line="144" w:lineRule="exact"/>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right="59"/>
        <w:spacing w:after="0"/>
        <w:rPr>
          <w:sz w:val="20"/>
          <w:szCs w:val="20"/>
          <w:color w:val="auto"/>
        </w:rPr>
      </w:pPr>
      <w:r>
        <w:rPr>
          <w:rFonts w:ascii="Arial" w:cs="Arial" w:eastAsia="Arial" w:hAnsi="Arial"/>
          <w:sz w:val="13"/>
          <w:szCs w:val="13"/>
          <w:color w:val="auto"/>
        </w:rPr>
        <w:t>Capital expenditures in 2020 decreased to $159 from $187 in the prior year. During 2020, we completed the remodeling or relocation of 82 existing stores and opened 69 new stores.</w:t>
      </w:r>
    </w:p>
    <w:p>
      <w:pPr>
        <w:spacing w:after="0" w:line="122" w:lineRule="exact"/>
        <w:rPr>
          <w:sz w:val="20"/>
          <w:szCs w:val="20"/>
          <w:color w:val="auto"/>
        </w:rPr>
      </w:pPr>
    </w:p>
    <w:p>
      <w:pPr>
        <w:jc w:val="both"/>
        <w:ind w:right="39"/>
        <w:spacing w:after="0"/>
        <w:rPr>
          <w:sz w:val="20"/>
          <w:szCs w:val="20"/>
          <w:color w:val="auto"/>
        </w:rPr>
      </w:pPr>
      <w:r>
        <w:rPr>
          <w:rFonts w:ascii="Arial" w:cs="Arial" w:eastAsia="Arial" w:hAnsi="Arial"/>
          <w:sz w:val="13"/>
          <w:szCs w:val="13"/>
          <w:color w:val="auto"/>
        </w:rPr>
        <w:t>Investing activities for 2020 included cash outflows of $9 million related to various minority investments as compared with $50 million in 2019. Also included in 2019 is a $2 million inflow related to the sale of a building.</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80" w:type="dxa"/>
            <w:vAlign w:val="bottom"/>
            <w:gridSpan w:val="2"/>
          </w:tcPr>
          <w:p>
            <w:pPr>
              <w:spacing w:after="0"/>
              <w:rPr>
                <w:sz w:val="20"/>
                <w:szCs w:val="20"/>
                <w:color w:val="auto"/>
              </w:rPr>
            </w:pPr>
            <w:r>
              <w:rPr>
                <w:rFonts w:ascii="Arial" w:cs="Arial" w:eastAsia="Arial" w:hAnsi="Arial"/>
                <w:sz w:val="13"/>
                <w:szCs w:val="13"/>
                <w:i w:val="1"/>
                <w:iCs w:val="1"/>
                <w:color w:val="auto"/>
              </w:rPr>
              <w:t>Financing Activities</w:t>
            </w:r>
          </w:p>
        </w:tc>
        <w:tc>
          <w:tcPr>
            <w:tcW w:w="1720" w:type="dxa"/>
            <w:vAlign w:val="bottom"/>
          </w:tcPr>
          <w:p>
            <w:pPr>
              <w:spacing w:after="0"/>
              <w:rPr>
                <w:sz w:val="13"/>
                <w:szCs w:val="13"/>
                <w:color w:val="auto"/>
              </w:rPr>
            </w:pPr>
          </w:p>
        </w:tc>
        <w:tc>
          <w:tcPr>
            <w:tcW w:w="1080" w:type="dxa"/>
            <w:vAlign w:val="bottom"/>
            <w:vMerge w:val="restart"/>
          </w:tcPr>
          <w:p>
            <w:pPr>
              <w:jc w:val="right"/>
              <w:ind w:right="515"/>
              <w:spacing w:after="0"/>
              <w:rPr>
                <w:sz w:val="20"/>
                <w:szCs w:val="20"/>
                <w:color w:val="auto"/>
              </w:rPr>
            </w:pPr>
            <w:r>
              <w:rPr>
                <w:rFonts w:ascii="Arial" w:cs="Arial" w:eastAsia="Arial" w:hAnsi="Arial"/>
                <w:sz w:val="13"/>
                <w:szCs w:val="13"/>
                <w:b w:val="1"/>
                <w:bCs w:val="1"/>
                <w:color w:val="auto"/>
              </w:rPr>
              <w:t>2020</w:t>
            </w:r>
          </w:p>
        </w:tc>
        <w:tc>
          <w:tcPr>
            <w:tcW w:w="3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1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 in millions)</w:t>
            </w:r>
          </w:p>
        </w:tc>
        <w:tc>
          <w:tcPr>
            <w:tcW w:w="238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15"/>
              <w:spacing w:after="0"/>
              <w:rPr>
                <w:sz w:val="20"/>
                <w:szCs w:val="20"/>
                <w:color w:val="auto"/>
              </w:rPr>
            </w:pPr>
            <w:r>
              <w:rPr>
                <w:rFonts w:ascii="Arial" w:cs="Arial" w:eastAsia="Arial" w:hAnsi="Arial"/>
                <w:sz w:val="13"/>
                <w:szCs w:val="13"/>
                <w:color w:val="auto"/>
              </w:rPr>
              <w:t>2019</w:t>
            </w:r>
          </w:p>
        </w:tc>
        <w:tc>
          <w:tcPr>
            <w:tcW w:w="4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3"/>
                <w:szCs w:val="13"/>
                <w:color w:val="auto"/>
              </w:rPr>
              <w:t>2018</w:t>
            </w:r>
          </w:p>
        </w:tc>
        <w:tc>
          <w:tcPr>
            <w:tcW w:w="0" w:type="dxa"/>
            <w:vAlign w:val="bottom"/>
          </w:tcPr>
          <w:p>
            <w:pPr>
              <w:spacing w:after="0"/>
              <w:rPr>
                <w:sz w:val="1"/>
                <w:szCs w:val="1"/>
                <w:color w:val="auto"/>
              </w:rPr>
            </w:pPr>
          </w:p>
        </w:tc>
      </w:tr>
      <w:tr>
        <w:trPr>
          <w:trHeight w:val="134"/>
        </w:trPr>
        <w:tc>
          <w:tcPr>
            <w:tcW w:w="3480" w:type="dxa"/>
            <w:vAlign w:val="bottom"/>
            <w:gridSpan w:val="2"/>
            <w:shd w:val="clear" w:color="auto" w:fill="CCEEFF"/>
          </w:tcPr>
          <w:p>
            <w:pPr>
              <w:spacing w:after="0" w:line="134" w:lineRule="exact"/>
              <w:rPr>
                <w:sz w:val="20"/>
                <w:szCs w:val="20"/>
                <w:color w:val="auto"/>
              </w:rPr>
            </w:pPr>
            <w:r>
              <w:rPr>
                <w:rFonts w:ascii="Arial" w:cs="Arial" w:eastAsia="Arial" w:hAnsi="Arial"/>
                <w:sz w:val="13"/>
                <w:szCs w:val="13"/>
                <w:color w:val="auto"/>
              </w:rPr>
              <w:t>Net cash used in financing activities</w:t>
            </w:r>
          </w:p>
        </w:tc>
        <w:tc>
          <w:tcPr>
            <w:tcW w:w="1720" w:type="dxa"/>
            <w:vAlign w:val="bottom"/>
            <w:shd w:val="clear" w:color="auto" w:fill="CCEEFF"/>
          </w:tcPr>
          <w:p>
            <w:pPr>
              <w:jc w:val="right"/>
              <w:ind w:right="135"/>
              <w:spacing w:after="0" w:line="134" w:lineRule="exact"/>
              <w:rPr>
                <w:sz w:val="20"/>
                <w:szCs w:val="20"/>
                <w:color w:val="auto"/>
              </w:rPr>
            </w:pPr>
            <w:r>
              <w:rPr>
                <w:rFonts w:ascii="Arial" w:cs="Arial" w:eastAsia="Arial" w:hAnsi="Arial"/>
                <w:sz w:val="13"/>
                <w:szCs w:val="13"/>
                <w:b w:val="1"/>
                <w:bCs w:val="1"/>
                <w:color w:val="auto"/>
              </w:rPr>
              <w:t>$</w:t>
            </w:r>
          </w:p>
        </w:tc>
        <w:tc>
          <w:tcPr>
            <w:tcW w:w="1080" w:type="dxa"/>
            <w:vAlign w:val="bottom"/>
            <w:shd w:val="clear" w:color="auto" w:fill="CCEEFF"/>
          </w:tcPr>
          <w:p>
            <w:pPr>
              <w:jc w:val="right"/>
              <w:ind w:right="75"/>
              <w:spacing w:after="0" w:line="134" w:lineRule="exact"/>
              <w:rPr>
                <w:sz w:val="20"/>
                <w:szCs w:val="20"/>
                <w:color w:val="auto"/>
              </w:rPr>
            </w:pPr>
            <w:r>
              <w:rPr>
                <w:rFonts w:ascii="Arial" w:cs="Arial" w:eastAsia="Arial" w:hAnsi="Arial"/>
                <w:sz w:val="13"/>
                <w:szCs w:val="13"/>
                <w:b w:val="1"/>
                <w:bCs w:val="1"/>
                <w:color w:val="auto"/>
              </w:rPr>
              <w:t>126</w:t>
            </w:r>
          </w:p>
        </w:tc>
        <w:tc>
          <w:tcPr>
            <w:tcW w:w="380" w:type="dxa"/>
            <w:vAlign w:val="bottom"/>
            <w:shd w:val="clear" w:color="auto" w:fill="CCEEFF"/>
          </w:tcPr>
          <w:p>
            <w:pPr>
              <w:jc w:val="right"/>
              <w:ind w:right="135"/>
              <w:spacing w:after="0" w:line="134" w:lineRule="exact"/>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75"/>
              <w:spacing w:after="0" w:line="134" w:lineRule="exact"/>
              <w:rPr>
                <w:sz w:val="20"/>
                <w:szCs w:val="20"/>
                <w:color w:val="auto"/>
              </w:rPr>
            </w:pPr>
            <w:r>
              <w:rPr>
                <w:rFonts w:ascii="Arial" w:cs="Arial" w:eastAsia="Arial" w:hAnsi="Arial"/>
                <w:sz w:val="13"/>
                <w:szCs w:val="13"/>
                <w:color w:val="auto"/>
              </w:rPr>
              <w:t>493</w:t>
            </w:r>
          </w:p>
        </w:tc>
        <w:tc>
          <w:tcPr>
            <w:tcW w:w="400" w:type="dxa"/>
            <w:vAlign w:val="bottom"/>
            <w:shd w:val="clear" w:color="auto" w:fill="CCEEFF"/>
          </w:tcPr>
          <w:p>
            <w:pPr>
              <w:jc w:val="right"/>
              <w:ind w:right="155"/>
              <w:spacing w:after="0" w:line="134"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527</w:t>
            </w:r>
          </w:p>
        </w:tc>
        <w:tc>
          <w:tcPr>
            <w:tcW w:w="0" w:type="dxa"/>
            <w:vAlign w:val="bottom"/>
          </w:tcPr>
          <w:p>
            <w:pPr>
              <w:spacing w:after="0"/>
              <w:rPr>
                <w:sz w:val="1"/>
                <w:szCs w:val="1"/>
                <w:color w:val="auto"/>
              </w:rPr>
            </w:pPr>
          </w:p>
        </w:tc>
      </w:tr>
      <w:tr>
        <w:trPr>
          <w:trHeight w:val="144"/>
        </w:trPr>
        <w:tc>
          <w:tcPr>
            <w:tcW w:w="3480" w:type="dxa"/>
            <w:vAlign w:val="bottom"/>
            <w:tcBorders>
              <w:bottom w:val="single" w:sz="8" w:color="auto"/>
            </w:tcBorders>
            <w:gridSpan w:val="2"/>
          </w:tcPr>
          <w:p>
            <w:pPr>
              <w:spacing w:after="0" w:line="144" w:lineRule="exact"/>
              <w:rPr>
                <w:sz w:val="20"/>
                <w:szCs w:val="20"/>
                <w:color w:val="auto"/>
              </w:rPr>
            </w:pPr>
            <w:r>
              <w:rPr>
                <w:rFonts w:ascii="Arial" w:cs="Arial" w:eastAsia="Arial" w:hAnsi="Arial"/>
                <w:sz w:val="13"/>
                <w:szCs w:val="13"/>
                <w:color w:val="auto"/>
              </w:rPr>
              <w:t>$ Change</w:t>
            </w:r>
          </w:p>
        </w:tc>
        <w:tc>
          <w:tcPr>
            <w:tcW w:w="1720" w:type="dxa"/>
            <w:vAlign w:val="bottom"/>
            <w:tcBorders>
              <w:bottom w:val="single" w:sz="8" w:color="auto"/>
            </w:tcBorders>
          </w:tcPr>
          <w:p>
            <w:pPr>
              <w:jc w:val="right"/>
              <w:ind w:right="135"/>
              <w:spacing w:after="0" w:line="144" w:lineRule="exact"/>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tcPr>
          <w:p>
            <w:pPr>
              <w:jc w:val="right"/>
              <w:ind w:right="35"/>
              <w:spacing w:after="0" w:line="144" w:lineRule="exact"/>
              <w:rPr>
                <w:sz w:val="20"/>
                <w:szCs w:val="20"/>
                <w:color w:val="auto"/>
              </w:rPr>
            </w:pPr>
            <w:r>
              <w:rPr>
                <w:rFonts w:ascii="Arial" w:cs="Arial" w:eastAsia="Arial" w:hAnsi="Arial"/>
                <w:sz w:val="13"/>
                <w:szCs w:val="13"/>
                <w:b w:val="1"/>
                <w:bCs w:val="1"/>
                <w:color w:val="auto"/>
              </w:rPr>
              <w:t>(367)</w:t>
            </w:r>
          </w:p>
        </w:tc>
        <w:tc>
          <w:tcPr>
            <w:tcW w:w="380" w:type="dxa"/>
            <w:vAlign w:val="bottom"/>
            <w:tcBorders>
              <w:bottom w:val="single" w:sz="8" w:color="auto"/>
            </w:tcBorders>
          </w:tcPr>
          <w:p>
            <w:pPr>
              <w:jc w:val="right"/>
              <w:ind w:right="135"/>
              <w:spacing w:after="0" w:line="144" w:lineRule="exact"/>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35"/>
              <w:spacing w:after="0" w:line="144" w:lineRule="exact"/>
              <w:rPr>
                <w:sz w:val="20"/>
                <w:szCs w:val="20"/>
                <w:color w:val="auto"/>
              </w:rPr>
            </w:pPr>
            <w:r>
              <w:rPr>
                <w:rFonts w:ascii="Arial" w:cs="Arial" w:eastAsia="Arial" w:hAnsi="Arial"/>
                <w:sz w:val="13"/>
                <w:szCs w:val="13"/>
                <w:color w:val="auto"/>
              </w:rPr>
              <w:t>(34)</w:t>
            </w:r>
          </w:p>
        </w:tc>
        <w:tc>
          <w:tcPr>
            <w:tcW w:w="400" w:type="dxa"/>
            <w:vAlign w:val="bottom"/>
            <w:tcBorders>
              <w:bottom w:val="single" w:sz="8" w:color="auto"/>
            </w:tcBorders>
          </w:tcPr>
          <w:p>
            <w:pPr>
              <w:jc w:val="right"/>
              <w:ind w:right="155"/>
              <w:spacing w:after="0" w:line="144" w:lineRule="exact"/>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(89)</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right="59"/>
        <w:spacing w:after="0"/>
        <w:rPr>
          <w:sz w:val="20"/>
          <w:szCs w:val="20"/>
          <w:color w:val="auto"/>
        </w:rPr>
      </w:pPr>
      <w:r>
        <w:rPr>
          <w:rFonts w:ascii="Arial" w:cs="Arial" w:eastAsia="Arial" w:hAnsi="Arial"/>
          <w:sz w:val="13"/>
          <w:szCs w:val="13"/>
          <w:color w:val="auto"/>
        </w:rPr>
        <w:t>Cash used in financing activities consisted primarily of our return to shareholders initiatives, including our share repurchase program and cash dividend payments,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4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 in millions)</w:t>
            </w:r>
          </w:p>
        </w:tc>
        <w:tc>
          <w:tcPr>
            <w:tcW w:w="17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5"/>
              <w:spacing w:after="0"/>
              <w:rPr>
                <w:sz w:val="20"/>
                <w:szCs w:val="20"/>
                <w:color w:val="auto"/>
              </w:rPr>
            </w:pPr>
            <w:r>
              <w:rPr>
                <w:rFonts w:ascii="Arial" w:cs="Arial" w:eastAsia="Arial" w:hAnsi="Arial"/>
                <w:sz w:val="13"/>
                <w:szCs w:val="13"/>
                <w:b w:val="1"/>
                <w:bCs w:val="1"/>
                <w:color w:val="auto"/>
              </w:rPr>
              <w:t>2020</w:t>
            </w:r>
          </w:p>
        </w:tc>
        <w:tc>
          <w:tcPr>
            <w:tcW w:w="4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95"/>
              <w:spacing w:after="0"/>
              <w:rPr>
                <w:sz w:val="20"/>
                <w:szCs w:val="20"/>
                <w:color w:val="auto"/>
              </w:rPr>
            </w:pPr>
            <w:r>
              <w:rPr>
                <w:rFonts w:ascii="Arial" w:cs="Arial" w:eastAsia="Arial" w:hAnsi="Arial"/>
                <w:sz w:val="13"/>
                <w:szCs w:val="13"/>
                <w:color w:val="auto"/>
              </w:rPr>
              <w:t>2019</w:t>
            </w:r>
          </w:p>
        </w:tc>
        <w:tc>
          <w:tcPr>
            <w:tcW w:w="4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3"/>
                <w:szCs w:val="13"/>
                <w:color w:val="auto"/>
              </w:rPr>
              <w:t>2018</w:t>
            </w:r>
          </w:p>
        </w:tc>
      </w:tr>
      <w:tr>
        <w:trPr>
          <w:trHeight w:val="134"/>
        </w:trPr>
        <w:tc>
          <w:tcPr>
            <w:tcW w:w="342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Share repurchases</w:t>
            </w:r>
          </w:p>
        </w:tc>
        <w:tc>
          <w:tcPr>
            <w:tcW w:w="1780" w:type="dxa"/>
            <w:vAlign w:val="bottom"/>
            <w:shd w:val="clear" w:color="auto" w:fill="CCEEFF"/>
          </w:tcPr>
          <w:p>
            <w:pPr>
              <w:jc w:val="right"/>
              <w:ind w:right="135"/>
              <w:spacing w:after="0" w:line="134" w:lineRule="exact"/>
              <w:rPr>
                <w:sz w:val="20"/>
                <w:szCs w:val="20"/>
                <w:color w:val="auto"/>
              </w:rPr>
            </w:pPr>
            <w:r>
              <w:rPr>
                <w:rFonts w:ascii="Arial" w:cs="Arial" w:eastAsia="Arial" w:hAnsi="Arial"/>
                <w:sz w:val="13"/>
                <w:szCs w:val="13"/>
                <w:b w:val="1"/>
                <w:bCs w:val="1"/>
                <w:color w:val="auto"/>
              </w:rPr>
              <w:t>$</w:t>
            </w:r>
          </w:p>
        </w:tc>
        <w:tc>
          <w:tcPr>
            <w:tcW w:w="1060" w:type="dxa"/>
            <w:vAlign w:val="bottom"/>
            <w:shd w:val="clear" w:color="auto" w:fill="CCEEFF"/>
          </w:tcPr>
          <w:p>
            <w:pPr>
              <w:jc w:val="right"/>
              <w:ind w:right="55"/>
              <w:spacing w:after="0" w:line="134" w:lineRule="exact"/>
              <w:rPr>
                <w:sz w:val="20"/>
                <w:szCs w:val="20"/>
                <w:color w:val="auto"/>
              </w:rPr>
            </w:pPr>
            <w:r>
              <w:rPr>
                <w:rFonts w:ascii="Arial" w:cs="Arial" w:eastAsia="Arial" w:hAnsi="Arial"/>
                <w:sz w:val="13"/>
                <w:szCs w:val="13"/>
                <w:b w:val="1"/>
                <w:bCs w:val="1"/>
                <w:color w:val="auto"/>
              </w:rPr>
              <w:t>37</w:t>
            </w:r>
          </w:p>
        </w:tc>
        <w:tc>
          <w:tcPr>
            <w:tcW w:w="400" w:type="dxa"/>
            <w:vAlign w:val="bottom"/>
            <w:shd w:val="clear" w:color="auto" w:fill="CCEEFF"/>
          </w:tcPr>
          <w:p>
            <w:pPr>
              <w:jc w:val="right"/>
              <w:ind w:right="135"/>
              <w:spacing w:after="0" w:line="134" w:lineRule="exact"/>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55"/>
              <w:spacing w:after="0" w:line="134" w:lineRule="exact"/>
              <w:rPr>
                <w:sz w:val="20"/>
                <w:szCs w:val="20"/>
                <w:color w:val="auto"/>
              </w:rPr>
            </w:pPr>
            <w:r>
              <w:rPr>
                <w:rFonts w:ascii="Arial" w:cs="Arial" w:eastAsia="Arial" w:hAnsi="Arial"/>
                <w:sz w:val="13"/>
                <w:szCs w:val="13"/>
                <w:color w:val="auto"/>
              </w:rPr>
              <w:t>335</w:t>
            </w:r>
          </w:p>
        </w:tc>
        <w:tc>
          <w:tcPr>
            <w:tcW w:w="420" w:type="dxa"/>
            <w:vAlign w:val="bottom"/>
            <w:shd w:val="clear" w:color="auto" w:fill="CCEEFF"/>
          </w:tcPr>
          <w:p>
            <w:pPr>
              <w:jc w:val="right"/>
              <w:ind w:right="155"/>
              <w:spacing w:after="0" w:line="134"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375</w:t>
            </w:r>
          </w:p>
        </w:tc>
      </w:tr>
      <w:tr>
        <w:trPr>
          <w:trHeight w:val="144"/>
        </w:trPr>
        <w:tc>
          <w:tcPr>
            <w:tcW w:w="342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color w:val="auto"/>
              </w:rPr>
              <w:t>Dividends paid on common stock</w:t>
            </w:r>
          </w:p>
        </w:tc>
        <w:tc>
          <w:tcPr>
            <w:tcW w:w="17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5"/>
              <w:spacing w:after="0" w:line="144" w:lineRule="exact"/>
              <w:rPr>
                <w:sz w:val="20"/>
                <w:szCs w:val="20"/>
                <w:color w:val="auto"/>
              </w:rPr>
            </w:pPr>
            <w:r>
              <w:rPr>
                <w:rFonts w:ascii="Arial" w:cs="Arial" w:eastAsia="Arial" w:hAnsi="Arial"/>
                <w:sz w:val="13"/>
                <w:szCs w:val="13"/>
                <w:b w:val="1"/>
                <w:bCs w:val="1"/>
                <w:color w:val="auto"/>
              </w:rPr>
              <w:t>73</w:t>
            </w:r>
          </w:p>
        </w:tc>
        <w:tc>
          <w:tcPr>
            <w:tcW w:w="4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55"/>
              <w:spacing w:after="0" w:line="144" w:lineRule="exact"/>
              <w:rPr>
                <w:sz w:val="20"/>
                <w:szCs w:val="20"/>
                <w:color w:val="auto"/>
              </w:rPr>
            </w:pPr>
            <w:r>
              <w:rPr>
                <w:rFonts w:ascii="Arial" w:cs="Arial" w:eastAsia="Arial" w:hAnsi="Arial"/>
                <w:sz w:val="13"/>
                <w:szCs w:val="13"/>
                <w:color w:val="auto"/>
              </w:rPr>
              <w:t>164</w:t>
            </w:r>
          </w:p>
        </w:tc>
        <w:tc>
          <w:tcPr>
            <w:tcW w:w="4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158</w:t>
            </w:r>
          </w:p>
        </w:tc>
      </w:tr>
      <w:tr>
        <w:trPr>
          <w:trHeight w:val="134"/>
        </w:trPr>
        <w:tc>
          <w:tcPr>
            <w:tcW w:w="3420" w:type="dxa"/>
            <w:vAlign w:val="bottom"/>
            <w:tcBorders>
              <w:bottom w:val="single" w:sz="8" w:color="auto"/>
            </w:tcBorders>
            <w:shd w:val="clear" w:color="auto" w:fill="CCEEFF"/>
          </w:tcPr>
          <w:p>
            <w:pPr>
              <w:spacing w:after="0" w:line="134" w:lineRule="exact"/>
              <w:rPr>
                <w:sz w:val="20"/>
                <w:szCs w:val="20"/>
                <w:color w:val="auto"/>
              </w:rPr>
            </w:pPr>
            <w:r>
              <w:rPr>
                <w:rFonts w:ascii="Arial" w:cs="Arial" w:eastAsia="Arial" w:hAnsi="Arial"/>
                <w:sz w:val="13"/>
                <w:szCs w:val="13"/>
                <w:color w:val="auto"/>
              </w:rPr>
              <w:t>Total returned to shareholders</w:t>
            </w:r>
          </w:p>
        </w:tc>
        <w:tc>
          <w:tcPr>
            <w:tcW w:w="1780" w:type="dxa"/>
            <w:vAlign w:val="bottom"/>
            <w:tcBorders>
              <w:bottom w:val="single" w:sz="8" w:color="auto"/>
            </w:tcBorders>
            <w:shd w:val="clear" w:color="auto" w:fill="CCEEFF"/>
          </w:tcPr>
          <w:p>
            <w:pPr>
              <w:jc w:val="right"/>
              <w:ind w:right="135"/>
              <w:spacing w:after="0" w:line="134" w:lineRule="exact"/>
              <w:rPr>
                <w:sz w:val="20"/>
                <w:szCs w:val="20"/>
                <w:color w:val="auto"/>
              </w:rPr>
            </w:pPr>
            <w:r>
              <w:rPr>
                <w:rFonts w:ascii="Arial" w:cs="Arial" w:eastAsia="Arial" w:hAnsi="Arial"/>
                <w:sz w:val="13"/>
                <w:szCs w:val="13"/>
                <w:b w:val="1"/>
                <w:bCs w:val="1"/>
                <w:color w:val="auto"/>
              </w:rPr>
              <w:t>$</w:t>
            </w:r>
          </w:p>
        </w:tc>
        <w:tc>
          <w:tcPr>
            <w:tcW w:w="1060" w:type="dxa"/>
            <w:vAlign w:val="bottom"/>
            <w:tcBorders>
              <w:bottom w:val="single" w:sz="8" w:color="auto"/>
            </w:tcBorders>
            <w:shd w:val="clear" w:color="auto" w:fill="CCEEFF"/>
          </w:tcPr>
          <w:p>
            <w:pPr>
              <w:jc w:val="right"/>
              <w:ind w:right="55"/>
              <w:spacing w:after="0" w:line="134" w:lineRule="exact"/>
              <w:rPr>
                <w:sz w:val="20"/>
                <w:szCs w:val="20"/>
                <w:color w:val="auto"/>
              </w:rPr>
            </w:pPr>
            <w:r>
              <w:rPr>
                <w:rFonts w:ascii="Arial" w:cs="Arial" w:eastAsia="Arial" w:hAnsi="Arial"/>
                <w:sz w:val="13"/>
                <w:szCs w:val="13"/>
                <w:b w:val="1"/>
                <w:bCs w:val="1"/>
                <w:color w:val="auto"/>
              </w:rPr>
              <w:t>110</w:t>
            </w:r>
          </w:p>
        </w:tc>
        <w:tc>
          <w:tcPr>
            <w:tcW w:w="400" w:type="dxa"/>
            <w:vAlign w:val="bottom"/>
            <w:tcBorders>
              <w:bottom w:val="single" w:sz="8" w:color="auto"/>
            </w:tcBorders>
            <w:shd w:val="clear" w:color="auto" w:fill="CCEEFF"/>
          </w:tcPr>
          <w:p>
            <w:pPr>
              <w:jc w:val="right"/>
              <w:ind w:right="135"/>
              <w:spacing w:after="0" w:line="134"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jc w:val="right"/>
              <w:ind w:right="55"/>
              <w:spacing w:after="0" w:line="134" w:lineRule="exact"/>
              <w:rPr>
                <w:sz w:val="20"/>
                <w:szCs w:val="20"/>
                <w:color w:val="auto"/>
              </w:rPr>
            </w:pPr>
            <w:r>
              <w:rPr>
                <w:rFonts w:ascii="Arial" w:cs="Arial" w:eastAsia="Arial" w:hAnsi="Arial"/>
                <w:sz w:val="13"/>
                <w:szCs w:val="13"/>
                <w:color w:val="auto"/>
              </w:rPr>
              <w:t>499</w:t>
            </w:r>
          </w:p>
        </w:tc>
        <w:tc>
          <w:tcPr>
            <w:tcW w:w="420" w:type="dxa"/>
            <w:vAlign w:val="bottom"/>
            <w:tcBorders>
              <w:bottom w:val="single" w:sz="8" w:color="auto"/>
            </w:tcBorders>
            <w:shd w:val="clear" w:color="auto" w:fill="CCEEFF"/>
          </w:tcPr>
          <w:p>
            <w:pPr>
              <w:jc w:val="right"/>
              <w:ind w:right="155"/>
              <w:spacing w:after="0" w:line="134" w:lineRule="exact"/>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533</w:t>
            </w:r>
          </w:p>
        </w:tc>
      </w:tr>
      <w:tr>
        <w:trPr>
          <w:trHeight w:val="20"/>
        </w:trPr>
        <w:tc>
          <w:tcPr>
            <w:tcW w:w="34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right="39"/>
        <w:spacing w:after="0"/>
        <w:rPr>
          <w:sz w:val="20"/>
          <w:szCs w:val="20"/>
          <w:color w:val="auto"/>
        </w:rPr>
      </w:pPr>
      <w:r>
        <w:rPr>
          <w:rFonts w:ascii="Arial" w:cs="Arial" w:eastAsia="Arial" w:hAnsi="Arial"/>
          <w:sz w:val="13"/>
          <w:szCs w:val="13"/>
          <w:color w:val="auto"/>
        </w:rPr>
        <w:t>During 2020, we repurchased 968,547 shares of our common stock under our share repurchase programs for $37 million. Additionally, we declared and paid dividends of $73 million, representing an annual rate of $0.70 per share in 2020.</w:t>
      </w:r>
    </w:p>
    <w:p>
      <w:pPr>
        <w:spacing w:after="0" w:line="122" w:lineRule="exact"/>
        <w:rPr>
          <w:sz w:val="20"/>
          <w:szCs w:val="20"/>
          <w:color w:val="auto"/>
        </w:rPr>
      </w:pPr>
    </w:p>
    <w:p>
      <w:pPr>
        <w:jc w:val="both"/>
        <w:ind w:right="39"/>
        <w:spacing w:after="0" w:line="245" w:lineRule="auto"/>
        <w:rPr>
          <w:sz w:val="20"/>
          <w:szCs w:val="20"/>
          <w:color w:val="auto"/>
        </w:rPr>
      </w:pPr>
      <w:r>
        <w:rPr>
          <w:rFonts w:ascii="Arial" w:cs="Arial" w:eastAsia="Arial" w:hAnsi="Arial"/>
          <w:sz w:val="13"/>
          <w:szCs w:val="13"/>
          <w:color w:val="auto"/>
        </w:rPr>
        <w:t>In the first quarter of 2020, we borrowed $330 million of our then-existing revolving credit facility, which was repaid in full during the second quarter of 2020. In July 2020, we entered into a new $600 million revolving credit agreement and in connection with this transaction we paid fees of $4 million. During the year, we purchased and retired $20 million of our outstanding bonds for $22 million. Additionally, we paid $1 million in connection with our finance lease obligations.</w:t>
      </w:r>
    </w:p>
    <w:p>
      <w:pPr>
        <w:spacing w:after="0" w:line="117" w:lineRule="exact"/>
        <w:rPr>
          <w:sz w:val="20"/>
          <w:szCs w:val="20"/>
          <w:color w:val="auto"/>
        </w:rPr>
      </w:pPr>
    </w:p>
    <w:p>
      <w:pPr>
        <w:jc w:val="both"/>
        <w:ind w:right="39"/>
        <w:spacing w:after="0" w:line="236" w:lineRule="auto"/>
        <w:rPr>
          <w:sz w:val="20"/>
          <w:szCs w:val="20"/>
          <w:color w:val="auto"/>
        </w:rPr>
      </w:pPr>
      <w:r>
        <w:rPr>
          <w:rFonts w:ascii="Arial" w:cs="Arial" w:eastAsia="Arial" w:hAnsi="Arial"/>
          <w:sz w:val="13"/>
          <w:szCs w:val="13"/>
          <w:color w:val="auto"/>
        </w:rPr>
        <w:t>During the year, we entered into an agreement with one of our franchisors to operate a limited number of Foot Locker stores in Europe. We have operational control of the new entity and have continued to consolidate the results of the joint venture. We received contributions of $6 million in connection with this agreement.</w:t>
      </w:r>
    </w:p>
    <w:p>
      <w:pPr>
        <w:spacing w:after="0" w:line="113" w:lineRule="exact"/>
        <w:rPr>
          <w:sz w:val="20"/>
          <w:szCs w:val="20"/>
          <w:color w:val="auto"/>
        </w:rPr>
      </w:pPr>
    </w:p>
    <w:p>
      <w:pPr>
        <w:jc w:val="both"/>
        <w:ind w:right="39"/>
        <w:spacing w:after="0"/>
        <w:rPr>
          <w:sz w:val="20"/>
          <w:szCs w:val="20"/>
          <w:color w:val="auto"/>
        </w:rPr>
      </w:pPr>
      <w:r>
        <w:rPr>
          <w:rFonts w:ascii="Arial" w:cs="Arial" w:eastAsia="Arial" w:hAnsi="Arial"/>
          <w:sz w:val="13"/>
          <w:szCs w:val="13"/>
          <w:color w:val="auto"/>
        </w:rPr>
        <w:t>During 2020, we paid $1 million to satisfy tax withholding obligations relating to the vesting of share-based equity awards. Offsetting the amounts above were proceeds received from the issuance of common stock and treasury stock in connection with the employee stock programs of $6 million for 2020.</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Free Cash Flow (non-GAAP measure)</w:t>
      </w:r>
    </w:p>
    <w:p>
      <w:pPr>
        <w:spacing w:after="0" w:line="141" w:lineRule="exact"/>
        <w:rPr>
          <w:sz w:val="20"/>
          <w:szCs w:val="20"/>
          <w:color w:val="auto"/>
        </w:rPr>
      </w:pPr>
    </w:p>
    <w:p>
      <w:pPr>
        <w:jc w:val="both"/>
        <w:ind w:right="39"/>
        <w:spacing w:after="0" w:line="233" w:lineRule="auto"/>
        <w:rPr>
          <w:sz w:val="20"/>
          <w:szCs w:val="20"/>
          <w:color w:val="auto"/>
        </w:rPr>
      </w:pPr>
      <w:r>
        <w:rPr>
          <w:rFonts w:ascii="Arial" w:cs="Arial" w:eastAsia="Arial" w:hAnsi="Arial"/>
          <w:sz w:val="13"/>
          <w:szCs w:val="13"/>
          <w:color w:val="auto"/>
        </w:rPr>
        <w:t>In addition to net cash provided by operating activities, we use free cash flow as a useful measure of performance and as an indication of our financial strength and our ability to generate cash. We define free cash flow as net cash provided by operating activities less capital expenditures (which is classified as an investing activity). We believe the presentation of free cash flow is relevant and useful for investors because it allows investors to evaluate the cash generated from underlying operations in a manner similar to the method used by management. Free cash flow is not defined under U.S. GAAP. Therefore, it should not be considered a substitute for income or cash flow data prepared in accordance with U.S. GAAP and may not be comparable to similarly titled measures used by other companies. It should not be inferred that the entire free cash flow amount is available for discretionary expenditures.</w:t>
      </w:r>
    </w:p>
    <w:p>
      <w:pPr>
        <w:spacing w:after="0" w:line="114" w:lineRule="exact"/>
        <w:rPr>
          <w:sz w:val="20"/>
          <w:szCs w:val="20"/>
          <w:color w:val="auto"/>
        </w:rPr>
      </w:pPr>
    </w:p>
    <w:p>
      <w:pPr>
        <w:ind w:left="7660"/>
        <w:spacing w:after="0"/>
        <w:rPr>
          <w:sz w:val="20"/>
          <w:szCs w:val="20"/>
          <w:color w:val="auto"/>
        </w:rPr>
      </w:pPr>
      <w:r>
        <w:rPr>
          <w:rFonts w:ascii="Arial" w:cs="Arial" w:eastAsia="Arial" w:hAnsi="Arial"/>
          <w:sz w:val="12"/>
          <w:szCs w:val="12"/>
          <w:color w:val="auto"/>
        </w:rPr>
        <w:t>2020 Form 10-K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365125</wp:posOffset>
            </wp:positionV>
            <wp:extent cx="5790565" cy="196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90565" cy="19685"/>
                    </a:xfrm>
                    <a:prstGeom prst="rect">
                      <a:avLst/>
                    </a:prstGeom>
                    <a:noFill/>
                  </pic:spPr>
                </pic:pic>
              </a:graphicData>
            </a:graphic>
          </wp:anchor>
        </w:drawing>
      </w:r>
    </w:p>
    <w:p>
      <w:pPr>
        <w:sectPr>
          <w:pgSz w:w="11900" w:h="16838" w:orient="portrait"/>
          <w:cols w:equalWidth="0" w:num="1">
            <w:col w:w="9159"/>
          </w:cols>
          <w:pgMar w:left="1300" w:top="678" w:right="1440" w:bottom="1440" w:gutter="0" w:footer="0" w:header="0"/>
        </w:sectPr>
      </w:pPr>
    </w:p>
    <w:bookmarkStart w:id="31" w:name="page32"/>
    <w:bookmarkEnd w:id="31"/>
    <w:p>
      <w:pPr>
        <w:jc w:val="both"/>
        <w:ind w:right="59"/>
        <w:spacing w:after="0"/>
        <w:rPr>
          <w:sz w:val="20"/>
          <w:szCs w:val="20"/>
          <w:color w:val="auto"/>
        </w:rPr>
      </w:pPr>
      <w:r>
        <w:rPr>
          <w:rFonts w:ascii="Arial" w:cs="Arial" w:eastAsia="Arial" w:hAnsi="Arial"/>
          <w:sz w:val="13"/>
          <w:szCs w:val="13"/>
          <w:color w:val="auto"/>
        </w:rPr>
        <w:t>The following table presents a reconciliation of net cash flow provided by operating activities, the most directly comparable U.S. GAAP financial measure, to free cash flow.</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6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 in millions)</w:t>
            </w:r>
          </w:p>
        </w:tc>
        <w:tc>
          <w:tcPr>
            <w:tcW w:w="15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5"/>
              <w:spacing w:after="0"/>
              <w:rPr>
                <w:sz w:val="20"/>
                <w:szCs w:val="20"/>
                <w:color w:val="auto"/>
              </w:rPr>
            </w:pPr>
            <w:r>
              <w:rPr>
                <w:rFonts w:ascii="Arial" w:cs="Arial" w:eastAsia="Arial" w:hAnsi="Arial"/>
                <w:sz w:val="13"/>
                <w:szCs w:val="13"/>
                <w:b w:val="1"/>
                <w:bCs w:val="1"/>
                <w:color w:val="auto"/>
              </w:rPr>
              <w:t>2020</w:t>
            </w:r>
          </w:p>
        </w:tc>
        <w:tc>
          <w:tcPr>
            <w:tcW w:w="3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5"/>
              <w:spacing w:after="0"/>
              <w:rPr>
                <w:sz w:val="20"/>
                <w:szCs w:val="20"/>
                <w:color w:val="auto"/>
              </w:rPr>
            </w:pPr>
            <w:r>
              <w:rPr>
                <w:rFonts w:ascii="Arial" w:cs="Arial" w:eastAsia="Arial" w:hAnsi="Arial"/>
                <w:sz w:val="13"/>
                <w:szCs w:val="13"/>
                <w:color w:val="auto"/>
              </w:rPr>
              <w:t>2019</w:t>
            </w: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3"/>
                <w:szCs w:val="13"/>
                <w:color w:val="auto"/>
              </w:rPr>
              <w:t>2018</w:t>
            </w:r>
          </w:p>
        </w:tc>
      </w:tr>
      <w:tr>
        <w:trPr>
          <w:trHeight w:val="134"/>
        </w:trPr>
        <w:tc>
          <w:tcPr>
            <w:tcW w:w="362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Net cash provided by operating activities</w:t>
            </w:r>
          </w:p>
        </w:tc>
        <w:tc>
          <w:tcPr>
            <w:tcW w:w="1580" w:type="dxa"/>
            <w:vAlign w:val="bottom"/>
            <w:shd w:val="clear" w:color="auto" w:fill="CCEEFF"/>
          </w:tcPr>
          <w:p>
            <w:pPr>
              <w:jc w:val="right"/>
              <w:ind w:right="135"/>
              <w:spacing w:after="0" w:line="134" w:lineRule="exact"/>
              <w:rPr>
                <w:sz w:val="20"/>
                <w:szCs w:val="20"/>
                <w:color w:val="auto"/>
              </w:rPr>
            </w:pPr>
            <w:r>
              <w:rPr>
                <w:rFonts w:ascii="Arial" w:cs="Arial" w:eastAsia="Arial" w:hAnsi="Arial"/>
                <w:sz w:val="13"/>
                <w:szCs w:val="13"/>
                <w:b w:val="1"/>
                <w:bCs w:val="1"/>
                <w:color w:val="auto"/>
              </w:rPr>
              <w:t>$</w:t>
            </w:r>
          </w:p>
        </w:tc>
        <w:tc>
          <w:tcPr>
            <w:tcW w:w="1080" w:type="dxa"/>
            <w:vAlign w:val="bottom"/>
            <w:shd w:val="clear" w:color="auto" w:fill="CCEEFF"/>
          </w:tcPr>
          <w:p>
            <w:pPr>
              <w:jc w:val="right"/>
              <w:ind w:right="75"/>
              <w:spacing w:after="0" w:line="134" w:lineRule="exact"/>
              <w:rPr>
                <w:sz w:val="20"/>
                <w:szCs w:val="20"/>
                <w:color w:val="auto"/>
              </w:rPr>
            </w:pPr>
            <w:r>
              <w:rPr>
                <w:rFonts w:ascii="Arial" w:cs="Arial" w:eastAsia="Arial" w:hAnsi="Arial"/>
                <w:sz w:val="13"/>
                <w:szCs w:val="13"/>
                <w:b w:val="1"/>
                <w:bCs w:val="1"/>
                <w:color w:val="auto"/>
              </w:rPr>
              <w:t>1,062</w:t>
            </w:r>
          </w:p>
        </w:tc>
        <w:tc>
          <w:tcPr>
            <w:tcW w:w="380" w:type="dxa"/>
            <w:vAlign w:val="bottom"/>
            <w:shd w:val="clear" w:color="auto" w:fill="CCEEFF"/>
          </w:tcPr>
          <w:p>
            <w:pPr>
              <w:jc w:val="right"/>
              <w:ind w:right="135"/>
              <w:spacing w:after="0" w:line="134" w:lineRule="exact"/>
              <w:rPr>
                <w:sz w:val="20"/>
                <w:szCs w:val="20"/>
                <w:color w:val="auto"/>
              </w:rPr>
            </w:pPr>
            <w:r>
              <w:rPr>
                <w:rFonts w:ascii="Arial" w:cs="Arial" w:eastAsia="Arial" w:hAnsi="Arial"/>
                <w:sz w:val="13"/>
                <w:szCs w:val="13"/>
                <w:color w:val="auto"/>
              </w:rPr>
              <w:t>$</w:t>
            </w:r>
          </w:p>
        </w:tc>
        <w:tc>
          <w:tcPr>
            <w:tcW w:w="1080" w:type="dxa"/>
            <w:vAlign w:val="bottom"/>
            <w:shd w:val="clear" w:color="auto" w:fill="CCEEFF"/>
          </w:tcPr>
          <w:p>
            <w:pPr>
              <w:jc w:val="right"/>
              <w:ind w:right="75"/>
              <w:spacing w:after="0" w:line="134" w:lineRule="exact"/>
              <w:rPr>
                <w:sz w:val="20"/>
                <w:szCs w:val="20"/>
                <w:color w:val="auto"/>
              </w:rPr>
            </w:pPr>
            <w:r>
              <w:rPr>
                <w:rFonts w:ascii="Arial" w:cs="Arial" w:eastAsia="Arial" w:hAnsi="Arial"/>
                <w:sz w:val="13"/>
                <w:szCs w:val="13"/>
                <w:color w:val="auto"/>
              </w:rPr>
              <w:t>696</w:t>
            </w:r>
          </w:p>
        </w:tc>
        <w:tc>
          <w:tcPr>
            <w:tcW w:w="400" w:type="dxa"/>
            <w:vAlign w:val="bottom"/>
            <w:shd w:val="clear" w:color="auto" w:fill="CCEEFF"/>
          </w:tcPr>
          <w:p>
            <w:pPr>
              <w:jc w:val="right"/>
              <w:ind w:right="155"/>
              <w:spacing w:after="0" w:line="134"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781</w:t>
            </w:r>
          </w:p>
        </w:tc>
      </w:tr>
      <w:tr>
        <w:trPr>
          <w:trHeight w:val="144"/>
        </w:trPr>
        <w:tc>
          <w:tcPr>
            <w:tcW w:w="362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color w:val="auto"/>
              </w:rPr>
              <w:t>Capital expenditures</w:t>
            </w:r>
          </w:p>
        </w:tc>
        <w:tc>
          <w:tcPr>
            <w:tcW w:w="15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5"/>
              <w:spacing w:after="0" w:line="144" w:lineRule="exact"/>
              <w:rPr>
                <w:sz w:val="20"/>
                <w:szCs w:val="20"/>
                <w:color w:val="auto"/>
              </w:rPr>
            </w:pPr>
            <w:r>
              <w:rPr>
                <w:rFonts w:ascii="Arial" w:cs="Arial" w:eastAsia="Arial" w:hAnsi="Arial"/>
                <w:sz w:val="13"/>
                <w:szCs w:val="13"/>
                <w:b w:val="1"/>
                <w:bCs w:val="1"/>
                <w:color w:val="auto"/>
              </w:rPr>
              <w:t>(159)</w:t>
            </w:r>
          </w:p>
        </w:tc>
        <w:tc>
          <w:tcPr>
            <w:tcW w:w="3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5"/>
              <w:spacing w:after="0" w:line="144" w:lineRule="exact"/>
              <w:rPr>
                <w:sz w:val="20"/>
                <w:szCs w:val="20"/>
                <w:color w:val="auto"/>
              </w:rPr>
            </w:pPr>
            <w:r>
              <w:rPr>
                <w:rFonts w:ascii="Arial" w:cs="Arial" w:eastAsia="Arial" w:hAnsi="Arial"/>
                <w:sz w:val="13"/>
                <w:szCs w:val="13"/>
                <w:color w:val="auto"/>
              </w:rPr>
              <w:t>(187)</w:t>
            </w:r>
          </w:p>
        </w:tc>
        <w:tc>
          <w:tcPr>
            <w:tcW w:w="4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(187)</w:t>
            </w:r>
          </w:p>
        </w:tc>
      </w:tr>
      <w:tr>
        <w:trPr>
          <w:trHeight w:val="134"/>
        </w:trPr>
        <w:tc>
          <w:tcPr>
            <w:tcW w:w="3620" w:type="dxa"/>
            <w:vAlign w:val="bottom"/>
            <w:tcBorders>
              <w:bottom w:val="single" w:sz="8" w:color="auto"/>
            </w:tcBorders>
            <w:shd w:val="clear" w:color="auto" w:fill="CCEEFF"/>
          </w:tcPr>
          <w:p>
            <w:pPr>
              <w:spacing w:after="0" w:line="134" w:lineRule="exact"/>
              <w:rPr>
                <w:sz w:val="20"/>
                <w:szCs w:val="20"/>
                <w:color w:val="auto"/>
              </w:rPr>
            </w:pPr>
            <w:r>
              <w:rPr>
                <w:rFonts w:ascii="Arial" w:cs="Arial" w:eastAsia="Arial" w:hAnsi="Arial"/>
                <w:sz w:val="13"/>
                <w:szCs w:val="13"/>
                <w:color w:val="auto"/>
              </w:rPr>
              <w:t>Free cash flow</w:t>
            </w:r>
          </w:p>
        </w:tc>
        <w:tc>
          <w:tcPr>
            <w:tcW w:w="1580" w:type="dxa"/>
            <w:vAlign w:val="bottom"/>
            <w:tcBorders>
              <w:bottom w:val="single" w:sz="8" w:color="auto"/>
            </w:tcBorders>
            <w:shd w:val="clear" w:color="auto" w:fill="CCEEFF"/>
          </w:tcPr>
          <w:p>
            <w:pPr>
              <w:jc w:val="right"/>
              <w:ind w:right="135"/>
              <w:spacing w:after="0" w:line="134" w:lineRule="exact"/>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b w:val="1"/>
                <w:bCs w:val="1"/>
                <w:color w:val="auto"/>
              </w:rPr>
              <w:t>903</w:t>
            </w:r>
          </w:p>
        </w:tc>
        <w:tc>
          <w:tcPr>
            <w:tcW w:w="380" w:type="dxa"/>
            <w:vAlign w:val="bottom"/>
            <w:tcBorders>
              <w:bottom w:val="single" w:sz="8" w:color="auto"/>
            </w:tcBorders>
            <w:shd w:val="clear" w:color="auto" w:fill="CCEEFF"/>
          </w:tcPr>
          <w:p>
            <w:pPr>
              <w:jc w:val="right"/>
              <w:ind w:right="135"/>
              <w:spacing w:after="0" w:line="134" w:lineRule="exact"/>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color w:val="auto"/>
              </w:rPr>
              <w:t>509</w:t>
            </w:r>
          </w:p>
        </w:tc>
        <w:tc>
          <w:tcPr>
            <w:tcW w:w="400" w:type="dxa"/>
            <w:vAlign w:val="bottom"/>
            <w:tcBorders>
              <w:bottom w:val="single" w:sz="8" w:color="auto"/>
            </w:tcBorders>
            <w:shd w:val="clear" w:color="auto" w:fill="CCEEFF"/>
          </w:tcPr>
          <w:p>
            <w:pPr>
              <w:jc w:val="right"/>
              <w:ind w:right="155"/>
              <w:spacing w:after="0" w:line="134" w:lineRule="exact"/>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594</w:t>
            </w:r>
          </w:p>
        </w:tc>
      </w:tr>
      <w:tr>
        <w:trPr>
          <w:trHeight w:val="20"/>
        </w:trPr>
        <w:tc>
          <w:tcPr>
            <w:tcW w:w="36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Capital Structure</w:t>
      </w:r>
    </w:p>
    <w:p>
      <w:pPr>
        <w:spacing w:after="0" w:line="133" w:lineRule="exact"/>
        <w:rPr>
          <w:sz w:val="20"/>
          <w:szCs w:val="20"/>
          <w:color w:val="auto"/>
        </w:rPr>
      </w:pPr>
    </w:p>
    <w:p>
      <w:pPr>
        <w:jc w:val="both"/>
        <w:ind w:right="39"/>
        <w:spacing w:after="0" w:line="234" w:lineRule="auto"/>
        <w:rPr>
          <w:sz w:val="20"/>
          <w:szCs w:val="20"/>
          <w:color w:val="auto"/>
        </w:rPr>
      </w:pPr>
      <w:r>
        <w:rPr>
          <w:rFonts w:ascii="Arial" w:cs="Arial" w:eastAsia="Arial" w:hAnsi="Arial"/>
          <w:sz w:val="13"/>
          <w:szCs w:val="13"/>
          <w:color w:val="auto"/>
        </w:rPr>
        <w:t>On July 14, 2020, we amended our then-existing revolving credit agreement to provide for a $600 million asset-based revolving credit facility that is scheduled to mature on July 14, 2025 (as amended, “2020 Credit Agreement”). Under the 2020 Credit Agreement interest is determined, at our option, by either (1) the eurodollar rate, which is determined by reference to LIBOR, plus a margin of 1.75 percent to 2.25 percent per annum, or (2) the base rate, which is determined by reference to the federal funds rate, plus a margin of 0.75 percent to 1.25 percent, in each case. In addition, we are paying a commitment fee of 0.50 percent per annum on the unused portion of the commitments under the 2020 Credit Agreement.</w:t>
      </w:r>
    </w:p>
    <w:p>
      <w:pPr>
        <w:spacing w:after="0" w:line="133" w:lineRule="exact"/>
        <w:rPr>
          <w:sz w:val="20"/>
          <w:szCs w:val="20"/>
          <w:color w:val="auto"/>
        </w:rPr>
      </w:pPr>
    </w:p>
    <w:p>
      <w:pPr>
        <w:jc w:val="both"/>
        <w:ind w:right="39"/>
        <w:spacing w:after="0" w:line="234" w:lineRule="auto"/>
        <w:rPr>
          <w:sz w:val="20"/>
          <w:szCs w:val="20"/>
          <w:color w:val="auto"/>
        </w:rPr>
      </w:pPr>
      <w:r>
        <w:rPr>
          <w:rFonts w:ascii="Arial" w:cs="Arial" w:eastAsia="Arial" w:hAnsi="Arial"/>
          <w:sz w:val="13"/>
          <w:szCs w:val="13"/>
          <w:color w:val="auto"/>
        </w:rPr>
        <w:t>The 2020 Credit Agreement provides for a security interest in certain of our and the Guarantors’ (as defined in the 2020 Credit Agreement) domestic assets, including inventory, accounts receivable, cash deposits, and certain insurance proceeds. If certain specified events of default have occurred and are continuing, or if availability under the 2020 Credit Agreement is less than or equal to the greater of $60 million and 10 percent of the Loan Cap (as defined in the 2020 Credit Agreement), we are required to test compliance with a minimum consolidated fixed charge coverage ratio of 1.00 to 1.00 as of the end of each fiscal quarter. No events of default occurred during 2020.</w:t>
      </w:r>
    </w:p>
    <w:p>
      <w:pPr>
        <w:spacing w:after="0" w:line="133" w:lineRule="exact"/>
        <w:rPr>
          <w:sz w:val="20"/>
          <w:szCs w:val="20"/>
          <w:color w:val="auto"/>
        </w:rPr>
      </w:pPr>
    </w:p>
    <w:p>
      <w:pPr>
        <w:jc w:val="both"/>
        <w:ind w:right="39"/>
        <w:spacing w:after="0" w:line="235" w:lineRule="auto"/>
        <w:rPr>
          <w:sz w:val="20"/>
          <w:szCs w:val="20"/>
          <w:color w:val="auto"/>
        </w:rPr>
      </w:pPr>
      <w:r>
        <w:rPr>
          <w:rFonts w:ascii="Arial" w:cs="Arial" w:eastAsia="Arial" w:hAnsi="Arial"/>
          <w:sz w:val="13"/>
          <w:szCs w:val="13"/>
          <w:color w:val="auto"/>
        </w:rPr>
        <w:t>As long as certain payment conditions are satisfied, including (a) the absence of any default or event of default has occurred availability under the 2020 Credit Agreement is not less than 15 percent of the lesser of the aggregate amount of the commitments and (b) the Borrowing Base (as defined in the 2020 Credit Agreement), determined as of the preceding fiscal month and on a proforma basis for the following six fiscal months, we may make investments, pay dividends, and repurchase our shares without restriction.</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Credit Rating</w:t>
      </w:r>
    </w:p>
    <w:p>
      <w:pPr>
        <w:spacing w:after="0" w:line="141" w:lineRule="exact"/>
        <w:rPr>
          <w:sz w:val="20"/>
          <w:szCs w:val="20"/>
          <w:color w:val="auto"/>
        </w:rPr>
      </w:pPr>
    </w:p>
    <w:p>
      <w:pPr>
        <w:jc w:val="both"/>
        <w:ind w:right="39"/>
        <w:spacing w:after="0"/>
        <w:rPr>
          <w:sz w:val="20"/>
          <w:szCs w:val="20"/>
          <w:color w:val="auto"/>
        </w:rPr>
      </w:pPr>
      <w:r>
        <w:rPr>
          <w:rFonts w:ascii="Arial" w:cs="Arial" w:eastAsia="Arial" w:hAnsi="Arial"/>
          <w:sz w:val="13"/>
          <w:szCs w:val="13"/>
          <w:color w:val="auto"/>
        </w:rPr>
        <w:t>As of March 25, 2021, our corporate credit ratings from Standard &amp; Poor’s and Moody’s Investors Service are BB+ and Ba1, respectively. In addition, Moody’s Investors Service has rated our senior unsecured notes Ba2.</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40" w:type="dxa"/>
            <w:vAlign w:val="bottom"/>
            <w:tcBorders>
              <w:bottom w:val="single" w:sz="8" w:color="auto"/>
            </w:tcBorders>
          </w:tcPr>
          <w:p>
            <w:pPr>
              <w:spacing w:after="0"/>
              <w:rPr>
                <w:sz w:val="20"/>
                <w:szCs w:val="20"/>
                <w:color w:val="auto"/>
              </w:rPr>
            </w:pPr>
            <w:r>
              <w:rPr>
                <w:rFonts w:ascii="Arial" w:cs="Arial" w:eastAsia="Arial" w:hAnsi="Arial"/>
                <w:sz w:val="13"/>
                <w:szCs w:val="13"/>
                <w:i w:val="1"/>
                <w:iCs w:val="1"/>
                <w:color w:val="auto"/>
                <w:w w:val="98"/>
              </w:rPr>
              <w:t>Debt Capitalization and Equity</w:t>
            </w:r>
          </w:p>
        </w:tc>
        <w:tc>
          <w:tcPr>
            <w:tcW w:w="36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77"/>
        </w:trPr>
        <w:tc>
          <w:tcPr>
            <w:tcW w:w="538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 in millions)</w:t>
            </w:r>
          </w:p>
        </w:tc>
        <w:tc>
          <w:tcPr>
            <w:tcW w:w="1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35"/>
              <w:spacing w:after="0"/>
              <w:rPr>
                <w:sz w:val="20"/>
                <w:szCs w:val="20"/>
                <w:color w:val="auto"/>
              </w:rPr>
            </w:pPr>
            <w:r>
              <w:rPr>
                <w:rFonts w:ascii="Arial" w:cs="Arial" w:eastAsia="Arial" w:hAnsi="Arial"/>
                <w:sz w:val="13"/>
                <w:szCs w:val="13"/>
                <w:b w:val="1"/>
                <w:bCs w:val="1"/>
                <w:color w:val="auto"/>
              </w:rPr>
              <w:t>2020</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535"/>
              <w:spacing w:after="0"/>
              <w:rPr>
                <w:sz w:val="20"/>
                <w:szCs w:val="20"/>
                <w:color w:val="auto"/>
              </w:rPr>
            </w:pPr>
            <w:r>
              <w:rPr>
                <w:rFonts w:ascii="Arial" w:cs="Arial" w:eastAsia="Arial" w:hAnsi="Arial"/>
                <w:sz w:val="13"/>
                <w:szCs w:val="13"/>
                <w:color w:val="auto"/>
              </w:rPr>
              <w:t>2019</w:t>
            </w:r>
          </w:p>
        </w:tc>
      </w:tr>
      <w:tr>
        <w:trPr>
          <w:trHeight w:val="134"/>
        </w:trPr>
        <w:tc>
          <w:tcPr>
            <w:tcW w:w="5380" w:type="dxa"/>
            <w:vAlign w:val="bottom"/>
            <w:gridSpan w:val="2"/>
            <w:shd w:val="clear" w:color="auto" w:fill="CCEEFF"/>
          </w:tcPr>
          <w:p>
            <w:pPr>
              <w:spacing w:after="0" w:line="134" w:lineRule="exact"/>
              <w:rPr>
                <w:sz w:val="20"/>
                <w:szCs w:val="20"/>
                <w:color w:val="auto"/>
              </w:rPr>
            </w:pPr>
            <w:r>
              <w:rPr>
                <w:rFonts w:ascii="Arial" w:cs="Arial" w:eastAsia="Arial" w:hAnsi="Arial"/>
                <w:sz w:val="13"/>
                <w:szCs w:val="13"/>
                <w:color w:val="auto"/>
              </w:rPr>
              <w:t>Long-term debt and obligations under finance leases</w:t>
            </w:r>
          </w:p>
        </w:tc>
        <w:tc>
          <w:tcPr>
            <w:tcW w:w="1340" w:type="dxa"/>
            <w:vAlign w:val="bottom"/>
            <w:shd w:val="clear" w:color="auto" w:fill="CCEEFF"/>
          </w:tcPr>
          <w:p>
            <w:pPr>
              <w:jc w:val="right"/>
              <w:ind w:right="115"/>
              <w:spacing w:after="0" w:line="134" w:lineRule="exact"/>
              <w:rPr>
                <w:sz w:val="20"/>
                <w:szCs w:val="20"/>
                <w:color w:val="auto"/>
              </w:rPr>
            </w:pPr>
            <w:r>
              <w:rPr>
                <w:rFonts w:ascii="Arial" w:cs="Arial" w:eastAsia="Arial" w:hAnsi="Arial"/>
                <w:sz w:val="13"/>
                <w:szCs w:val="13"/>
                <w:b w:val="1"/>
                <w:bCs w:val="1"/>
                <w:color w:val="auto"/>
              </w:rPr>
              <w:t>$</w:t>
            </w:r>
          </w:p>
        </w:tc>
        <w:tc>
          <w:tcPr>
            <w:tcW w:w="1040" w:type="dxa"/>
            <w:vAlign w:val="bottom"/>
            <w:shd w:val="clear" w:color="auto" w:fill="CCEEFF"/>
          </w:tcPr>
          <w:p>
            <w:pPr>
              <w:jc w:val="right"/>
              <w:ind w:right="155"/>
              <w:spacing w:after="0" w:line="134" w:lineRule="exact"/>
              <w:rPr>
                <w:sz w:val="20"/>
                <w:szCs w:val="20"/>
                <w:color w:val="auto"/>
              </w:rPr>
            </w:pPr>
            <w:r>
              <w:rPr>
                <w:rFonts w:ascii="Arial" w:cs="Arial" w:eastAsia="Arial" w:hAnsi="Arial"/>
                <w:sz w:val="13"/>
                <w:szCs w:val="13"/>
                <w:b w:val="1"/>
                <w:bCs w:val="1"/>
                <w:color w:val="auto"/>
              </w:rPr>
              <w:t>110</w:t>
            </w:r>
          </w:p>
        </w:tc>
        <w:tc>
          <w:tcPr>
            <w:tcW w:w="300" w:type="dxa"/>
            <w:vAlign w:val="bottom"/>
            <w:shd w:val="clear" w:color="auto" w:fill="CCEEFF"/>
          </w:tcPr>
          <w:p>
            <w:pPr>
              <w:jc w:val="right"/>
              <w:ind w:right="95"/>
              <w:spacing w:after="0" w:line="134" w:lineRule="exact"/>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155"/>
              <w:spacing w:after="0" w:line="134" w:lineRule="exact"/>
              <w:rPr>
                <w:sz w:val="20"/>
                <w:szCs w:val="20"/>
                <w:color w:val="auto"/>
              </w:rPr>
            </w:pPr>
            <w:r>
              <w:rPr>
                <w:rFonts w:ascii="Arial" w:cs="Arial" w:eastAsia="Arial" w:hAnsi="Arial"/>
                <w:sz w:val="13"/>
                <w:szCs w:val="13"/>
                <w:color w:val="auto"/>
              </w:rPr>
              <w:t>122</w:t>
            </w:r>
          </w:p>
        </w:tc>
      </w:tr>
      <w:tr>
        <w:trPr>
          <w:trHeight w:val="144"/>
        </w:trPr>
        <w:tc>
          <w:tcPr>
            <w:tcW w:w="5380" w:type="dxa"/>
            <w:vAlign w:val="bottom"/>
            <w:tcBorders>
              <w:bottom w:val="single" w:sz="8" w:color="auto"/>
            </w:tcBorders>
            <w:gridSpan w:val="2"/>
          </w:tcPr>
          <w:p>
            <w:pPr>
              <w:spacing w:after="0" w:line="144" w:lineRule="exact"/>
              <w:rPr>
                <w:sz w:val="20"/>
                <w:szCs w:val="20"/>
                <w:color w:val="auto"/>
              </w:rPr>
            </w:pPr>
            <w:r>
              <w:rPr>
                <w:rFonts w:ascii="Arial" w:cs="Arial" w:eastAsia="Arial" w:hAnsi="Arial"/>
                <w:sz w:val="13"/>
                <w:szCs w:val="13"/>
                <w:color w:val="auto"/>
              </w:rPr>
              <w:t>Operating lease liability</w:t>
            </w:r>
          </w:p>
        </w:tc>
        <w:tc>
          <w:tcPr>
            <w:tcW w:w="1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155"/>
              <w:spacing w:after="0" w:line="144" w:lineRule="exact"/>
              <w:rPr>
                <w:sz w:val="20"/>
                <w:szCs w:val="20"/>
                <w:color w:val="auto"/>
              </w:rPr>
            </w:pPr>
            <w:r>
              <w:rPr>
                <w:rFonts w:ascii="Arial" w:cs="Arial" w:eastAsia="Arial" w:hAnsi="Arial"/>
                <w:sz w:val="13"/>
                <w:szCs w:val="13"/>
                <w:b w:val="1"/>
                <w:bCs w:val="1"/>
                <w:color w:val="auto"/>
              </w:rPr>
              <w:t>3,079</w:t>
            </w: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155"/>
              <w:spacing w:after="0" w:line="144" w:lineRule="exact"/>
              <w:rPr>
                <w:sz w:val="20"/>
                <w:szCs w:val="20"/>
                <w:color w:val="auto"/>
              </w:rPr>
            </w:pPr>
            <w:r>
              <w:rPr>
                <w:rFonts w:ascii="Arial" w:cs="Arial" w:eastAsia="Arial" w:hAnsi="Arial"/>
                <w:sz w:val="13"/>
                <w:szCs w:val="13"/>
                <w:color w:val="auto"/>
              </w:rPr>
              <w:t>3,196</w:t>
            </w:r>
          </w:p>
        </w:tc>
      </w:tr>
      <w:tr>
        <w:trPr>
          <w:trHeight w:val="134"/>
        </w:trPr>
        <w:tc>
          <w:tcPr>
            <w:tcW w:w="5380" w:type="dxa"/>
            <w:vAlign w:val="bottom"/>
            <w:gridSpan w:val="2"/>
            <w:shd w:val="clear" w:color="auto" w:fill="CCEEFF"/>
          </w:tcPr>
          <w:p>
            <w:pPr>
              <w:ind w:left="80"/>
              <w:spacing w:after="0" w:line="134" w:lineRule="exact"/>
              <w:rPr>
                <w:sz w:val="20"/>
                <w:szCs w:val="20"/>
                <w:color w:val="auto"/>
              </w:rPr>
            </w:pPr>
            <w:r>
              <w:rPr>
                <w:rFonts w:ascii="Arial" w:cs="Arial" w:eastAsia="Arial" w:hAnsi="Arial"/>
                <w:sz w:val="13"/>
                <w:szCs w:val="13"/>
                <w:color w:val="auto"/>
              </w:rPr>
              <w:t>Total debt including finance and operating leases</w:t>
            </w:r>
          </w:p>
        </w:tc>
        <w:tc>
          <w:tcPr>
            <w:tcW w:w="134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155"/>
              <w:spacing w:after="0" w:line="134" w:lineRule="exact"/>
              <w:rPr>
                <w:sz w:val="20"/>
                <w:szCs w:val="20"/>
                <w:color w:val="auto"/>
              </w:rPr>
            </w:pPr>
            <w:r>
              <w:rPr>
                <w:rFonts w:ascii="Arial" w:cs="Arial" w:eastAsia="Arial" w:hAnsi="Arial"/>
                <w:sz w:val="13"/>
                <w:szCs w:val="13"/>
                <w:b w:val="1"/>
                <w:bCs w:val="1"/>
                <w:color w:val="auto"/>
              </w:rPr>
              <w:t>3,189</w:t>
            </w:r>
          </w:p>
        </w:tc>
        <w:tc>
          <w:tcPr>
            <w:tcW w:w="30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155"/>
              <w:spacing w:after="0" w:line="134" w:lineRule="exact"/>
              <w:rPr>
                <w:sz w:val="20"/>
                <w:szCs w:val="20"/>
                <w:color w:val="auto"/>
              </w:rPr>
            </w:pPr>
            <w:r>
              <w:rPr>
                <w:rFonts w:ascii="Arial" w:cs="Arial" w:eastAsia="Arial" w:hAnsi="Arial"/>
                <w:sz w:val="13"/>
                <w:szCs w:val="13"/>
                <w:color w:val="auto"/>
              </w:rPr>
              <w:t>3,318</w:t>
            </w:r>
          </w:p>
        </w:tc>
      </w:tr>
      <w:tr>
        <w:trPr>
          <w:trHeight w:val="144"/>
        </w:trPr>
        <w:tc>
          <w:tcPr>
            <w:tcW w:w="5380" w:type="dxa"/>
            <w:vAlign w:val="bottom"/>
            <w:gridSpan w:val="2"/>
          </w:tcPr>
          <w:p>
            <w:pPr>
              <w:spacing w:after="0" w:line="144" w:lineRule="exact"/>
              <w:rPr>
                <w:sz w:val="20"/>
                <w:szCs w:val="20"/>
                <w:color w:val="auto"/>
              </w:rPr>
            </w:pPr>
            <w:r>
              <w:rPr>
                <w:rFonts w:ascii="Arial" w:cs="Arial" w:eastAsia="Arial" w:hAnsi="Arial"/>
                <w:sz w:val="13"/>
                <w:szCs w:val="13"/>
                <w:color w:val="auto"/>
              </w:rPr>
              <w:t>Less:</w:t>
            </w:r>
          </w:p>
        </w:tc>
        <w:tc>
          <w:tcPr>
            <w:tcW w:w="1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144"/>
        </w:trPr>
        <w:tc>
          <w:tcPr>
            <w:tcW w:w="5380" w:type="dxa"/>
            <w:vAlign w:val="bottom"/>
            <w:tcBorders>
              <w:bottom w:val="single" w:sz="8" w:color="auto"/>
            </w:tcBorders>
            <w:gridSpan w:val="2"/>
            <w:shd w:val="clear" w:color="auto" w:fill="CCEEFF"/>
          </w:tcPr>
          <w:p>
            <w:pPr>
              <w:spacing w:after="0" w:line="144" w:lineRule="exact"/>
              <w:rPr>
                <w:sz w:val="20"/>
                <w:szCs w:val="20"/>
                <w:color w:val="auto"/>
              </w:rPr>
            </w:pPr>
            <w:r>
              <w:rPr>
                <w:rFonts w:ascii="Arial" w:cs="Arial" w:eastAsia="Arial" w:hAnsi="Arial"/>
                <w:sz w:val="13"/>
                <w:szCs w:val="13"/>
                <w:color w:val="auto"/>
              </w:rPr>
              <w:t>Cash and cash equivalents</w:t>
            </w:r>
          </w:p>
        </w:tc>
        <w:tc>
          <w:tcPr>
            <w:tcW w:w="13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ind w:right="155"/>
              <w:spacing w:after="0" w:line="144" w:lineRule="exact"/>
              <w:rPr>
                <w:sz w:val="20"/>
                <w:szCs w:val="20"/>
                <w:color w:val="auto"/>
              </w:rPr>
            </w:pPr>
            <w:r>
              <w:rPr>
                <w:rFonts w:ascii="Arial" w:cs="Arial" w:eastAsia="Arial" w:hAnsi="Arial"/>
                <w:sz w:val="13"/>
                <w:szCs w:val="13"/>
                <w:b w:val="1"/>
                <w:bCs w:val="1"/>
                <w:color w:val="auto"/>
              </w:rPr>
              <w:t>1,680</w:t>
            </w:r>
          </w:p>
        </w:tc>
        <w:tc>
          <w:tcPr>
            <w:tcW w:w="3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155"/>
              <w:spacing w:after="0" w:line="144" w:lineRule="exact"/>
              <w:rPr>
                <w:sz w:val="20"/>
                <w:szCs w:val="20"/>
                <w:color w:val="auto"/>
              </w:rPr>
            </w:pPr>
            <w:r>
              <w:rPr>
                <w:rFonts w:ascii="Arial" w:cs="Arial" w:eastAsia="Arial" w:hAnsi="Arial"/>
                <w:sz w:val="13"/>
                <w:szCs w:val="13"/>
                <w:color w:val="auto"/>
              </w:rPr>
              <w:t>907</w:t>
            </w:r>
          </w:p>
        </w:tc>
      </w:tr>
      <w:tr>
        <w:trPr>
          <w:trHeight w:val="134"/>
        </w:trPr>
        <w:tc>
          <w:tcPr>
            <w:tcW w:w="5380" w:type="dxa"/>
            <w:vAlign w:val="bottom"/>
            <w:gridSpan w:val="2"/>
          </w:tcPr>
          <w:p>
            <w:pPr>
              <w:ind w:left="80"/>
              <w:spacing w:after="0" w:line="134" w:lineRule="exact"/>
              <w:rPr>
                <w:sz w:val="20"/>
                <w:szCs w:val="20"/>
                <w:color w:val="auto"/>
              </w:rPr>
            </w:pPr>
            <w:r>
              <w:rPr>
                <w:rFonts w:ascii="Arial" w:cs="Arial" w:eastAsia="Arial" w:hAnsi="Arial"/>
                <w:sz w:val="13"/>
                <w:szCs w:val="13"/>
                <w:color w:val="auto"/>
              </w:rPr>
              <w:t>Total net debt including the present value of finance and operating leases</w:t>
            </w:r>
          </w:p>
        </w:tc>
        <w:tc>
          <w:tcPr>
            <w:tcW w:w="1340" w:type="dxa"/>
            <w:vAlign w:val="bottom"/>
          </w:tcPr>
          <w:p>
            <w:pPr>
              <w:spacing w:after="0"/>
              <w:rPr>
                <w:sz w:val="11"/>
                <w:szCs w:val="11"/>
                <w:color w:val="auto"/>
              </w:rPr>
            </w:pPr>
          </w:p>
        </w:tc>
        <w:tc>
          <w:tcPr>
            <w:tcW w:w="1040" w:type="dxa"/>
            <w:vAlign w:val="bottom"/>
          </w:tcPr>
          <w:p>
            <w:pPr>
              <w:jc w:val="right"/>
              <w:ind w:right="155"/>
              <w:spacing w:after="0" w:line="134" w:lineRule="exact"/>
              <w:rPr>
                <w:sz w:val="20"/>
                <w:szCs w:val="20"/>
                <w:color w:val="auto"/>
              </w:rPr>
            </w:pPr>
            <w:r>
              <w:rPr>
                <w:rFonts w:ascii="Arial" w:cs="Arial" w:eastAsia="Arial" w:hAnsi="Arial"/>
                <w:sz w:val="13"/>
                <w:szCs w:val="13"/>
                <w:b w:val="1"/>
                <w:bCs w:val="1"/>
                <w:color w:val="auto"/>
              </w:rPr>
              <w:t>1,509</w:t>
            </w:r>
          </w:p>
        </w:tc>
        <w:tc>
          <w:tcPr>
            <w:tcW w:w="300" w:type="dxa"/>
            <w:vAlign w:val="bottom"/>
          </w:tcPr>
          <w:p>
            <w:pPr>
              <w:spacing w:after="0"/>
              <w:rPr>
                <w:sz w:val="11"/>
                <w:szCs w:val="11"/>
                <w:color w:val="auto"/>
              </w:rPr>
            </w:pPr>
          </w:p>
        </w:tc>
        <w:tc>
          <w:tcPr>
            <w:tcW w:w="1060" w:type="dxa"/>
            <w:vAlign w:val="bottom"/>
          </w:tcPr>
          <w:p>
            <w:pPr>
              <w:jc w:val="right"/>
              <w:ind w:right="155"/>
              <w:spacing w:after="0" w:line="134" w:lineRule="exact"/>
              <w:rPr>
                <w:sz w:val="20"/>
                <w:szCs w:val="20"/>
                <w:color w:val="auto"/>
              </w:rPr>
            </w:pPr>
            <w:r>
              <w:rPr>
                <w:rFonts w:ascii="Arial" w:cs="Arial" w:eastAsia="Arial" w:hAnsi="Arial"/>
                <w:sz w:val="13"/>
                <w:szCs w:val="13"/>
                <w:color w:val="auto"/>
              </w:rPr>
              <w:t>2,411</w:t>
            </w:r>
          </w:p>
        </w:tc>
      </w:tr>
      <w:tr>
        <w:trPr>
          <w:trHeight w:val="144"/>
        </w:trPr>
        <w:tc>
          <w:tcPr>
            <w:tcW w:w="5380" w:type="dxa"/>
            <w:vAlign w:val="bottom"/>
            <w:tcBorders>
              <w:bottom w:val="single" w:sz="8" w:color="auto"/>
            </w:tcBorders>
            <w:gridSpan w:val="2"/>
            <w:shd w:val="clear" w:color="auto" w:fill="CCEEFF"/>
          </w:tcPr>
          <w:p>
            <w:pPr>
              <w:spacing w:after="0" w:line="144" w:lineRule="exact"/>
              <w:rPr>
                <w:sz w:val="20"/>
                <w:szCs w:val="20"/>
                <w:color w:val="auto"/>
              </w:rPr>
            </w:pPr>
            <w:r>
              <w:rPr>
                <w:rFonts w:ascii="Arial" w:cs="Arial" w:eastAsia="Arial" w:hAnsi="Arial"/>
                <w:sz w:val="13"/>
                <w:szCs w:val="13"/>
                <w:color w:val="auto"/>
              </w:rPr>
              <w:t>Shareholders’ equity</w:t>
            </w:r>
          </w:p>
        </w:tc>
        <w:tc>
          <w:tcPr>
            <w:tcW w:w="13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ind w:right="155"/>
              <w:spacing w:after="0" w:line="144" w:lineRule="exact"/>
              <w:rPr>
                <w:sz w:val="20"/>
                <w:szCs w:val="20"/>
                <w:color w:val="auto"/>
              </w:rPr>
            </w:pPr>
            <w:r>
              <w:rPr>
                <w:rFonts w:ascii="Arial" w:cs="Arial" w:eastAsia="Arial" w:hAnsi="Arial"/>
                <w:sz w:val="13"/>
                <w:szCs w:val="13"/>
                <w:b w:val="1"/>
                <w:bCs w:val="1"/>
                <w:color w:val="auto"/>
              </w:rPr>
              <w:t>2,776</w:t>
            </w:r>
          </w:p>
        </w:tc>
        <w:tc>
          <w:tcPr>
            <w:tcW w:w="3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155"/>
              <w:spacing w:after="0" w:line="144" w:lineRule="exact"/>
              <w:rPr>
                <w:sz w:val="20"/>
                <w:szCs w:val="20"/>
                <w:color w:val="auto"/>
              </w:rPr>
            </w:pPr>
            <w:r>
              <w:rPr>
                <w:rFonts w:ascii="Arial" w:cs="Arial" w:eastAsia="Arial" w:hAnsi="Arial"/>
                <w:sz w:val="13"/>
                <w:szCs w:val="13"/>
                <w:color w:val="auto"/>
              </w:rPr>
              <w:t>2,473</w:t>
            </w:r>
          </w:p>
        </w:tc>
      </w:tr>
      <w:tr>
        <w:trPr>
          <w:trHeight w:val="174"/>
        </w:trPr>
        <w:tc>
          <w:tcPr>
            <w:tcW w:w="5380" w:type="dxa"/>
            <w:vAlign w:val="bottom"/>
            <w:tcBorders>
              <w:bottom w:val="single" w:sz="8" w:color="auto"/>
            </w:tcBorders>
            <w:gridSpan w:val="2"/>
          </w:tcPr>
          <w:p>
            <w:pPr>
              <w:spacing w:after="0" w:line="134" w:lineRule="exact"/>
              <w:rPr>
                <w:sz w:val="20"/>
                <w:szCs w:val="20"/>
                <w:color w:val="auto"/>
              </w:rPr>
            </w:pPr>
            <w:r>
              <w:rPr>
                <w:rFonts w:ascii="Arial" w:cs="Arial" w:eastAsia="Arial" w:hAnsi="Arial"/>
                <w:sz w:val="13"/>
                <w:szCs w:val="13"/>
                <w:color w:val="auto"/>
              </w:rPr>
              <w:t>Total capitalization</w:t>
            </w:r>
          </w:p>
        </w:tc>
        <w:tc>
          <w:tcPr>
            <w:tcW w:w="1340" w:type="dxa"/>
            <w:vAlign w:val="bottom"/>
            <w:tcBorders>
              <w:bottom w:val="single" w:sz="8" w:color="auto"/>
            </w:tcBorders>
          </w:tcPr>
          <w:p>
            <w:pPr>
              <w:jc w:val="right"/>
              <w:ind w:right="115"/>
              <w:spacing w:after="0" w:line="134" w:lineRule="exact"/>
              <w:rPr>
                <w:sz w:val="20"/>
                <w:szCs w:val="20"/>
                <w:color w:val="auto"/>
              </w:rPr>
            </w:pPr>
            <w:r>
              <w:rPr>
                <w:rFonts w:ascii="Arial" w:cs="Arial" w:eastAsia="Arial" w:hAnsi="Arial"/>
                <w:sz w:val="13"/>
                <w:szCs w:val="13"/>
                <w:b w:val="1"/>
                <w:bCs w:val="1"/>
                <w:color w:val="auto"/>
              </w:rPr>
              <w:t>$</w:t>
            </w:r>
          </w:p>
        </w:tc>
        <w:tc>
          <w:tcPr>
            <w:tcW w:w="1040" w:type="dxa"/>
            <w:vAlign w:val="bottom"/>
            <w:tcBorders>
              <w:bottom w:val="single" w:sz="8" w:color="auto"/>
            </w:tcBorders>
          </w:tcPr>
          <w:p>
            <w:pPr>
              <w:jc w:val="right"/>
              <w:ind w:right="155"/>
              <w:spacing w:after="0" w:line="134" w:lineRule="exact"/>
              <w:rPr>
                <w:sz w:val="20"/>
                <w:szCs w:val="20"/>
                <w:color w:val="auto"/>
              </w:rPr>
            </w:pPr>
            <w:r>
              <w:rPr>
                <w:rFonts w:ascii="Arial" w:cs="Arial" w:eastAsia="Arial" w:hAnsi="Arial"/>
                <w:sz w:val="13"/>
                <w:szCs w:val="13"/>
                <w:b w:val="1"/>
                <w:bCs w:val="1"/>
                <w:color w:val="auto"/>
              </w:rPr>
              <w:t>4,285</w:t>
            </w:r>
          </w:p>
        </w:tc>
        <w:tc>
          <w:tcPr>
            <w:tcW w:w="300" w:type="dxa"/>
            <w:vAlign w:val="bottom"/>
            <w:tcBorders>
              <w:bottom w:val="single" w:sz="8" w:color="auto"/>
            </w:tcBorders>
          </w:tcPr>
          <w:p>
            <w:pPr>
              <w:jc w:val="right"/>
              <w:ind w:right="95"/>
              <w:spacing w:after="0" w:line="134"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ind w:right="155"/>
              <w:spacing w:after="0" w:line="134" w:lineRule="exact"/>
              <w:rPr>
                <w:sz w:val="20"/>
                <w:szCs w:val="20"/>
                <w:color w:val="auto"/>
              </w:rPr>
            </w:pPr>
            <w:r>
              <w:rPr>
                <w:rFonts w:ascii="Arial" w:cs="Arial" w:eastAsia="Arial" w:hAnsi="Arial"/>
                <w:sz w:val="13"/>
                <w:szCs w:val="13"/>
                <w:color w:val="auto"/>
              </w:rPr>
              <w:t>4,884</w:t>
            </w:r>
          </w:p>
        </w:tc>
      </w:tr>
      <w:tr>
        <w:trPr>
          <w:trHeight w:val="114"/>
        </w:trPr>
        <w:tc>
          <w:tcPr>
            <w:tcW w:w="1740" w:type="dxa"/>
            <w:vAlign w:val="bottom"/>
            <w:shd w:val="clear" w:color="auto" w:fill="CCEEFF"/>
          </w:tcPr>
          <w:p>
            <w:pPr>
              <w:spacing w:after="0"/>
              <w:rPr>
                <w:sz w:val="9"/>
                <w:szCs w:val="9"/>
                <w:color w:val="auto"/>
              </w:rPr>
            </w:pPr>
          </w:p>
        </w:tc>
        <w:tc>
          <w:tcPr>
            <w:tcW w:w="364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r>
      <w:tr>
        <w:trPr>
          <w:trHeight w:val="144"/>
        </w:trPr>
        <w:tc>
          <w:tcPr>
            <w:tcW w:w="5380" w:type="dxa"/>
            <w:vAlign w:val="bottom"/>
            <w:tcBorders>
              <w:bottom w:val="single" w:sz="8" w:color="auto"/>
            </w:tcBorders>
            <w:gridSpan w:val="2"/>
          </w:tcPr>
          <w:p>
            <w:pPr>
              <w:spacing w:after="0" w:line="144" w:lineRule="exact"/>
              <w:rPr>
                <w:sz w:val="20"/>
                <w:szCs w:val="20"/>
                <w:color w:val="auto"/>
              </w:rPr>
            </w:pPr>
            <w:r>
              <w:rPr>
                <w:rFonts w:ascii="Arial" w:cs="Arial" w:eastAsia="Arial" w:hAnsi="Arial"/>
                <w:sz w:val="13"/>
                <w:szCs w:val="13"/>
                <w:color w:val="auto"/>
              </w:rPr>
              <w:t>Total net debt capitalization percent including finance and operating leases</w:t>
            </w:r>
          </w:p>
        </w:tc>
        <w:tc>
          <w:tcPr>
            <w:tcW w:w="13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35.2 %</w:t>
            </w: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49.4 %</w:t>
            </w:r>
          </w:p>
        </w:tc>
      </w:tr>
    </w:tbl>
    <w:p>
      <w:pPr>
        <w:spacing w:after="0" w:line="108" w:lineRule="exact"/>
        <w:rPr>
          <w:sz w:val="20"/>
          <w:szCs w:val="20"/>
          <w:color w:val="auto"/>
        </w:rPr>
      </w:pPr>
    </w:p>
    <w:p>
      <w:pPr>
        <w:jc w:val="both"/>
        <w:ind w:right="39"/>
        <w:spacing w:after="0"/>
        <w:rPr>
          <w:sz w:val="20"/>
          <w:szCs w:val="20"/>
          <w:color w:val="auto"/>
        </w:rPr>
      </w:pPr>
      <w:r>
        <w:rPr>
          <w:rFonts w:ascii="Arial" w:cs="Arial" w:eastAsia="Arial" w:hAnsi="Arial"/>
          <w:sz w:val="13"/>
          <w:szCs w:val="13"/>
          <w:color w:val="auto"/>
        </w:rPr>
        <w:t>Net debt capitalization percent decreased to 35.2 percent as compared with 49.4 percent in the prior year, primarily reflecting higher cash and cash equivalents.</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Off-Balance Sheet Arrangements</w:t>
      </w:r>
    </w:p>
    <w:p>
      <w:pPr>
        <w:spacing w:after="0" w:line="143" w:lineRule="exact"/>
        <w:rPr>
          <w:sz w:val="20"/>
          <w:szCs w:val="20"/>
          <w:color w:val="auto"/>
        </w:rPr>
      </w:pPr>
    </w:p>
    <w:p>
      <w:pPr>
        <w:jc w:val="both"/>
        <w:ind w:right="39"/>
        <w:spacing w:after="0"/>
        <w:rPr>
          <w:sz w:val="20"/>
          <w:szCs w:val="20"/>
          <w:color w:val="auto"/>
        </w:rPr>
      </w:pPr>
      <w:r>
        <w:rPr>
          <w:rFonts w:ascii="Arial" w:cs="Arial" w:eastAsia="Arial" w:hAnsi="Arial"/>
          <w:sz w:val="13"/>
          <w:szCs w:val="13"/>
          <w:color w:val="auto"/>
        </w:rPr>
        <w:t>We have not entered into any transactions with unconsolidated entities that expose us to material continuing risks, contingent liabilities, or any other obligation under a variable interest in an unconsolidated entity. Also, our financial policies prohibit the use of derivatives for which there is no underlying exposure.</w:t>
      </w:r>
    </w:p>
    <w:p>
      <w:pPr>
        <w:spacing w:after="0" w:line="101" w:lineRule="exact"/>
        <w:rPr>
          <w:sz w:val="20"/>
          <w:szCs w:val="20"/>
          <w:color w:val="auto"/>
        </w:rPr>
      </w:pPr>
    </w:p>
    <w:p>
      <w:pPr>
        <w:ind w:left="7660"/>
        <w:spacing w:after="0"/>
        <w:rPr>
          <w:sz w:val="20"/>
          <w:szCs w:val="20"/>
          <w:color w:val="auto"/>
        </w:rPr>
      </w:pPr>
      <w:r>
        <w:rPr>
          <w:rFonts w:ascii="Arial" w:cs="Arial" w:eastAsia="Arial" w:hAnsi="Arial"/>
          <w:sz w:val="12"/>
          <w:szCs w:val="12"/>
          <w:color w:val="auto"/>
        </w:rPr>
        <w:t>2020 Form 10-K Page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365125</wp:posOffset>
            </wp:positionV>
            <wp:extent cx="5790565" cy="196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90565" cy="19685"/>
                    </a:xfrm>
                    <a:prstGeom prst="rect">
                      <a:avLst/>
                    </a:prstGeom>
                    <a:noFill/>
                  </pic:spPr>
                </pic:pic>
              </a:graphicData>
            </a:graphic>
          </wp:anchor>
        </w:drawing>
      </w:r>
    </w:p>
    <w:p>
      <w:pPr>
        <w:sectPr>
          <w:pgSz w:w="11900" w:h="16838" w:orient="portrait"/>
          <w:cols w:equalWidth="0" w:num="1">
            <w:col w:w="9159"/>
          </w:cols>
          <w:pgMar w:left="1300" w:top="678" w:right="1440" w:bottom="1440" w:gutter="0" w:footer="0" w:header="0"/>
        </w:sectPr>
      </w:pPr>
    </w:p>
    <w:bookmarkStart w:id="32" w:name="page33"/>
    <w:bookmarkEnd w:id="32"/>
    <w:p>
      <w:pPr>
        <w:jc w:val="both"/>
        <w:ind w:right="39"/>
        <w:spacing w:after="0" w:line="235" w:lineRule="auto"/>
        <w:rPr>
          <w:sz w:val="20"/>
          <w:szCs w:val="20"/>
          <w:color w:val="auto"/>
        </w:rPr>
      </w:pPr>
      <w:r>
        <w:rPr>
          <w:rFonts w:ascii="Arial" w:cs="Arial" w:eastAsia="Arial" w:hAnsi="Arial"/>
          <w:sz w:val="13"/>
          <w:szCs w:val="13"/>
          <w:color w:val="auto"/>
        </w:rPr>
        <w:t>In connection with the sale of various businesses and assets, we may be obligated for certain lease commitments transferred to third parties and pursuant to certain normal representations, warranties, or indemnifications entered into with the purchasers of such businesses or assets. Although the maximum potential amounts for such obligations cannot be readily determined, we believe that the resolution of such contingencies will not significantly affect our consolidated financial position, liquidity, or results of operations.</w:t>
      </w:r>
    </w:p>
    <w:p>
      <w:pPr>
        <w:spacing w:after="0" w:line="102" w:lineRule="exact"/>
        <w:rPr>
          <w:sz w:val="20"/>
          <w:szCs w:val="20"/>
          <w:color w:val="auto"/>
        </w:rPr>
      </w:pPr>
    </w:p>
    <w:p>
      <w:pPr>
        <w:jc w:val="both"/>
        <w:ind w:right="39"/>
        <w:spacing w:after="0"/>
        <w:rPr>
          <w:sz w:val="20"/>
          <w:szCs w:val="20"/>
          <w:color w:val="auto"/>
        </w:rPr>
      </w:pPr>
      <w:r>
        <w:rPr>
          <w:rFonts w:ascii="Arial" w:cs="Arial" w:eastAsia="Arial" w:hAnsi="Arial"/>
          <w:sz w:val="13"/>
          <w:szCs w:val="13"/>
          <w:color w:val="auto"/>
        </w:rPr>
        <w:t>We also operate certain stores for which lease agreements are in the process of being negotiated with landlords. Although there is no contractual commitment to make these payments, it is likely that leases will be executed.</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Accounting Policies</w:t>
      </w:r>
    </w:p>
    <w:p>
      <w:pPr>
        <w:spacing w:after="0" w:line="133" w:lineRule="exact"/>
        <w:rPr>
          <w:sz w:val="20"/>
          <w:szCs w:val="20"/>
          <w:color w:val="auto"/>
        </w:rPr>
      </w:pPr>
    </w:p>
    <w:p>
      <w:pPr>
        <w:jc w:val="both"/>
        <w:ind w:right="39"/>
        <w:spacing w:after="0" w:line="234" w:lineRule="auto"/>
        <w:rPr>
          <w:sz w:val="20"/>
          <w:szCs w:val="20"/>
          <w:color w:val="auto"/>
        </w:rPr>
      </w:pPr>
      <w:r>
        <w:rPr>
          <w:rFonts w:ascii="Arial" w:cs="Arial" w:eastAsia="Arial" w:hAnsi="Arial"/>
          <w:sz w:val="13"/>
          <w:szCs w:val="13"/>
          <w:color w:val="auto"/>
        </w:rPr>
        <w:t xml:space="preserve">Our responsibility for integrity and objectivity in the preparation and presentation of the financial statements requires application of appropriate accounting policies. Generally, our accounting policies and methods are those specifically required by U.S. GAAP. Included in the </w:t>
      </w:r>
      <w:r>
        <w:rPr>
          <w:rFonts w:ascii="Arial" w:cs="Arial" w:eastAsia="Arial" w:hAnsi="Arial"/>
          <w:sz w:val="13"/>
          <w:szCs w:val="13"/>
          <w:i w:val="1"/>
          <w:iCs w:val="1"/>
          <w:color w:val="auto"/>
        </w:rPr>
        <w:t>Summary of Significant Accounting</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Policies </w:t>
      </w:r>
      <w:r>
        <w:rPr>
          <w:rFonts w:ascii="Arial" w:cs="Arial" w:eastAsia="Arial" w:hAnsi="Arial"/>
          <w:sz w:val="13"/>
          <w:szCs w:val="13"/>
          <w:color w:val="auto"/>
        </w:rPr>
        <w:t>note in “Item 8. Consolidated Financial Statements and Supplementary Data” is a summary of the most significant accounting policies. In some cases,</w:t>
      </w:r>
      <w:r>
        <w:rPr>
          <w:rFonts w:ascii="Arial" w:cs="Arial" w:eastAsia="Arial" w:hAnsi="Arial"/>
          <w:sz w:val="13"/>
          <w:szCs w:val="13"/>
          <w:i w:val="1"/>
          <w:iCs w:val="1"/>
          <w:color w:val="auto"/>
        </w:rPr>
        <w:t xml:space="preserve"> </w:t>
      </w:r>
      <w:r>
        <w:rPr>
          <w:rFonts w:ascii="Arial" w:cs="Arial" w:eastAsia="Arial" w:hAnsi="Arial"/>
          <w:sz w:val="13"/>
          <w:szCs w:val="13"/>
          <w:color w:val="auto"/>
        </w:rPr>
        <w:t>we are required to calculate amounts based on estimates for matters that are inherently uncertain. We believe the following to be the most critical of those accounting policies that necessitate subjective judgments.</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Merchandise Inventories and Cost of Sales</w:t>
      </w:r>
    </w:p>
    <w:p>
      <w:pPr>
        <w:spacing w:after="0" w:line="121" w:lineRule="exact"/>
        <w:rPr>
          <w:sz w:val="20"/>
          <w:szCs w:val="20"/>
          <w:color w:val="auto"/>
        </w:rPr>
      </w:pPr>
    </w:p>
    <w:p>
      <w:pPr>
        <w:jc w:val="both"/>
        <w:ind w:right="39"/>
        <w:spacing w:after="0" w:line="235" w:lineRule="auto"/>
        <w:rPr>
          <w:sz w:val="20"/>
          <w:szCs w:val="20"/>
          <w:color w:val="auto"/>
        </w:rPr>
      </w:pPr>
      <w:r>
        <w:rPr>
          <w:rFonts w:ascii="Arial" w:cs="Arial" w:eastAsia="Arial" w:hAnsi="Arial"/>
          <w:sz w:val="13"/>
          <w:szCs w:val="13"/>
          <w:color w:val="auto"/>
        </w:rPr>
        <w:t>Merchandise inventories for our stores are valued at the lower of cost or market using the retail inventory method (“RIM”). The RIM is used by retail companies to value inventories at cost and calculate gross margins due to its practicality. Under the RIM, cost is determined by applying a cost-to-retail percentage across groupings of similar items, known as departments. The cost-to-retail percentage is applied to ending inventory at its current owned retail valuation to determine the cost of ending inventory on a department basis.</w:t>
      </w:r>
    </w:p>
    <w:p>
      <w:pPr>
        <w:spacing w:after="0" w:line="112" w:lineRule="exact"/>
        <w:rPr>
          <w:sz w:val="20"/>
          <w:szCs w:val="20"/>
          <w:color w:val="auto"/>
        </w:rPr>
      </w:pPr>
    </w:p>
    <w:p>
      <w:pPr>
        <w:jc w:val="both"/>
        <w:ind w:right="39"/>
        <w:spacing w:after="0" w:line="233" w:lineRule="auto"/>
        <w:rPr>
          <w:sz w:val="20"/>
          <w:szCs w:val="20"/>
          <w:color w:val="auto"/>
        </w:rPr>
      </w:pPr>
      <w:r>
        <w:rPr>
          <w:rFonts w:ascii="Arial" w:cs="Arial" w:eastAsia="Arial" w:hAnsi="Arial"/>
          <w:sz w:val="13"/>
          <w:szCs w:val="13"/>
          <w:color w:val="auto"/>
        </w:rPr>
        <w:t>The RIM is a system of averages that requires estimates and assumptions regarding markups, markdowns and shrink, among others, and as such, could result in distortions of inventory amounts. Judgment is required for these estimates and assumptions, as well as to differentiate between promotional and other markdowns that may be required to correctly reflect merchandise inventories at the lower of cost or market. Reserves are established based on current selling prices when the inventory has not been marked down to market. The failure to take permanent markdowns on a timely basis may result in an overstatement of cost under the retail inventory method. The decision to take permanent markdowns includes many factors, including the current retail environment, inventory levels, and the age of the item. We believe this method and its related assumptions, which have been consistently applied, to be reasonable.</w:t>
      </w:r>
    </w:p>
    <w:p>
      <w:pPr>
        <w:spacing w:after="0" w:line="90"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Leases</w:t>
      </w:r>
    </w:p>
    <w:p>
      <w:pPr>
        <w:spacing w:after="0" w:line="111" w:lineRule="exact"/>
        <w:rPr>
          <w:sz w:val="20"/>
          <w:szCs w:val="20"/>
          <w:color w:val="auto"/>
        </w:rPr>
      </w:pPr>
    </w:p>
    <w:p>
      <w:pPr>
        <w:jc w:val="both"/>
        <w:ind w:right="39"/>
        <w:spacing w:after="0" w:line="236" w:lineRule="auto"/>
        <w:rPr>
          <w:sz w:val="20"/>
          <w:szCs w:val="20"/>
          <w:color w:val="auto"/>
        </w:rPr>
      </w:pPr>
      <w:r>
        <w:rPr>
          <w:rFonts w:ascii="Arial" w:cs="Arial" w:eastAsia="Arial" w:hAnsi="Arial"/>
          <w:sz w:val="13"/>
          <w:szCs w:val="13"/>
          <w:color w:val="auto"/>
        </w:rPr>
        <w:t>We determine if an arrangement is a lease at inception. Right-of-use assets and liabilities are recognized at the commencement date based on the present value of lease payments over the lease term for those arrangements where there is an identified asset and the contract conveys the right to control its use. Our lease term includes options to extend or terminate a lease only when it is reasonably certain that we will exercise that option.</w:t>
      </w:r>
    </w:p>
    <w:p>
      <w:pPr>
        <w:spacing w:after="0" w:line="154" w:lineRule="exact"/>
        <w:rPr>
          <w:sz w:val="20"/>
          <w:szCs w:val="20"/>
          <w:color w:val="auto"/>
        </w:rPr>
      </w:pPr>
    </w:p>
    <w:p>
      <w:pPr>
        <w:jc w:val="both"/>
        <w:ind w:right="39"/>
        <w:spacing w:after="0" w:line="233" w:lineRule="auto"/>
        <w:rPr>
          <w:sz w:val="20"/>
          <w:szCs w:val="20"/>
          <w:color w:val="auto"/>
        </w:rPr>
      </w:pPr>
      <w:r>
        <w:rPr>
          <w:rFonts w:ascii="Arial" w:cs="Arial" w:eastAsia="Arial" w:hAnsi="Arial"/>
          <w:sz w:val="13"/>
          <w:szCs w:val="13"/>
          <w:color w:val="auto"/>
        </w:rPr>
        <w:t>As most of our leases do not provide an implicit interest rate, we use our incremental borrowing rates based on the remaining lease term to determine the present value of future lease payments. Our incremental borrowing rate for a lease is the rate of interest we would have to pay on a collateralized basis to borrow an amount equal to the lease payments under similar terms. Our incremental borrowing rate is calculated as the weighted average risk-free (sovereign) rate plus a spread to reflect our current unsecured credit rating plus the fees to borrow under our credit facility. The weighted average risk-free (sovereign) rates were based on the Treasury BVAL rates curve in Bloomberg. In the regions that we have stores, rates were developed for 3, 5, 7, 10, and 15 years. The weighting given to each region was determined by the number of stores in each region.</w:t>
      </w:r>
    </w:p>
    <w:p>
      <w:pPr>
        <w:spacing w:after="0" w:line="165" w:lineRule="exact"/>
        <w:rPr>
          <w:sz w:val="20"/>
          <w:szCs w:val="20"/>
          <w:color w:val="auto"/>
        </w:rPr>
      </w:pPr>
    </w:p>
    <w:p>
      <w:pPr>
        <w:jc w:val="both"/>
        <w:ind w:right="39"/>
        <w:spacing w:after="0"/>
        <w:rPr>
          <w:sz w:val="20"/>
          <w:szCs w:val="20"/>
          <w:color w:val="auto"/>
        </w:rPr>
      </w:pPr>
      <w:r>
        <w:rPr>
          <w:rFonts w:ascii="Arial" w:cs="Arial" w:eastAsia="Arial" w:hAnsi="Arial"/>
          <w:sz w:val="13"/>
          <w:szCs w:val="13"/>
          <w:color w:val="auto"/>
        </w:rPr>
        <w:t>The spread to reflect our current credit rating represented the spread between U.S. Treasury rates and Bloomberg’s USD BVAL curve for non-financial companies with the Company’s credit rating. The fees to borrow represent the facility fees paid on the Company’s revolving credit facility.</w:t>
      </w:r>
    </w:p>
    <w:p>
      <w:pPr>
        <w:spacing w:after="0" w:line="200" w:lineRule="exact"/>
        <w:rPr>
          <w:sz w:val="20"/>
          <w:szCs w:val="20"/>
          <w:color w:val="auto"/>
        </w:rPr>
      </w:pPr>
    </w:p>
    <w:p>
      <w:pPr>
        <w:spacing w:after="0" w:line="260" w:lineRule="exact"/>
        <w:rPr>
          <w:sz w:val="20"/>
          <w:szCs w:val="20"/>
          <w:color w:val="auto"/>
        </w:rPr>
      </w:pPr>
    </w:p>
    <w:p>
      <w:pPr>
        <w:ind w:left="7660"/>
        <w:spacing w:after="0"/>
        <w:rPr>
          <w:sz w:val="20"/>
          <w:szCs w:val="20"/>
          <w:color w:val="auto"/>
        </w:rPr>
      </w:pPr>
      <w:r>
        <w:rPr>
          <w:rFonts w:ascii="Arial" w:cs="Arial" w:eastAsia="Arial" w:hAnsi="Arial"/>
          <w:sz w:val="12"/>
          <w:szCs w:val="12"/>
          <w:color w:val="auto"/>
        </w:rPr>
        <w:t>2020 Form 10-K 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365125</wp:posOffset>
            </wp:positionV>
            <wp:extent cx="5790565" cy="196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90565" cy="19685"/>
                    </a:xfrm>
                    <a:prstGeom prst="rect">
                      <a:avLst/>
                    </a:prstGeom>
                    <a:noFill/>
                  </pic:spPr>
                </pic:pic>
              </a:graphicData>
            </a:graphic>
          </wp:anchor>
        </w:drawing>
      </w:r>
    </w:p>
    <w:p>
      <w:pPr>
        <w:sectPr>
          <w:pgSz w:w="11900" w:h="16838" w:orient="portrait"/>
          <w:cols w:equalWidth="0" w:num="1">
            <w:col w:w="9159"/>
          </w:cols>
          <w:pgMar w:left="1300" w:top="678" w:right="1440" w:bottom="1440" w:gutter="0" w:footer="0" w:header="0"/>
        </w:sectPr>
      </w:pPr>
    </w:p>
    <w:bookmarkStart w:id="33" w:name="page34"/>
    <w:bookmarkEnd w:id="33"/>
    <w:p>
      <w:pPr>
        <w:spacing w:after="0"/>
        <w:rPr>
          <w:sz w:val="20"/>
          <w:szCs w:val="20"/>
          <w:color w:val="auto"/>
        </w:rPr>
      </w:pPr>
      <w:r>
        <w:rPr>
          <w:rFonts w:ascii="Arial" w:cs="Arial" w:eastAsia="Arial" w:hAnsi="Arial"/>
          <w:sz w:val="13"/>
          <w:szCs w:val="13"/>
          <w:i w:val="1"/>
          <w:iCs w:val="1"/>
          <w:u w:val="single" w:color="auto"/>
          <w:color w:val="auto"/>
        </w:rPr>
        <w:t>Impairment of Long-Lived Tangible Assets and Right-of-Use Assets</w:t>
      </w:r>
    </w:p>
    <w:p>
      <w:pPr>
        <w:spacing w:after="0" w:line="172" w:lineRule="exact"/>
        <w:rPr>
          <w:sz w:val="20"/>
          <w:szCs w:val="20"/>
          <w:color w:val="auto"/>
        </w:rPr>
      </w:pPr>
    </w:p>
    <w:p>
      <w:pPr>
        <w:jc w:val="both"/>
        <w:ind w:right="39"/>
        <w:spacing w:after="0" w:line="232" w:lineRule="auto"/>
        <w:rPr>
          <w:sz w:val="20"/>
          <w:szCs w:val="20"/>
          <w:color w:val="auto"/>
        </w:rPr>
      </w:pPr>
      <w:r>
        <w:rPr>
          <w:rFonts w:ascii="Arial" w:cs="Arial" w:eastAsia="Arial" w:hAnsi="Arial"/>
          <w:sz w:val="13"/>
          <w:szCs w:val="13"/>
          <w:color w:val="auto"/>
        </w:rPr>
        <w:t>We perform an impairment review when circumstances indicate that the carrying value of long-lived tangible assets and right-of-use assets may not be recoverable (“a triggering event”). Our policy for determining whether a triggering event exists comprises the evaluation of measurable operating performance criteria and qualitative measures at the lowest level for which identifiable cash flows are largely independent of cash flows of other assets and liabilities, which is generally at the store level. We also evaluate for triggering events at the banner level. If an impairment review is necessitated by the identification of a triggering event, we determine the fair value of the asset using assumptions predominately identified from our historical performance and our long-range strategic plans. To determine if an impairment exists, we compare the carrying amount of the asset with the estimated future undiscounted cash flows expected to result from the use of the asset group. If the carrying amount of the asset exceeds the estimated undiscounted future cash flows, we measure the amount of the impairment by comparing the carrying amount of the asset group with its estimated fair value.</w:t>
      </w:r>
    </w:p>
    <w:p>
      <w:pPr>
        <w:spacing w:after="0" w:line="157" w:lineRule="exact"/>
        <w:rPr>
          <w:sz w:val="20"/>
          <w:szCs w:val="20"/>
          <w:color w:val="auto"/>
        </w:rPr>
      </w:pPr>
    </w:p>
    <w:p>
      <w:pPr>
        <w:jc w:val="both"/>
        <w:ind w:right="39"/>
        <w:spacing w:after="0"/>
        <w:rPr>
          <w:sz w:val="20"/>
          <w:szCs w:val="20"/>
          <w:color w:val="auto"/>
        </w:rPr>
      </w:pPr>
      <w:r>
        <w:rPr>
          <w:rFonts w:ascii="Arial" w:cs="Arial" w:eastAsia="Arial" w:hAnsi="Arial"/>
          <w:sz w:val="13"/>
          <w:szCs w:val="13"/>
          <w:color w:val="auto"/>
        </w:rPr>
        <w:t>The estimation of fair value is measured by discounting expected future cash flows using a risk adjusted discount rate and by using a market approach to determine current lease rates. Future expected cash flows are based upon estimates that, if not achieved, may result in significantly different results.</w:t>
      </w:r>
    </w:p>
    <w:p>
      <w:pPr>
        <w:spacing w:after="0" w:line="132" w:lineRule="exact"/>
        <w:rPr>
          <w:sz w:val="20"/>
          <w:szCs w:val="20"/>
          <w:color w:val="auto"/>
        </w:rPr>
      </w:pPr>
    </w:p>
    <w:p>
      <w:pPr>
        <w:jc w:val="both"/>
        <w:ind w:right="39"/>
        <w:spacing w:after="0" w:line="234" w:lineRule="auto"/>
        <w:rPr>
          <w:sz w:val="20"/>
          <w:szCs w:val="20"/>
          <w:color w:val="auto"/>
        </w:rPr>
      </w:pPr>
      <w:r>
        <w:rPr>
          <w:rFonts w:ascii="Arial" w:cs="Arial" w:eastAsia="Arial" w:hAnsi="Arial"/>
          <w:sz w:val="13"/>
          <w:szCs w:val="13"/>
          <w:color w:val="auto"/>
        </w:rPr>
        <w:t>During 2020, due to the COVID-19 pandemic and its effect on our actual and projected results, during the first quarter of 2020, we determined that a triggering event occurred for certain underperforming stores operating in Europe and, therefore, we conducted an impairment review. We evaluated the long-lived assets, including the right-of-use assets, and recorded non-cash charges of $15 million to write down store fixtures, leasehold improvements, and right-of-use assets of 70 stores. Additionally, we performed an impairment review for certain underperforming stores during the fourth quarter and recorded non-cash impairment charges totaling $62 million for approximately 60 stores.</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Recoverability of Goodwill</w:t>
      </w:r>
    </w:p>
    <w:p>
      <w:pPr>
        <w:spacing w:after="0" w:line="183" w:lineRule="exact"/>
        <w:rPr>
          <w:sz w:val="20"/>
          <w:szCs w:val="20"/>
          <w:color w:val="auto"/>
        </w:rPr>
      </w:pPr>
    </w:p>
    <w:p>
      <w:pPr>
        <w:jc w:val="both"/>
        <w:ind w:right="39"/>
        <w:spacing w:after="0" w:line="236" w:lineRule="auto"/>
        <w:rPr>
          <w:sz w:val="20"/>
          <w:szCs w:val="20"/>
          <w:color w:val="auto"/>
        </w:rPr>
      </w:pPr>
      <w:r>
        <w:rPr>
          <w:rFonts w:ascii="Arial" w:cs="Arial" w:eastAsia="Arial" w:hAnsi="Arial"/>
          <w:sz w:val="13"/>
          <w:szCs w:val="13"/>
          <w:color w:val="auto"/>
        </w:rPr>
        <w:t>We review goodwill for impairment annually during the first quarter of each fiscal year or more frequently if impairment indicators arise. The review of impairment consists of either using a qualitative approach to determine whether it is more likely than not that the fair value of the assets is less than their respective carrying values or a one-step qualitative impairment test.</w:t>
      </w:r>
    </w:p>
    <w:p>
      <w:pPr>
        <w:spacing w:after="0" w:line="133" w:lineRule="exact"/>
        <w:rPr>
          <w:sz w:val="20"/>
          <w:szCs w:val="20"/>
          <w:color w:val="auto"/>
        </w:rPr>
      </w:pPr>
    </w:p>
    <w:p>
      <w:pPr>
        <w:jc w:val="both"/>
        <w:ind w:right="39"/>
        <w:spacing w:after="0" w:line="233" w:lineRule="auto"/>
        <w:rPr>
          <w:sz w:val="20"/>
          <w:szCs w:val="20"/>
          <w:color w:val="auto"/>
        </w:rPr>
      </w:pPr>
      <w:r>
        <w:rPr>
          <w:rFonts w:ascii="Arial" w:cs="Arial" w:eastAsia="Arial" w:hAnsi="Arial"/>
          <w:sz w:val="13"/>
          <w:szCs w:val="13"/>
          <w:color w:val="auto"/>
        </w:rPr>
        <w:t>In performing the qualitative assessment, we consider many factors in evaluating whether the carrying value of goodwill may not be recoverable, including declines in our stock price and market capitalization in relation to the book value of the Company and macroeconomic conditions affecting retail. If, based on the results of the qualitative assessment, it is concluded that it is not more likely than not that the fair value of a reporting unit exceeds its carrying value, additional quantitative impairment testing is performed. The quantitative test requires that the carrying value of each reporting unit be compared with its estimated fair value. If the carrying value of a reporting unit is greater than its fair value, a goodwill impairment charge will be recorded for the difference (up to the carrying value of goodwill).</w:t>
      </w:r>
    </w:p>
    <w:p>
      <w:pPr>
        <w:spacing w:after="0" w:line="134" w:lineRule="exact"/>
        <w:rPr>
          <w:sz w:val="20"/>
          <w:szCs w:val="20"/>
          <w:color w:val="auto"/>
        </w:rPr>
      </w:pPr>
    </w:p>
    <w:p>
      <w:pPr>
        <w:jc w:val="both"/>
        <w:ind w:right="39"/>
        <w:spacing w:after="0" w:line="233" w:lineRule="auto"/>
        <w:rPr>
          <w:sz w:val="20"/>
          <w:szCs w:val="20"/>
          <w:color w:val="auto"/>
        </w:rPr>
      </w:pPr>
      <w:r>
        <w:rPr>
          <w:rFonts w:ascii="Arial" w:cs="Arial" w:eastAsia="Arial" w:hAnsi="Arial"/>
          <w:sz w:val="13"/>
          <w:szCs w:val="13"/>
          <w:color w:val="auto"/>
        </w:rPr>
        <w:t>We use a discounted cash flow approach to determine the fair value of a reporting unit. The determination of discounted cash flows of the reporting units and assets and liabilities within the reporting units requires significant estimates and assumptions. These estimates and assumptions primarily include, but are not limited to, the discount rate, terminal growth rates, earnings before depreciation and amortization, and capital expenditures forecasts. Due to the inherent uncertainty involved in making these estimates, actual results could differ from those estimates. We evaluate the merits of each significant assumption, both individually and in the aggregate, used to determine the fair value of the reporting units, as well as the fair values of the corresponding assets and liabilities within the reporting units.</w:t>
      </w:r>
    </w:p>
    <w:p>
      <w:pPr>
        <w:spacing w:after="0" w:line="155" w:lineRule="exact"/>
        <w:rPr>
          <w:sz w:val="20"/>
          <w:szCs w:val="20"/>
          <w:color w:val="auto"/>
        </w:rPr>
      </w:pPr>
    </w:p>
    <w:p>
      <w:pPr>
        <w:jc w:val="both"/>
        <w:ind w:right="39"/>
        <w:spacing w:after="0"/>
        <w:rPr>
          <w:sz w:val="20"/>
          <w:szCs w:val="20"/>
          <w:color w:val="auto"/>
        </w:rPr>
      </w:pPr>
      <w:r>
        <w:rPr>
          <w:rFonts w:ascii="Arial" w:cs="Arial" w:eastAsia="Arial" w:hAnsi="Arial"/>
          <w:sz w:val="13"/>
          <w:szCs w:val="13"/>
          <w:color w:val="auto"/>
        </w:rPr>
        <w:t>In addition to performing our qualitative assessment as of the beginning of the year, we performed an additional quantitative assessment during the first quarter due to the COVID-19 pandemic and its effect on our results and stock price. Neither assessment resulted in the recognition of impairment.</w:t>
      </w:r>
    </w:p>
    <w:p>
      <w:pPr>
        <w:spacing w:after="0" w:line="132" w:lineRule="exact"/>
        <w:rPr>
          <w:sz w:val="20"/>
          <w:szCs w:val="20"/>
          <w:color w:val="auto"/>
        </w:rPr>
      </w:pPr>
    </w:p>
    <w:p>
      <w:pPr>
        <w:ind w:left="7660"/>
        <w:spacing w:after="0"/>
        <w:rPr>
          <w:sz w:val="20"/>
          <w:szCs w:val="20"/>
          <w:color w:val="auto"/>
        </w:rPr>
      </w:pPr>
      <w:r>
        <w:rPr>
          <w:rFonts w:ascii="Arial" w:cs="Arial" w:eastAsia="Arial" w:hAnsi="Arial"/>
          <w:sz w:val="12"/>
          <w:szCs w:val="12"/>
          <w:color w:val="auto"/>
        </w:rPr>
        <w:t>2020 Form 10-K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365125</wp:posOffset>
            </wp:positionV>
            <wp:extent cx="5790565" cy="133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90565" cy="13335"/>
                    </a:xfrm>
                    <a:prstGeom prst="rect">
                      <a:avLst/>
                    </a:prstGeom>
                    <a:noFill/>
                  </pic:spPr>
                </pic:pic>
              </a:graphicData>
            </a:graphic>
          </wp:anchor>
        </w:drawing>
      </w:r>
    </w:p>
    <w:p>
      <w:pPr>
        <w:sectPr>
          <w:pgSz w:w="11900" w:h="16838" w:orient="portrait"/>
          <w:cols w:equalWidth="0" w:num="1">
            <w:col w:w="9159"/>
          </w:cols>
          <w:pgMar w:left="1300" w:top="664" w:right="1440" w:bottom="1440" w:gutter="0" w:footer="0" w:header="0"/>
        </w:sectPr>
      </w:pPr>
    </w:p>
    <w:bookmarkStart w:id="34" w:name="page35"/>
    <w:bookmarkEnd w:id="34"/>
    <w:p>
      <w:pPr>
        <w:spacing w:after="0"/>
        <w:rPr>
          <w:sz w:val="20"/>
          <w:szCs w:val="20"/>
          <w:color w:val="auto"/>
        </w:rPr>
      </w:pPr>
      <w:r>
        <w:rPr>
          <w:rFonts w:ascii="Arial" w:cs="Arial" w:eastAsia="Arial" w:hAnsi="Arial"/>
          <w:sz w:val="13"/>
          <w:szCs w:val="13"/>
          <w:i w:val="1"/>
          <w:iCs w:val="1"/>
          <w:u w:val="single" w:color="auto"/>
          <w:color w:val="auto"/>
        </w:rPr>
        <w:t>Pension and Postretirement Liabilities</w:t>
      </w:r>
    </w:p>
    <w:p>
      <w:pPr>
        <w:spacing w:after="0" w:line="172" w:lineRule="exact"/>
        <w:rPr>
          <w:sz w:val="20"/>
          <w:szCs w:val="20"/>
          <w:color w:val="auto"/>
        </w:rPr>
      </w:pPr>
    </w:p>
    <w:p>
      <w:pPr>
        <w:ind w:right="39"/>
        <w:spacing w:after="0"/>
        <w:rPr>
          <w:sz w:val="20"/>
          <w:szCs w:val="20"/>
          <w:color w:val="auto"/>
        </w:rPr>
      </w:pPr>
      <w:r>
        <w:rPr>
          <w:rFonts w:ascii="Arial" w:cs="Arial" w:eastAsia="Arial" w:hAnsi="Arial"/>
          <w:sz w:val="13"/>
          <w:szCs w:val="13"/>
          <w:color w:val="auto"/>
        </w:rPr>
        <w:t>We review all assumptions used to determine our obligations for pension and postretirement liabilities annually with our independent actuaries, taking into consideration existing and future economic conditions and our intentions with regard to the plans. The assumptions used are:</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80" w:type="dxa"/>
            <w:vAlign w:val="bottom"/>
          </w:tcPr>
          <w:p>
            <w:pPr>
              <w:ind w:left="200"/>
              <w:spacing w:after="0"/>
              <w:rPr>
                <w:sz w:val="20"/>
                <w:szCs w:val="20"/>
                <w:color w:val="auto"/>
              </w:rPr>
            </w:pPr>
            <w:r>
              <w:rPr>
                <w:rFonts w:ascii="Arial" w:cs="Arial" w:eastAsia="Arial" w:hAnsi="Arial"/>
                <w:sz w:val="13"/>
                <w:szCs w:val="13"/>
                <w:color w:val="auto"/>
              </w:rPr>
              <w:t>Long-Term Rate of</w:t>
            </w:r>
          </w:p>
        </w:tc>
        <w:tc>
          <w:tcPr>
            <w:tcW w:w="7640" w:type="dxa"/>
            <w:vAlign w:val="bottom"/>
          </w:tcPr>
          <w:p>
            <w:pPr>
              <w:ind w:left="220"/>
              <w:spacing w:after="0"/>
              <w:rPr>
                <w:sz w:val="20"/>
                <w:szCs w:val="20"/>
                <w:color w:val="auto"/>
              </w:rPr>
            </w:pPr>
            <w:r>
              <w:rPr>
                <w:rFonts w:ascii="Arial" w:cs="Arial" w:eastAsia="Arial" w:hAnsi="Arial"/>
                <w:sz w:val="13"/>
                <w:szCs w:val="13"/>
                <w:color w:val="auto"/>
              </w:rPr>
              <w:t>The expected rate of return on plan assets is the long-term rate of return expected to be earned on the plans’ assets and is</w:t>
            </w:r>
          </w:p>
        </w:tc>
      </w:tr>
      <w:tr>
        <w:trPr>
          <w:trHeight w:val="144"/>
        </w:trPr>
        <w:tc>
          <w:tcPr>
            <w:tcW w:w="1480" w:type="dxa"/>
            <w:vAlign w:val="bottom"/>
          </w:tcPr>
          <w:p>
            <w:pPr>
              <w:ind w:left="200"/>
              <w:spacing w:after="0" w:line="144" w:lineRule="exact"/>
              <w:rPr>
                <w:sz w:val="20"/>
                <w:szCs w:val="20"/>
                <w:color w:val="auto"/>
              </w:rPr>
            </w:pPr>
            <w:r>
              <w:rPr>
                <w:rFonts w:ascii="Arial" w:cs="Arial" w:eastAsia="Arial" w:hAnsi="Arial"/>
                <w:sz w:val="13"/>
                <w:szCs w:val="13"/>
                <w:color w:val="auto"/>
              </w:rPr>
              <w:t>Return</w:t>
            </w:r>
          </w:p>
        </w:tc>
        <w:tc>
          <w:tcPr>
            <w:tcW w:w="7640" w:type="dxa"/>
            <w:vAlign w:val="bottom"/>
          </w:tcPr>
          <w:p>
            <w:pPr>
              <w:ind w:left="220"/>
              <w:spacing w:after="0" w:line="144" w:lineRule="exact"/>
              <w:rPr>
                <w:sz w:val="20"/>
                <w:szCs w:val="20"/>
                <w:color w:val="auto"/>
              </w:rPr>
            </w:pPr>
            <w:r>
              <w:rPr>
                <w:rFonts w:ascii="Arial" w:cs="Arial" w:eastAsia="Arial" w:hAnsi="Arial"/>
                <w:sz w:val="13"/>
                <w:szCs w:val="13"/>
                <w:color w:val="auto"/>
              </w:rPr>
              <w:t>recognized as a component of pension expense. The rate is based on the plans’ weighted-average target asset allocation, as</w:t>
            </w:r>
          </w:p>
        </w:tc>
      </w:tr>
      <w:tr>
        <w:trPr>
          <w:trHeight w:val="144"/>
        </w:trPr>
        <w:tc>
          <w:tcPr>
            <w:tcW w:w="1480" w:type="dxa"/>
            <w:vAlign w:val="bottom"/>
          </w:tcPr>
          <w:p>
            <w:pPr>
              <w:spacing w:after="0"/>
              <w:rPr>
                <w:sz w:val="12"/>
                <w:szCs w:val="12"/>
                <w:color w:val="auto"/>
              </w:rPr>
            </w:pPr>
          </w:p>
        </w:tc>
        <w:tc>
          <w:tcPr>
            <w:tcW w:w="7640" w:type="dxa"/>
            <w:vAlign w:val="bottom"/>
          </w:tcPr>
          <w:p>
            <w:pPr>
              <w:ind w:left="220"/>
              <w:spacing w:after="0" w:line="144" w:lineRule="exact"/>
              <w:rPr>
                <w:sz w:val="20"/>
                <w:szCs w:val="20"/>
                <w:color w:val="auto"/>
              </w:rPr>
            </w:pPr>
            <w:r>
              <w:rPr>
                <w:rFonts w:ascii="Arial" w:cs="Arial" w:eastAsia="Arial" w:hAnsi="Arial"/>
                <w:sz w:val="13"/>
                <w:szCs w:val="13"/>
                <w:color w:val="auto"/>
                <w:w w:val="99"/>
              </w:rPr>
              <w:t>well as historical and future expected performance of those assets. The target asset allocation is selected to obtain an investment</w:t>
            </w:r>
          </w:p>
        </w:tc>
      </w:tr>
      <w:tr>
        <w:trPr>
          <w:trHeight w:val="144"/>
        </w:trPr>
        <w:tc>
          <w:tcPr>
            <w:tcW w:w="1480" w:type="dxa"/>
            <w:vAlign w:val="bottom"/>
          </w:tcPr>
          <w:p>
            <w:pPr>
              <w:spacing w:after="0"/>
              <w:rPr>
                <w:sz w:val="12"/>
                <w:szCs w:val="12"/>
                <w:color w:val="auto"/>
              </w:rPr>
            </w:pPr>
          </w:p>
        </w:tc>
        <w:tc>
          <w:tcPr>
            <w:tcW w:w="7640" w:type="dxa"/>
            <w:vAlign w:val="bottom"/>
          </w:tcPr>
          <w:p>
            <w:pPr>
              <w:ind w:left="220"/>
              <w:spacing w:after="0" w:line="144" w:lineRule="exact"/>
              <w:rPr>
                <w:sz w:val="20"/>
                <w:szCs w:val="20"/>
                <w:color w:val="auto"/>
              </w:rPr>
            </w:pPr>
            <w:r>
              <w:rPr>
                <w:rFonts w:ascii="Arial" w:cs="Arial" w:eastAsia="Arial" w:hAnsi="Arial"/>
                <w:sz w:val="13"/>
                <w:szCs w:val="13"/>
                <w:color w:val="auto"/>
              </w:rPr>
              <w:t>return that is sufficient to cover the expected benefit payments and to reduce the variability of future contributions. The expected</w:t>
            </w:r>
          </w:p>
        </w:tc>
      </w:tr>
      <w:tr>
        <w:trPr>
          <w:trHeight w:val="144"/>
        </w:trPr>
        <w:tc>
          <w:tcPr>
            <w:tcW w:w="1480" w:type="dxa"/>
            <w:vAlign w:val="bottom"/>
          </w:tcPr>
          <w:p>
            <w:pPr>
              <w:spacing w:after="0"/>
              <w:rPr>
                <w:sz w:val="12"/>
                <w:szCs w:val="12"/>
                <w:color w:val="auto"/>
              </w:rPr>
            </w:pPr>
          </w:p>
        </w:tc>
        <w:tc>
          <w:tcPr>
            <w:tcW w:w="7640" w:type="dxa"/>
            <w:vAlign w:val="bottom"/>
          </w:tcPr>
          <w:p>
            <w:pPr>
              <w:ind w:left="220"/>
              <w:spacing w:after="0" w:line="144" w:lineRule="exact"/>
              <w:rPr>
                <w:sz w:val="20"/>
                <w:szCs w:val="20"/>
                <w:color w:val="auto"/>
              </w:rPr>
            </w:pPr>
            <w:r>
              <w:rPr>
                <w:rFonts w:ascii="Arial" w:cs="Arial" w:eastAsia="Arial" w:hAnsi="Arial"/>
                <w:sz w:val="13"/>
                <w:szCs w:val="13"/>
                <w:color w:val="auto"/>
              </w:rPr>
              <w:t>rate of return on plan assets is reviewed annually and revised, as necessary, to reflect changes in the financial markets and our</w:t>
            </w:r>
          </w:p>
        </w:tc>
      </w:tr>
      <w:tr>
        <w:trPr>
          <w:trHeight w:val="156"/>
        </w:trPr>
        <w:tc>
          <w:tcPr>
            <w:tcW w:w="1480" w:type="dxa"/>
            <w:vAlign w:val="bottom"/>
          </w:tcPr>
          <w:p>
            <w:pPr>
              <w:spacing w:after="0"/>
              <w:rPr>
                <w:sz w:val="13"/>
                <w:szCs w:val="13"/>
                <w:color w:val="auto"/>
              </w:rPr>
            </w:pPr>
          </w:p>
        </w:tc>
        <w:tc>
          <w:tcPr>
            <w:tcW w:w="7640" w:type="dxa"/>
            <w:vAlign w:val="bottom"/>
          </w:tcPr>
          <w:p>
            <w:pPr>
              <w:ind w:left="220"/>
              <w:spacing w:after="0"/>
              <w:rPr>
                <w:sz w:val="20"/>
                <w:szCs w:val="20"/>
                <w:color w:val="auto"/>
              </w:rPr>
            </w:pPr>
            <w:r>
              <w:rPr>
                <w:rFonts w:ascii="Arial" w:cs="Arial" w:eastAsia="Arial" w:hAnsi="Arial"/>
                <w:sz w:val="13"/>
                <w:szCs w:val="13"/>
                <w:color w:val="auto"/>
              </w:rPr>
              <w:t>investment strategy.</w:t>
            </w:r>
          </w:p>
        </w:tc>
      </w:tr>
      <w:tr>
        <w:trPr>
          <w:trHeight w:val="287"/>
        </w:trPr>
        <w:tc>
          <w:tcPr>
            <w:tcW w:w="1480" w:type="dxa"/>
            <w:vAlign w:val="bottom"/>
          </w:tcPr>
          <w:p>
            <w:pPr>
              <w:spacing w:after="0"/>
              <w:rPr>
                <w:sz w:val="24"/>
                <w:szCs w:val="24"/>
                <w:color w:val="auto"/>
              </w:rPr>
            </w:pPr>
          </w:p>
        </w:tc>
        <w:tc>
          <w:tcPr>
            <w:tcW w:w="7640" w:type="dxa"/>
            <w:vAlign w:val="bottom"/>
          </w:tcPr>
          <w:p>
            <w:pPr>
              <w:ind w:left="220"/>
              <w:spacing w:after="0"/>
              <w:rPr>
                <w:sz w:val="20"/>
                <w:szCs w:val="20"/>
                <w:color w:val="auto"/>
              </w:rPr>
            </w:pPr>
            <w:r>
              <w:rPr>
                <w:rFonts w:ascii="Arial" w:cs="Arial" w:eastAsia="Arial" w:hAnsi="Arial"/>
                <w:sz w:val="13"/>
                <w:szCs w:val="13"/>
                <w:color w:val="auto"/>
              </w:rPr>
              <w:t>The weighted-average long-term rate of return used to determine 2020 pension expense was 5.5 percent.</w:t>
            </w:r>
          </w:p>
        </w:tc>
      </w:tr>
      <w:tr>
        <w:trPr>
          <w:trHeight w:val="275"/>
        </w:trPr>
        <w:tc>
          <w:tcPr>
            <w:tcW w:w="1480" w:type="dxa"/>
            <w:vAlign w:val="bottom"/>
          </w:tcPr>
          <w:p>
            <w:pPr>
              <w:spacing w:after="0"/>
              <w:rPr>
                <w:sz w:val="23"/>
                <w:szCs w:val="23"/>
                <w:color w:val="auto"/>
              </w:rPr>
            </w:pPr>
          </w:p>
        </w:tc>
        <w:tc>
          <w:tcPr>
            <w:tcW w:w="7640" w:type="dxa"/>
            <w:vAlign w:val="bottom"/>
          </w:tcPr>
          <w:p>
            <w:pPr>
              <w:ind w:left="220"/>
              <w:spacing w:after="0"/>
              <w:rPr>
                <w:sz w:val="20"/>
                <w:szCs w:val="20"/>
                <w:color w:val="auto"/>
              </w:rPr>
            </w:pPr>
            <w:r>
              <w:rPr>
                <w:rFonts w:ascii="Arial" w:cs="Arial" w:eastAsia="Arial" w:hAnsi="Arial"/>
                <w:sz w:val="13"/>
                <w:szCs w:val="13"/>
                <w:color w:val="auto"/>
              </w:rPr>
              <w:t>A decrease of 50 basis points in the weighted-average expected long-term rate of return would have increased 2020 pension</w:t>
            </w:r>
          </w:p>
        </w:tc>
      </w:tr>
      <w:tr>
        <w:trPr>
          <w:trHeight w:val="144"/>
        </w:trPr>
        <w:tc>
          <w:tcPr>
            <w:tcW w:w="1480" w:type="dxa"/>
            <w:vAlign w:val="bottom"/>
          </w:tcPr>
          <w:p>
            <w:pPr>
              <w:spacing w:after="0"/>
              <w:rPr>
                <w:sz w:val="12"/>
                <w:szCs w:val="12"/>
                <w:color w:val="auto"/>
              </w:rPr>
            </w:pPr>
          </w:p>
        </w:tc>
        <w:tc>
          <w:tcPr>
            <w:tcW w:w="7640" w:type="dxa"/>
            <w:vAlign w:val="bottom"/>
          </w:tcPr>
          <w:p>
            <w:pPr>
              <w:ind w:left="220"/>
              <w:spacing w:after="0" w:line="144" w:lineRule="exact"/>
              <w:rPr>
                <w:sz w:val="20"/>
                <w:szCs w:val="20"/>
                <w:color w:val="auto"/>
              </w:rPr>
            </w:pPr>
            <w:r>
              <w:rPr>
                <w:rFonts w:ascii="Arial" w:cs="Arial" w:eastAsia="Arial" w:hAnsi="Arial"/>
                <w:sz w:val="13"/>
                <w:szCs w:val="13"/>
                <w:color w:val="auto"/>
              </w:rPr>
              <w:t>expense by approximately $3 million. The actual return on plan assets in a given year typically differs from the expected long-</w:t>
            </w:r>
          </w:p>
        </w:tc>
      </w:tr>
      <w:tr>
        <w:trPr>
          <w:trHeight w:val="144"/>
        </w:trPr>
        <w:tc>
          <w:tcPr>
            <w:tcW w:w="1480" w:type="dxa"/>
            <w:vAlign w:val="bottom"/>
          </w:tcPr>
          <w:p>
            <w:pPr>
              <w:spacing w:after="0"/>
              <w:rPr>
                <w:sz w:val="12"/>
                <w:szCs w:val="12"/>
                <w:color w:val="auto"/>
              </w:rPr>
            </w:pPr>
          </w:p>
        </w:tc>
        <w:tc>
          <w:tcPr>
            <w:tcW w:w="7640" w:type="dxa"/>
            <w:vAlign w:val="bottom"/>
          </w:tcPr>
          <w:p>
            <w:pPr>
              <w:ind w:left="220"/>
              <w:spacing w:after="0" w:line="144" w:lineRule="exact"/>
              <w:rPr>
                <w:sz w:val="20"/>
                <w:szCs w:val="20"/>
                <w:color w:val="auto"/>
              </w:rPr>
            </w:pPr>
            <w:r>
              <w:rPr>
                <w:rFonts w:ascii="Arial" w:cs="Arial" w:eastAsia="Arial" w:hAnsi="Arial"/>
                <w:sz w:val="13"/>
                <w:szCs w:val="13"/>
                <w:color w:val="auto"/>
              </w:rPr>
              <w:t>term rate of return, and the resulting gain or loss is deferred and amortized into expense over the average life expectancy of the</w:t>
            </w:r>
          </w:p>
        </w:tc>
      </w:tr>
      <w:tr>
        <w:trPr>
          <w:trHeight w:val="156"/>
        </w:trPr>
        <w:tc>
          <w:tcPr>
            <w:tcW w:w="1480" w:type="dxa"/>
            <w:vAlign w:val="bottom"/>
          </w:tcPr>
          <w:p>
            <w:pPr>
              <w:spacing w:after="0"/>
              <w:rPr>
                <w:sz w:val="13"/>
                <w:szCs w:val="13"/>
                <w:color w:val="auto"/>
              </w:rPr>
            </w:pPr>
          </w:p>
        </w:tc>
        <w:tc>
          <w:tcPr>
            <w:tcW w:w="7640" w:type="dxa"/>
            <w:vAlign w:val="bottom"/>
          </w:tcPr>
          <w:p>
            <w:pPr>
              <w:ind w:left="220"/>
              <w:spacing w:after="0"/>
              <w:rPr>
                <w:sz w:val="20"/>
                <w:szCs w:val="20"/>
                <w:color w:val="auto"/>
              </w:rPr>
            </w:pPr>
            <w:r>
              <w:rPr>
                <w:rFonts w:ascii="Arial" w:cs="Arial" w:eastAsia="Arial" w:hAnsi="Arial"/>
                <w:sz w:val="13"/>
                <w:szCs w:val="13"/>
                <w:color w:val="auto"/>
              </w:rPr>
              <w:t>inactive participants.</w:t>
            </w:r>
          </w:p>
        </w:tc>
      </w:tr>
      <w:tr>
        <w:trPr>
          <w:trHeight w:val="275"/>
        </w:trPr>
        <w:tc>
          <w:tcPr>
            <w:tcW w:w="1480" w:type="dxa"/>
            <w:vAlign w:val="bottom"/>
          </w:tcPr>
          <w:p>
            <w:pPr>
              <w:ind w:left="240"/>
              <w:spacing w:after="0"/>
              <w:rPr>
                <w:sz w:val="20"/>
                <w:szCs w:val="20"/>
                <w:color w:val="auto"/>
              </w:rPr>
            </w:pPr>
            <w:r>
              <w:rPr>
                <w:rFonts w:ascii="Arial" w:cs="Arial" w:eastAsia="Arial" w:hAnsi="Arial"/>
                <w:sz w:val="13"/>
                <w:szCs w:val="13"/>
                <w:color w:val="auto"/>
              </w:rPr>
              <w:t>Discount Rate</w:t>
            </w:r>
          </w:p>
        </w:tc>
        <w:tc>
          <w:tcPr>
            <w:tcW w:w="7640" w:type="dxa"/>
            <w:vAlign w:val="bottom"/>
          </w:tcPr>
          <w:p>
            <w:pPr>
              <w:ind w:left="220"/>
              <w:spacing w:after="0"/>
              <w:rPr>
                <w:sz w:val="20"/>
                <w:szCs w:val="20"/>
                <w:color w:val="auto"/>
              </w:rPr>
            </w:pPr>
            <w:r>
              <w:rPr>
                <w:rFonts w:ascii="Arial" w:cs="Arial" w:eastAsia="Arial" w:hAnsi="Arial"/>
                <w:sz w:val="13"/>
                <w:szCs w:val="13"/>
                <w:color w:val="auto"/>
              </w:rPr>
              <w:t>An assumed discount rate is used to measure the present value of future cash flow obligations of the plans and the interest cost</w:t>
            </w:r>
          </w:p>
        </w:tc>
      </w:tr>
      <w:tr>
        <w:trPr>
          <w:trHeight w:val="144"/>
        </w:trPr>
        <w:tc>
          <w:tcPr>
            <w:tcW w:w="1480" w:type="dxa"/>
            <w:vAlign w:val="bottom"/>
          </w:tcPr>
          <w:p>
            <w:pPr>
              <w:spacing w:after="0"/>
              <w:rPr>
                <w:sz w:val="12"/>
                <w:szCs w:val="12"/>
                <w:color w:val="auto"/>
              </w:rPr>
            </w:pPr>
          </w:p>
        </w:tc>
        <w:tc>
          <w:tcPr>
            <w:tcW w:w="7640" w:type="dxa"/>
            <w:vAlign w:val="bottom"/>
          </w:tcPr>
          <w:p>
            <w:pPr>
              <w:ind w:left="220"/>
              <w:spacing w:after="0" w:line="144" w:lineRule="exact"/>
              <w:rPr>
                <w:sz w:val="20"/>
                <w:szCs w:val="20"/>
                <w:color w:val="auto"/>
              </w:rPr>
            </w:pPr>
            <w:r>
              <w:rPr>
                <w:rFonts w:ascii="Arial" w:cs="Arial" w:eastAsia="Arial" w:hAnsi="Arial"/>
                <w:sz w:val="13"/>
                <w:szCs w:val="13"/>
                <w:color w:val="auto"/>
              </w:rPr>
              <w:t>component of pension expense and postretirement income. The cash flows are then discounted to their present value and an</w:t>
            </w:r>
          </w:p>
        </w:tc>
      </w:tr>
      <w:tr>
        <w:trPr>
          <w:trHeight w:val="144"/>
        </w:trPr>
        <w:tc>
          <w:tcPr>
            <w:tcW w:w="1480" w:type="dxa"/>
            <w:vAlign w:val="bottom"/>
          </w:tcPr>
          <w:p>
            <w:pPr>
              <w:spacing w:after="0"/>
              <w:rPr>
                <w:sz w:val="12"/>
                <w:szCs w:val="12"/>
                <w:color w:val="auto"/>
              </w:rPr>
            </w:pPr>
          </w:p>
        </w:tc>
        <w:tc>
          <w:tcPr>
            <w:tcW w:w="7640" w:type="dxa"/>
            <w:vAlign w:val="bottom"/>
          </w:tcPr>
          <w:p>
            <w:pPr>
              <w:ind w:left="220"/>
              <w:spacing w:after="0" w:line="144" w:lineRule="exact"/>
              <w:rPr>
                <w:sz w:val="20"/>
                <w:szCs w:val="20"/>
                <w:color w:val="auto"/>
              </w:rPr>
            </w:pPr>
            <w:r>
              <w:rPr>
                <w:rFonts w:ascii="Arial" w:cs="Arial" w:eastAsia="Arial" w:hAnsi="Arial"/>
                <w:sz w:val="13"/>
                <w:szCs w:val="13"/>
                <w:color w:val="auto"/>
              </w:rPr>
              <w:t>overall discount rate is determined. The discount rate for our U.S. plans are determined by reference to the Bond:Link interest</w:t>
            </w:r>
          </w:p>
        </w:tc>
      </w:tr>
      <w:tr>
        <w:trPr>
          <w:trHeight w:val="144"/>
        </w:trPr>
        <w:tc>
          <w:tcPr>
            <w:tcW w:w="1480" w:type="dxa"/>
            <w:vAlign w:val="bottom"/>
          </w:tcPr>
          <w:p>
            <w:pPr>
              <w:spacing w:after="0"/>
              <w:rPr>
                <w:sz w:val="12"/>
                <w:szCs w:val="12"/>
                <w:color w:val="auto"/>
              </w:rPr>
            </w:pPr>
          </w:p>
        </w:tc>
        <w:tc>
          <w:tcPr>
            <w:tcW w:w="7640" w:type="dxa"/>
            <w:vAlign w:val="bottom"/>
          </w:tcPr>
          <w:p>
            <w:pPr>
              <w:ind w:left="220"/>
              <w:spacing w:after="0" w:line="144" w:lineRule="exact"/>
              <w:rPr>
                <w:sz w:val="20"/>
                <w:szCs w:val="20"/>
                <w:color w:val="auto"/>
              </w:rPr>
            </w:pPr>
            <w:r>
              <w:rPr>
                <w:rFonts w:ascii="Arial" w:cs="Arial" w:eastAsia="Arial" w:hAnsi="Arial"/>
                <w:sz w:val="13"/>
                <w:szCs w:val="13"/>
                <w:color w:val="auto"/>
              </w:rPr>
              <w:t>rate model based upon a portfolio of highly-rated U.S. corporate bonds with individual bonds that are theoretically purchased to</w:t>
            </w:r>
          </w:p>
        </w:tc>
      </w:tr>
      <w:tr>
        <w:trPr>
          <w:trHeight w:val="144"/>
        </w:trPr>
        <w:tc>
          <w:tcPr>
            <w:tcW w:w="1480" w:type="dxa"/>
            <w:vAlign w:val="bottom"/>
          </w:tcPr>
          <w:p>
            <w:pPr>
              <w:spacing w:after="0"/>
              <w:rPr>
                <w:sz w:val="12"/>
                <w:szCs w:val="12"/>
                <w:color w:val="auto"/>
              </w:rPr>
            </w:pPr>
          </w:p>
        </w:tc>
        <w:tc>
          <w:tcPr>
            <w:tcW w:w="7640" w:type="dxa"/>
            <w:vAlign w:val="bottom"/>
          </w:tcPr>
          <w:p>
            <w:pPr>
              <w:ind w:left="220"/>
              <w:spacing w:after="0" w:line="144" w:lineRule="exact"/>
              <w:rPr>
                <w:sz w:val="20"/>
                <w:szCs w:val="20"/>
                <w:color w:val="auto"/>
              </w:rPr>
            </w:pPr>
            <w:r>
              <w:rPr>
                <w:rFonts w:ascii="Arial" w:cs="Arial" w:eastAsia="Arial" w:hAnsi="Arial"/>
                <w:sz w:val="13"/>
                <w:szCs w:val="13"/>
                <w:color w:val="auto"/>
              </w:rPr>
              <w:t>settle the plan’s anticipated cash outflows. The discount rate selected to measure the present value of our Canadian benefit</w:t>
            </w:r>
          </w:p>
        </w:tc>
      </w:tr>
      <w:tr>
        <w:trPr>
          <w:trHeight w:val="144"/>
        </w:trPr>
        <w:tc>
          <w:tcPr>
            <w:tcW w:w="1480" w:type="dxa"/>
            <w:vAlign w:val="bottom"/>
          </w:tcPr>
          <w:p>
            <w:pPr>
              <w:spacing w:after="0"/>
              <w:rPr>
                <w:sz w:val="12"/>
                <w:szCs w:val="12"/>
                <w:color w:val="auto"/>
              </w:rPr>
            </w:pPr>
          </w:p>
        </w:tc>
        <w:tc>
          <w:tcPr>
            <w:tcW w:w="7640" w:type="dxa"/>
            <w:vAlign w:val="bottom"/>
          </w:tcPr>
          <w:p>
            <w:pPr>
              <w:ind w:left="220"/>
              <w:spacing w:after="0" w:line="144" w:lineRule="exact"/>
              <w:rPr>
                <w:sz w:val="20"/>
                <w:szCs w:val="20"/>
                <w:color w:val="auto"/>
              </w:rPr>
            </w:pPr>
            <w:r>
              <w:rPr>
                <w:rFonts w:ascii="Arial" w:cs="Arial" w:eastAsia="Arial" w:hAnsi="Arial"/>
                <w:sz w:val="13"/>
                <w:szCs w:val="13"/>
                <w:color w:val="auto"/>
              </w:rPr>
              <w:t>obligations is similar to the approach used for the U.S. plan and was determined by reference to the Canadian Rate:Link interest</w:t>
            </w:r>
          </w:p>
        </w:tc>
      </w:tr>
      <w:tr>
        <w:trPr>
          <w:trHeight w:val="156"/>
        </w:trPr>
        <w:tc>
          <w:tcPr>
            <w:tcW w:w="1480" w:type="dxa"/>
            <w:vAlign w:val="bottom"/>
          </w:tcPr>
          <w:p>
            <w:pPr>
              <w:spacing w:after="0"/>
              <w:rPr>
                <w:sz w:val="13"/>
                <w:szCs w:val="13"/>
                <w:color w:val="auto"/>
              </w:rPr>
            </w:pPr>
          </w:p>
        </w:tc>
        <w:tc>
          <w:tcPr>
            <w:tcW w:w="7640" w:type="dxa"/>
            <w:vAlign w:val="bottom"/>
          </w:tcPr>
          <w:p>
            <w:pPr>
              <w:ind w:left="220"/>
              <w:spacing w:after="0"/>
              <w:rPr>
                <w:sz w:val="20"/>
                <w:szCs w:val="20"/>
                <w:color w:val="auto"/>
              </w:rPr>
            </w:pPr>
            <w:r>
              <w:rPr>
                <w:rFonts w:ascii="Arial" w:cs="Arial" w:eastAsia="Arial" w:hAnsi="Arial"/>
                <w:sz w:val="13"/>
                <w:szCs w:val="13"/>
                <w:color w:val="auto"/>
              </w:rPr>
              <w:t>rate model.</w:t>
            </w:r>
          </w:p>
        </w:tc>
      </w:tr>
      <w:tr>
        <w:trPr>
          <w:trHeight w:val="275"/>
        </w:trPr>
        <w:tc>
          <w:tcPr>
            <w:tcW w:w="1480" w:type="dxa"/>
            <w:vAlign w:val="bottom"/>
          </w:tcPr>
          <w:p>
            <w:pPr>
              <w:spacing w:after="0"/>
              <w:rPr>
                <w:sz w:val="23"/>
                <w:szCs w:val="23"/>
                <w:color w:val="auto"/>
              </w:rPr>
            </w:pPr>
          </w:p>
        </w:tc>
        <w:tc>
          <w:tcPr>
            <w:tcW w:w="7640" w:type="dxa"/>
            <w:vAlign w:val="bottom"/>
          </w:tcPr>
          <w:p>
            <w:pPr>
              <w:ind w:left="220"/>
              <w:spacing w:after="0"/>
              <w:rPr>
                <w:sz w:val="20"/>
                <w:szCs w:val="20"/>
                <w:color w:val="auto"/>
              </w:rPr>
            </w:pPr>
            <w:r>
              <w:rPr>
                <w:rFonts w:ascii="Arial" w:cs="Arial" w:eastAsia="Arial" w:hAnsi="Arial"/>
                <w:sz w:val="13"/>
                <w:szCs w:val="13"/>
                <w:color w:val="auto"/>
              </w:rPr>
              <w:t>The weighted-average discount rates used to determine the 2020 benefit obligations related to our pension and postretirement</w:t>
            </w:r>
          </w:p>
        </w:tc>
      </w:tr>
      <w:tr>
        <w:trPr>
          <w:trHeight w:val="156"/>
        </w:trPr>
        <w:tc>
          <w:tcPr>
            <w:tcW w:w="1480" w:type="dxa"/>
            <w:vAlign w:val="bottom"/>
          </w:tcPr>
          <w:p>
            <w:pPr>
              <w:spacing w:after="0"/>
              <w:rPr>
                <w:sz w:val="13"/>
                <w:szCs w:val="13"/>
                <w:color w:val="auto"/>
              </w:rPr>
            </w:pPr>
          </w:p>
        </w:tc>
        <w:tc>
          <w:tcPr>
            <w:tcW w:w="7640" w:type="dxa"/>
            <w:vAlign w:val="bottom"/>
          </w:tcPr>
          <w:p>
            <w:pPr>
              <w:ind w:left="220"/>
              <w:spacing w:after="0"/>
              <w:rPr>
                <w:sz w:val="20"/>
                <w:szCs w:val="20"/>
                <w:color w:val="auto"/>
              </w:rPr>
            </w:pPr>
            <w:r>
              <w:rPr>
                <w:rFonts w:ascii="Arial" w:cs="Arial" w:eastAsia="Arial" w:hAnsi="Arial"/>
                <w:sz w:val="13"/>
                <w:szCs w:val="13"/>
                <w:color w:val="auto"/>
              </w:rPr>
              <w:t>plans was 2.5 percent and 2.8 percent, respectively.</w:t>
            </w:r>
          </w:p>
        </w:tc>
      </w:tr>
      <w:tr>
        <w:trPr>
          <w:trHeight w:val="275"/>
        </w:trPr>
        <w:tc>
          <w:tcPr>
            <w:tcW w:w="1480" w:type="dxa"/>
            <w:vAlign w:val="bottom"/>
          </w:tcPr>
          <w:p>
            <w:pPr>
              <w:spacing w:after="0"/>
              <w:rPr>
                <w:sz w:val="23"/>
                <w:szCs w:val="23"/>
                <w:color w:val="auto"/>
              </w:rPr>
            </w:pPr>
          </w:p>
        </w:tc>
        <w:tc>
          <w:tcPr>
            <w:tcW w:w="7640" w:type="dxa"/>
            <w:vAlign w:val="bottom"/>
          </w:tcPr>
          <w:p>
            <w:pPr>
              <w:ind w:left="220"/>
              <w:spacing w:after="0"/>
              <w:rPr>
                <w:sz w:val="20"/>
                <w:szCs w:val="20"/>
                <w:color w:val="auto"/>
              </w:rPr>
            </w:pPr>
            <w:r>
              <w:rPr>
                <w:rFonts w:ascii="Arial" w:cs="Arial" w:eastAsia="Arial" w:hAnsi="Arial"/>
                <w:sz w:val="13"/>
                <w:szCs w:val="13"/>
                <w:color w:val="auto"/>
              </w:rPr>
              <w:t>Changing the weighted-average discount rate by 50 basis points would have changed the accumulated benefit obligation of the</w:t>
            </w:r>
          </w:p>
        </w:tc>
      </w:tr>
      <w:tr>
        <w:trPr>
          <w:trHeight w:val="144"/>
        </w:trPr>
        <w:tc>
          <w:tcPr>
            <w:tcW w:w="1480" w:type="dxa"/>
            <w:vAlign w:val="bottom"/>
          </w:tcPr>
          <w:p>
            <w:pPr>
              <w:spacing w:after="0"/>
              <w:rPr>
                <w:sz w:val="12"/>
                <w:szCs w:val="12"/>
                <w:color w:val="auto"/>
              </w:rPr>
            </w:pPr>
          </w:p>
        </w:tc>
        <w:tc>
          <w:tcPr>
            <w:tcW w:w="7640" w:type="dxa"/>
            <w:vAlign w:val="bottom"/>
          </w:tcPr>
          <w:p>
            <w:pPr>
              <w:ind w:left="220"/>
              <w:spacing w:after="0" w:line="144" w:lineRule="exact"/>
              <w:rPr>
                <w:sz w:val="20"/>
                <w:szCs w:val="20"/>
                <w:color w:val="auto"/>
              </w:rPr>
            </w:pPr>
            <w:r>
              <w:rPr>
                <w:rFonts w:ascii="Arial" w:cs="Arial" w:eastAsia="Arial" w:hAnsi="Arial"/>
                <w:sz w:val="13"/>
                <w:szCs w:val="13"/>
                <w:color w:val="auto"/>
              </w:rPr>
              <w:t>pension plans at January 30, 2021 by approximately $42 million and $35 million, depending on if the change was an increase or</w:t>
            </w:r>
          </w:p>
        </w:tc>
      </w:tr>
      <w:tr>
        <w:trPr>
          <w:trHeight w:val="144"/>
        </w:trPr>
        <w:tc>
          <w:tcPr>
            <w:tcW w:w="1480" w:type="dxa"/>
            <w:vAlign w:val="bottom"/>
          </w:tcPr>
          <w:p>
            <w:pPr>
              <w:spacing w:after="0"/>
              <w:rPr>
                <w:sz w:val="12"/>
                <w:szCs w:val="12"/>
                <w:color w:val="auto"/>
              </w:rPr>
            </w:pPr>
          </w:p>
        </w:tc>
        <w:tc>
          <w:tcPr>
            <w:tcW w:w="7640" w:type="dxa"/>
            <w:vAlign w:val="bottom"/>
          </w:tcPr>
          <w:p>
            <w:pPr>
              <w:ind w:left="220"/>
              <w:spacing w:after="0" w:line="144" w:lineRule="exact"/>
              <w:rPr>
                <w:sz w:val="20"/>
                <w:szCs w:val="20"/>
                <w:color w:val="auto"/>
              </w:rPr>
            </w:pPr>
            <w:r>
              <w:rPr>
                <w:rFonts w:ascii="Arial" w:cs="Arial" w:eastAsia="Arial" w:hAnsi="Arial"/>
                <w:sz w:val="13"/>
                <w:szCs w:val="13"/>
                <w:color w:val="auto"/>
              </w:rPr>
              <w:t>decrease, respectively. A decrease of 50 basis points in the weighted-average discount rate would have increased or decreased</w:t>
            </w:r>
          </w:p>
        </w:tc>
      </w:tr>
      <w:tr>
        <w:trPr>
          <w:trHeight w:val="144"/>
        </w:trPr>
        <w:tc>
          <w:tcPr>
            <w:tcW w:w="1480" w:type="dxa"/>
            <w:vAlign w:val="bottom"/>
          </w:tcPr>
          <w:p>
            <w:pPr>
              <w:spacing w:after="0"/>
              <w:rPr>
                <w:sz w:val="12"/>
                <w:szCs w:val="12"/>
                <w:color w:val="auto"/>
              </w:rPr>
            </w:pPr>
          </w:p>
        </w:tc>
        <w:tc>
          <w:tcPr>
            <w:tcW w:w="7640" w:type="dxa"/>
            <w:vAlign w:val="bottom"/>
          </w:tcPr>
          <w:p>
            <w:pPr>
              <w:ind w:left="220"/>
              <w:spacing w:after="0" w:line="144" w:lineRule="exact"/>
              <w:rPr>
                <w:sz w:val="20"/>
                <w:szCs w:val="20"/>
                <w:color w:val="auto"/>
              </w:rPr>
            </w:pPr>
            <w:r>
              <w:rPr>
                <w:rFonts w:ascii="Arial" w:cs="Arial" w:eastAsia="Arial" w:hAnsi="Arial"/>
                <w:sz w:val="13"/>
                <w:szCs w:val="13"/>
                <w:color w:val="auto"/>
              </w:rPr>
              <w:t>the accumulated benefit obligation on the postretirement plan by approximately $1 million depending on if the change was an</w:t>
            </w:r>
          </w:p>
        </w:tc>
      </w:tr>
      <w:tr>
        <w:trPr>
          <w:trHeight w:val="156"/>
        </w:trPr>
        <w:tc>
          <w:tcPr>
            <w:tcW w:w="1480" w:type="dxa"/>
            <w:vAlign w:val="bottom"/>
          </w:tcPr>
          <w:p>
            <w:pPr>
              <w:spacing w:after="0"/>
              <w:rPr>
                <w:sz w:val="13"/>
                <w:szCs w:val="13"/>
                <w:color w:val="auto"/>
              </w:rPr>
            </w:pPr>
          </w:p>
        </w:tc>
        <w:tc>
          <w:tcPr>
            <w:tcW w:w="7640" w:type="dxa"/>
            <w:vAlign w:val="bottom"/>
          </w:tcPr>
          <w:p>
            <w:pPr>
              <w:ind w:left="220"/>
              <w:spacing w:after="0"/>
              <w:rPr>
                <w:sz w:val="20"/>
                <w:szCs w:val="20"/>
                <w:color w:val="auto"/>
              </w:rPr>
            </w:pPr>
            <w:r>
              <w:rPr>
                <w:rFonts w:ascii="Arial" w:cs="Arial" w:eastAsia="Arial" w:hAnsi="Arial"/>
                <w:sz w:val="13"/>
                <w:szCs w:val="13"/>
                <w:color w:val="auto"/>
              </w:rPr>
              <w:t>increase or decrease, respectively.</w:t>
            </w:r>
          </w:p>
        </w:tc>
      </w:tr>
      <w:tr>
        <w:trPr>
          <w:trHeight w:val="275"/>
        </w:trPr>
        <w:tc>
          <w:tcPr>
            <w:tcW w:w="1480" w:type="dxa"/>
            <w:vAlign w:val="bottom"/>
          </w:tcPr>
          <w:p>
            <w:pPr>
              <w:ind w:left="200"/>
              <w:spacing w:after="0"/>
              <w:rPr>
                <w:sz w:val="20"/>
                <w:szCs w:val="20"/>
                <w:color w:val="auto"/>
              </w:rPr>
            </w:pPr>
            <w:r>
              <w:rPr>
                <w:rFonts w:ascii="Arial" w:cs="Arial" w:eastAsia="Arial" w:hAnsi="Arial"/>
                <w:sz w:val="13"/>
                <w:szCs w:val="13"/>
                <w:color w:val="auto"/>
              </w:rPr>
              <w:t>Trend Rate</w:t>
            </w:r>
          </w:p>
        </w:tc>
        <w:tc>
          <w:tcPr>
            <w:tcW w:w="7640" w:type="dxa"/>
            <w:vAlign w:val="bottom"/>
          </w:tcPr>
          <w:p>
            <w:pPr>
              <w:ind w:left="220"/>
              <w:spacing w:after="0"/>
              <w:rPr>
                <w:sz w:val="20"/>
                <w:szCs w:val="20"/>
                <w:color w:val="auto"/>
              </w:rPr>
            </w:pPr>
            <w:r>
              <w:rPr>
                <w:rFonts w:ascii="Arial" w:cs="Arial" w:eastAsia="Arial" w:hAnsi="Arial"/>
                <w:sz w:val="13"/>
                <w:szCs w:val="13"/>
                <w:color w:val="auto"/>
              </w:rPr>
              <w:t>We maintain two postretirement medical plans, one covering certain executive officers and key employees (“SERP Medical</w:t>
            </w:r>
          </w:p>
        </w:tc>
      </w:tr>
      <w:tr>
        <w:trPr>
          <w:trHeight w:val="144"/>
        </w:trPr>
        <w:tc>
          <w:tcPr>
            <w:tcW w:w="1480" w:type="dxa"/>
            <w:vAlign w:val="bottom"/>
          </w:tcPr>
          <w:p>
            <w:pPr>
              <w:spacing w:after="0"/>
              <w:rPr>
                <w:sz w:val="12"/>
                <w:szCs w:val="12"/>
                <w:color w:val="auto"/>
              </w:rPr>
            </w:pPr>
          </w:p>
        </w:tc>
        <w:tc>
          <w:tcPr>
            <w:tcW w:w="7640" w:type="dxa"/>
            <w:vAlign w:val="bottom"/>
          </w:tcPr>
          <w:p>
            <w:pPr>
              <w:ind w:left="220"/>
              <w:spacing w:after="0" w:line="144" w:lineRule="exact"/>
              <w:rPr>
                <w:sz w:val="20"/>
                <w:szCs w:val="20"/>
                <w:color w:val="auto"/>
              </w:rPr>
            </w:pPr>
            <w:r>
              <w:rPr>
                <w:rFonts w:ascii="Arial" w:cs="Arial" w:eastAsia="Arial" w:hAnsi="Arial"/>
                <w:sz w:val="13"/>
                <w:szCs w:val="13"/>
                <w:color w:val="auto"/>
              </w:rPr>
              <w:t>Plan”), and the other covering all other team members. With respect to the SERP Medical Plan, a 100-basis point change in the</w:t>
            </w:r>
          </w:p>
        </w:tc>
      </w:tr>
      <w:tr>
        <w:trPr>
          <w:trHeight w:val="144"/>
        </w:trPr>
        <w:tc>
          <w:tcPr>
            <w:tcW w:w="1480" w:type="dxa"/>
            <w:vAlign w:val="bottom"/>
          </w:tcPr>
          <w:p>
            <w:pPr>
              <w:spacing w:after="0"/>
              <w:rPr>
                <w:sz w:val="12"/>
                <w:szCs w:val="12"/>
                <w:color w:val="auto"/>
              </w:rPr>
            </w:pPr>
          </w:p>
        </w:tc>
        <w:tc>
          <w:tcPr>
            <w:tcW w:w="7640" w:type="dxa"/>
            <w:vAlign w:val="bottom"/>
          </w:tcPr>
          <w:p>
            <w:pPr>
              <w:ind w:left="220"/>
              <w:spacing w:after="0" w:line="144" w:lineRule="exact"/>
              <w:rPr>
                <w:sz w:val="20"/>
                <w:szCs w:val="20"/>
                <w:color w:val="auto"/>
              </w:rPr>
            </w:pPr>
            <w:r>
              <w:rPr>
                <w:rFonts w:ascii="Arial" w:cs="Arial" w:eastAsia="Arial" w:hAnsi="Arial"/>
                <w:sz w:val="13"/>
                <w:szCs w:val="13"/>
                <w:color w:val="auto"/>
              </w:rPr>
              <w:t>assumed health care cost trend rate would not significantly change this plan’s accumulated benefit obligation. With respect to the</w:t>
            </w:r>
          </w:p>
        </w:tc>
      </w:tr>
      <w:tr>
        <w:trPr>
          <w:trHeight w:val="144"/>
        </w:trPr>
        <w:tc>
          <w:tcPr>
            <w:tcW w:w="1480" w:type="dxa"/>
            <w:vAlign w:val="bottom"/>
          </w:tcPr>
          <w:p>
            <w:pPr>
              <w:spacing w:after="0"/>
              <w:rPr>
                <w:sz w:val="12"/>
                <w:szCs w:val="12"/>
                <w:color w:val="auto"/>
              </w:rPr>
            </w:pPr>
          </w:p>
        </w:tc>
        <w:tc>
          <w:tcPr>
            <w:tcW w:w="7640" w:type="dxa"/>
            <w:vAlign w:val="bottom"/>
          </w:tcPr>
          <w:p>
            <w:pPr>
              <w:ind w:left="220"/>
              <w:spacing w:after="0" w:line="144" w:lineRule="exact"/>
              <w:rPr>
                <w:sz w:val="20"/>
                <w:szCs w:val="20"/>
                <w:color w:val="auto"/>
              </w:rPr>
            </w:pPr>
            <w:r>
              <w:rPr>
                <w:rFonts w:ascii="Arial" w:cs="Arial" w:eastAsia="Arial" w:hAnsi="Arial"/>
                <w:sz w:val="13"/>
                <w:szCs w:val="13"/>
                <w:color w:val="auto"/>
              </w:rPr>
              <w:t>postretirement medical plan covering all other team members, there is limited risk to us for increases in health care costs since,</w:t>
            </w:r>
          </w:p>
        </w:tc>
      </w:tr>
      <w:tr>
        <w:trPr>
          <w:trHeight w:val="144"/>
        </w:trPr>
        <w:tc>
          <w:tcPr>
            <w:tcW w:w="1480" w:type="dxa"/>
            <w:vAlign w:val="bottom"/>
          </w:tcPr>
          <w:p>
            <w:pPr>
              <w:spacing w:after="0"/>
              <w:rPr>
                <w:sz w:val="12"/>
                <w:szCs w:val="12"/>
                <w:color w:val="auto"/>
              </w:rPr>
            </w:pPr>
          </w:p>
        </w:tc>
        <w:tc>
          <w:tcPr>
            <w:tcW w:w="7640" w:type="dxa"/>
            <w:vAlign w:val="bottom"/>
          </w:tcPr>
          <w:p>
            <w:pPr>
              <w:ind w:left="220"/>
              <w:spacing w:after="0" w:line="144" w:lineRule="exact"/>
              <w:rPr>
                <w:sz w:val="20"/>
                <w:szCs w:val="20"/>
                <w:color w:val="auto"/>
              </w:rPr>
            </w:pPr>
            <w:r>
              <w:rPr>
                <w:rFonts w:ascii="Arial" w:cs="Arial" w:eastAsia="Arial" w:hAnsi="Arial"/>
                <w:sz w:val="13"/>
                <w:szCs w:val="13"/>
                <w:color w:val="auto"/>
              </w:rPr>
              <w:t>beginning in 2001, new retirees have assumed the full expected costs and then-existing retirees have assumed all increases in</w:t>
            </w:r>
          </w:p>
        </w:tc>
      </w:tr>
      <w:tr>
        <w:trPr>
          <w:trHeight w:val="156"/>
        </w:trPr>
        <w:tc>
          <w:tcPr>
            <w:tcW w:w="1480" w:type="dxa"/>
            <w:vAlign w:val="bottom"/>
          </w:tcPr>
          <w:p>
            <w:pPr>
              <w:spacing w:after="0"/>
              <w:rPr>
                <w:sz w:val="13"/>
                <w:szCs w:val="13"/>
                <w:color w:val="auto"/>
              </w:rPr>
            </w:pPr>
          </w:p>
        </w:tc>
        <w:tc>
          <w:tcPr>
            <w:tcW w:w="7640" w:type="dxa"/>
            <w:vAlign w:val="bottom"/>
          </w:tcPr>
          <w:p>
            <w:pPr>
              <w:ind w:left="220"/>
              <w:spacing w:after="0"/>
              <w:rPr>
                <w:sz w:val="20"/>
                <w:szCs w:val="20"/>
                <w:color w:val="auto"/>
              </w:rPr>
            </w:pPr>
            <w:r>
              <w:rPr>
                <w:rFonts w:ascii="Arial" w:cs="Arial" w:eastAsia="Arial" w:hAnsi="Arial"/>
                <w:sz w:val="13"/>
                <w:szCs w:val="13"/>
                <w:color w:val="auto"/>
              </w:rPr>
              <w:t>such costs.</w:t>
            </w:r>
          </w:p>
        </w:tc>
      </w:tr>
      <w:tr>
        <w:trPr>
          <w:trHeight w:val="287"/>
        </w:trPr>
        <w:tc>
          <w:tcPr>
            <w:tcW w:w="1480" w:type="dxa"/>
            <w:vAlign w:val="bottom"/>
          </w:tcPr>
          <w:p>
            <w:pPr>
              <w:spacing w:after="0"/>
              <w:rPr>
                <w:sz w:val="24"/>
                <w:szCs w:val="24"/>
                <w:color w:val="auto"/>
              </w:rPr>
            </w:pPr>
          </w:p>
        </w:tc>
        <w:tc>
          <w:tcPr>
            <w:tcW w:w="7640" w:type="dxa"/>
            <w:vAlign w:val="bottom"/>
          </w:tcPr>
          <w:p>
            <w:pPr>
              <w:ind w:left="6180"/>
              <w:spacing w:after="0"/>
              <w:rPr>
                <w:sz w:val="20"/>
                <w:szCs w:val="20"/>
                <w:color w:val="auto"/>
              </w:rPr>
            </w:pPr>
            <w:r>
              <w:rPr>
                <w:rFonts w:ascii="Arial" w:cs="Arial" w:eastAsia="Arial" w:hAnsi="Arial"/>
                <w:sz w:val="13"/>
                <w:szCs w:val="13"/>
                <w:color w:val="auto"/>
                <w:w w:val="98"/>
              </w:rPr>
              <w:t>2020 Form 10-K Page 32</w:t>
            </w:r>
          </w:p>
        </w:tc>
      </w:tr>
      <w:tr>
        <w:trPr>
          <w:trHeight w:val="568"/>
        </w:trPr>
        <w:tc>
          <w:tcPr>
            <w:tcW w:w="1480" w:type="dxa"/>
            <w:vAlign w:val="bottom"/>
            <w:tcBorders>
              <w:bottom w:val="single" w:sz="8" w:color="auto"/>
            </w:tcBorders>
          </w:tcPr>
          <w:p>
            <w:pPr>
              <w:spacing w:after="0"/>
              <w:rPr>
                <w:sz w:val="24"/>
                <w:szCs w:val="24"/>
                <w:color w:val="auto"/>
              </w:rPr>
            </w:pPr>
          </w:p>
        </w:tc>
        <w:tc>
          <w:tcPr>
            <w:tcW w:w="7640" w:type="dxa"/>
            <w:vAlign w:val="bottom"/>
            <w:tcBorders>
              <w:bottom w:val="single" w:sz="8" w:color="auto"/>
            </w:tcBorders>
          </w:tcPr>
          <w:p>
            <w:pPr>
              <w:spacing w:after="0"/>
              <w:rPr>
                <w:sz w:val="24"/>
                <w:szCs w:val="24"/>
                <w:color w:val="auto"/>
              </w:rPr>
            </w:pPr>
          </w:p>
        </w:tc>
      </w:tr>
    </w:tbl>
    <w:p>
      <w:pPr>
        <w:sectPr>
          <w:pgSz w:w="11900" w:h="16838" w:orient="portrait"/>
          <w:cols w:equalWidth="0" w:num="1">
            <w:col w:w="9159"/>
          </w:cols>
          <w:pgMar w:left="1300" w:top="664" w:right="1440" w:bottom="1440" w:gutter="0" w:footer="0" w:header="0"/>
        </w:sectPr>
      </w:pPr>
    </w:p>
    <w:bookmarkStart w:id="35" w:name="page36"/>
    <w:bookmarkEnd w:id="35"/>
    <w:p>
      <w:pPr>
        <w:ind w:left="200"/>
        <w:spacing w:after="0"/>
        <w:rPr>
          <w:sz w:val="20"/>
          <w:szCs w:val="20"/>
          <w:color w:val="auto"/>
        </w:rPr>
      </w:pPr>
      <w:r>
        <w:rPr>
          <w:rFonts w:ascii="Arial" w:cs="Arial" w:eastAsia="Arial" w:hAnsi="Arial"/>
          <w:sz w:val="13"/>
          <w:szCs w:val="13"/>
          <w:color w:val="auto"/>
        </w:rPr>
        <w:t>Mortality</w:t>
      </w:r>
    </w:p>
    <w:p>
      <w:pPr>
        <w:ind w:left="200"/>
        <w:spacing w:after="0"/>
        <w:rPr>
          <w:sz w:val="20"/>
          <w:szCs w:val="20"/>
          <w:color w:val="auto"/>
        </w:rPr>
      </w:pPr>
      <w:r>
        <w:rPr>
          <w:rFonts w:ascii="Arial" w:cs="Arial" w:eastAsia="Arial" w:hAnsi="Arial"/>
          <w:sz w:val="12"/>
          <w:szCs w:val="12"/>
          <w:color w:val="auto"/>
        </w:rPr>
        <w:t>Assumptions</w:t>
      </w:r>
    </w:p>
    <w:p>
      <w:pPr>
        <w:spacing w:after="0" w:line="20" w:lineRule="exact"/>
        <w:rPr>
          <w:sz w:val="20"/>
          <w:szCs w:val="20"/>
          <w:color w:val="auto"/>
        </w:rPr>
      </w:pPr>
      <w:r>
        <w:rPr>
          <w:sz w:val="20"/>
          <w:szCs w:val="20"/>
          <w:color w:val="auto"/>
        </w:rPr>
        <w:br w:type="column"/>
      </w:r>
    </w:p>
    <w:p>
      <w:pPr>
        <w:jc w:val="both"/>
        <w:ind w:right="39"/>
        <w:spacing w:after="0" w:line="235" w:lineRule="auto"/>
        <w:rPr>
          <w:sz w:val="20"/>
          <w:szCs w:val="20"/>
          <w:color w:val="auto"/>
        </w:rPr>
      </w:pPr>
      <w:r>
        <w:rPr>
          <w:rFonts w:ascii="Arial" w:cs="Arial" w:eastAsia="Arial" w:hAnsi="Arial"/>
          <w:sz w:val="13"/>
          <w:szCs w:val="13"/>
          <w:color w:val="auto"/>
        </w:rPr>
        <w:t>The mortality assumption used to value our 2020 U.S. pension obligations was the Pri-2012 mortality table with generational projection using MP-2020 for both males and females, while in the prior year the obligation was valued using the Pri-2012 mortality table with generational projection using MP-2019. We used the 2014 CPM Private Sector mortality table projected generationally with Scale CPM-B for both males and females to value our Canadian pension obligations for 2020.</w:t>
      </w:r>
    </w:p>
    <w:p>
      <w:pPr>
        <w:spacing w:after="0" w:line="112" w:lineRule="exact"/>
        <w:rPr>
          <w:sz w:val="20"/>
          <w:szCs w:val="20"/>
          <w:color w:val="auto"/>
        </w:rPr>
      </w:pPr>
    </w:p>
    <w:p>
      <w:pPr>
        <w:sectPr>
          <w:pgSz w:w="11900" w:h="16838" w:orient="portrait"/>
          <w:cols w:equalWidth="0" w:num="2">
            <w:col w:w="980" w:space="720"/>
            <w:col w:w="7459"/>
          </w:cols>
          <w:pgMar w:left="1300" w:top="673" w:right="1440" w:bottom="1440" w:gutter="0" w:footer="0" w:header="0"/>
        </w:sectPr>
      </w:pPr>
    </w:p>
    <w:p>
      <w:pPr>
        <w:jc w:val="both"/>
        <w:ind w:left="1700" w:right="39"/>
        <w:spacing w:after="0" w:line="236" w:lineRule="auto"/>
        <w:rPr>
          <w:sz w:val="20"/>
          <w:szCs w:val="20"/>
          <w:color w:val="auto"/>
        </w:rPr>
      </w:pPr>
      <w:r>
        <w:rPr>
          <w:rFonts w:ascii="Arial" w:cs="Arial" w:eastAsia="Arial" w:hAnsi="Arial"/>
          <w:sz w:val="13"/>
          <w:szCs w:val="13"/>
          <w:color w:val="auto"/>
        </w:rPr>
        <w:t>For the SERP Medical Plan, the mortality assumption used to value the 2019 obligation was updated to the PriH-2012 table with generational projection using MP-2020. Each year we update this assumption to the most recent study from the Society of Actuaries.</w:t>
      </w:r>
    </w:p>
    <w:p>
      <w:pPr>
        <w:sectPr>
          <w:pgSz w:w="11900" w:h="16838" w:orient="portrait"/>
          <w:cols w:equalWidth="0" w:num="1">
            <w:col w:w="9159"/>
          </w:cols>
          <w:pgMar w:left="1300" w:top="673" w:right="1440" w:bottom="1440" w:gutter="0" w:footer="0" w:header="0"/>
          <w:type w:val="continuous"/>
        </w:sectPr>
      </w:pPr>
    </w:p>
    <w:p>
      <w:pPr>
        <w:spacing w:after="0" w:line="150" w:lineRule="exact"/>
        <w:rPr>
          <w:sz w:val="20"/>
          <w:szCs w:val="20"/>
          <w:color w:val="auto"/>
        </w:rPr>
      </w:pPr>
    </w:p>
    <w:p>
      <w:pPr>
        <w:spacing w:after="0"/>
        <w:rPr>
          <w:sz w:val="20"/>
          <w:szCs w:val="20"/>
          <w:color w:val="auto"/>
        </w:rPr>
      </w:pPr>
      <w:r>
        <w:rPr>
          <w:rFonts w:ascii="Arial" w:cs="Arial" w:eastAsia="Arial" w:hAnsi="Arial"/>
          <w:sz w:val="13"/>
          <w:szCs w:val="13"/>
          <w:i w:val="1"/>
          <w:iCs w:val="1"/>
          <w:u w:val="single" w:color="auto"/>
          <w:color w:val="auto"/>
        </w:rPr>
        <w:t>Income Taxes</w:t>
      </w:r>
    </w:p>
    <w:p>
      <w:pPr>
        <w:spacing w:after="0" w:line="131" w:lineRule="exact"/>
        <w:rPr>
          <w:sz w:val="20"/>
          <w:szCs w:val="20"/>
          <w:color w:val="auto"/>
        </w:rPr>
      </w:pPr>
    </w:p>
    <w:p>
      <w:pPr>
        <w:jc w:val="both"/>
        <w:ind w:right="39"/>
        <w:spacing w:after="0" w:line="234" w:lineRule="auto"/>
        <w:rPr>
          <w:sz w:val="20"/>
          <w:szCs w:val="20"/>
          <w:color w:val="auto"/>
        </w:rPr>
      </w:pPr>
      <w:r>
        <w:rPr>
          <w:rFonts w:ascii="Arial" w:cs="Arial" w:eastAsia="Arial" w:hAnsi="Arial"/>
          <w:sz w:val="13"/>
          <w:szCs w:val="13"/>
          <w:color w:val="auto"/>
        </w:rPr>
        <w:t>Deferred tax assets are reduced by a valuation allowance, which is established when it is more likely than not that some portion or all of the deferred tax assets will not be realized. We are required to estimate taxable income for future years by taxing jurisdiction and to use our judgment to determine whether to record a valuation allowance for part or all of a deferred tax asset. Estimates of taxable income are based upon our long-range strategic plans. A one percent change in the overall statutory tax rate for 2020 would have resulted in a change of $2 million to the carrying value of the net deferred tax asset and a corresponding charge or credit to income tax expense depending on whether the tax rate change was a decrease or an increase.</w:t>
      </w:r>
    </w:p>
    <w:p>
      <w:pPr>
        <w:spacing w:after="0" w:line="133" w:lineRule="exact"/>
        <w:rPr>
          <w:sz w:val="20"/>
          <w:szCs w:val="20"/>
          <w:color w:val="auto"/>
        </w:rPr>
      </w:pPr>
    </w:p>
    <w:p>
      <w:pPr>
        <w:jc w:val="both"/>
        <w:ind w:right="39"/>
        <w:spacing w:after="0" w:line="236" w:lineRule="auto"/>
        <w:rPr>
          <w:sz w:val="20"/>
          <w:szCs w:val="20"/>
          <w:color w:val="auto"/>
        </w:rPr>
      </w:pPr>
      <w:r>
        <w:rPr>
          <w:rFonts w:ascii="Arial" w:cs="Arial" w:eastAsia="Arial" w:hAnsi="Arial"/>
          <w:sz w:val="13"/>
          <w:szCs w:val="13"/>
          <w:color w:val="auto"/>
        </w:rPr>
        <w:t>We have operations in multiple taxing jurisdictions, and we are subject to audit in these jurisdictions. Tax audits by their nature are often complex and can require several years to resolve. Accruals of tax contingencies require us to make estimates and judgments with respect to the ultimate outcome of tax audits. Actual results could vary from these estimates.</w:t>
      </w:r>
    </w:p>
    <w:p>
      <w:pPr>
        <w:spacing w:after="0" w:line="133" w:lineRule="exact"/>
        <w:rPr>
          <w:sz w:val="20"/>
          <w:szCs w:val="20"/>
          <w:color w:val="auto"/>
        </w:rPr>
      </w:pPr>
    </w:p>
    <w:p>
      <w:pPr>
        <w:jc w:val="both"/>
        <w:ind w:right="39"/>
        <w:spacing w:after="0" w:line="236" w:lineRule="auto"/>
        <w:rPr>
          <w:sz w:val="20"/>
          <w:szCs w:val="20"/>
          <w:color w:val="auto"/>
        </w:rPr>
      </w:pPr>
      <w:r>
        <w:rPr>
          <w:rFonts w:ascii="Arial" w:cs="Arial" w:eastAsia="Arial" w:hAnsi="Arial"/>
          <w:sz w:val="13"/>
          <w:szCs w:val="13"/>
          <w:color w:val="auto"/>
        </w:rPr>
        <w:t>Excluding the effect of any nonrecurring items that may occur, we expect the effective tax rate for 2021 to be in the range of 29.6% to 30.6%. The actual tax rate will depend on the level and geographic mix of income and losses, as well as the limits to tax benefits for losses in certain foreign jurisdictions. Our actual tax rate will also depend on the enactment of a corporate tax rate increase, as proposed by the Biden Administration.</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 Accounting Pronouncements</w:t>
      </w:r>
    </w:p>
    <w:p>
      <w:pPr>
        <w:spacing w:after="0" w:line="143" w:lineRule="exact"/>
        <w:rPr>
          <w:sz w:val="20"/>
          <w:szCs w:val="20"/>
          <w:color w:val="auto"/>
        </w:rPr>
      </w:pPr>
    </w:p>
    <w:p>
      <w:pPr>
        <w:jc w:val="both"/>
        <w:ind w:right="59"/>
        <w:spacing w:after="0"/>
        <w:rPr>
          <w:sz w:val="20"/>
          <w:szCs w:val="20"/>
          <w:color w:val="auto"/>
        </w:rPr>
      </w:pPr>
      <w:r>
        <w:rPr>
          <w:rFonts w:ascii="Arial" w:cs="Arial" w:eastAsia="Arial" w:hAnsi="Arial"/>
          <w:sz w:val="13"/>
          <w:szCs w:val="13"/>
          <w:color w:val="auto"/>
        </w:rPr>
        <w:t xml:space="preserve">Descriptions of the recently issued accounting principles, and the accounting principles adopted by us during the year ended January 30, 2021 are included in the </w:t>
      </w:r>
      <w:r>
        <w:rPr>
          <w:rFonts w:ascii="Arial" w:cs="Arial" w:eastAsia="Arial" w:hAnsi="Arial"/>
          <w:sz w:val="13"/>
          <w:szCs w:val="13"/>
          <w:i w:val="1"/>
          <w:iCs w:val="1"/>
          <w:color w:val="auto"/>
        </w:rPr>
        <w:t>Summary of Significant Accounting Policies</w:t>
      </w:r>
      <w:r>
        <w:rPr>
          <w:rFonts w:ascii="Arial" w:cs="Arial" w:eastAsia="Arial" w:hAnsi="Arial"/>
          <w:sz w:val="13"/>
          <w:szCs w:val="13"/>
          <w:color w:val="auto"/>
        </w:rPr>
        <w:t xml:space="preserve"> note in “Item 8. Consolidated Financial Statements and Supplementary Data.”</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Item 7A. Quantitative and Qualitative Disclosures About Market Risk</w:t>
      </w:r>
    </w:p>
    <w:p>
      <w:pPr>
        <w:spacing w:after="0" w:line="129" w:lineRule="exact"/>
        <w:rPr>
          <w:sz w:val="20"/>
          <w:szCs w:val="20"/>
          <w:color w:val="auto"/>
        </w:rPr>
      </w:pPr>
    </w:p>
    <w:p>
      <w:pPr>
        <w:jc w:val="both"/>
        <w:ind w:right="39"/>
        <w:spacing w:after="0" w:line="262" w:lineRule="auto"/>
        <w:rPr>
          <w:sz w:val="20"/>
          <w:szCs w:val="20"/>
          <w:color w:val="auto"/>
        </w:rPr>
      </w:pPr>
      <w:r>
        <w:rPr>
          <w:rFonts w:ascii="Arial" w:cs="Arial" w:eastAsia="Arial" w:hAnsi="Arial"/>
          <w:sz w:val="13"/>
          <w:szCs w:val="13"/>
          <w:color w:val="auto"/>
        </w:rPr>
        <w:t xml:space="preserve">Information regarding foreign exchange risk management is included in the </w:t>
      </w:r>
      <w:r>
        <w:rPr>
          <w:rFonts w:ascii="Arial" w:cs="Arial" w:eastAsia="Arial" w:hAnsi="Arial"/>
          <w:sz w:val="13"/>
          <w:szCs w:val="13"/>
          <w:i w:val="1"/>
          <w:iCs w:val="1"/>
          <w:color w:val="auto"/>
        </w:rPr>
        <w:t>Financial Instruments and Risk Management</w:t>
      </w:r>
      <w:r>
        <w:rPr>
          <w:rFonts w:ascii="Arial" w:cs="Arial" w:eastAsia="Arial" w:hAnsi="Arial"/>
          <w:sz w:val="13"/>
          <w:szCs w:val="13"/>
          <w:color w:val="auto"/>
        </w:rPr>
        <w:t xml:space="preserve"> note under “Item 8. Consolidated Financial Statements and Supplementary Data.”</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Item 8. Consolidated Financial Statements and Supplementary Data</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Consolidated Financial Statements of the Company are included as part of this Report:</w:t>
      </w:r>
    </w:p>
    <w:p>
      <w:pPr>
        <w:spacing w:after="0" w:line="50" w:lineRule="exact"/>
        <w:rPr>
          <w:sz w:val="20"/>
          <w:szCs w:val="20"/>
          <w:color w:val="auto"/>
        </w:rPr>
      </w:pPr>
    </w:p>
    <w:p>
      <w:pPr>
        <w:ind w:left="520" w:hanging="256"/>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3"/>
          <w:szCs w:val="13"/>
          <w:color w:val="auto"/>
        </w:rPr>
        <w:t>Consolidated Statements of Operations for the fiscal years ended:</w:t>
      </w:r>
    </w:p>
    <w:p>
      <w:pPr>
        <w:spacing w:after="0" w:line="54" w:lineRule="exact"/>
        <w:rPr>
          <w:rFonts w:ascii="Arial" w:cs="Arial" w:eastAsia="Arial" w:hAnsi="Arial"/>
          <w:sz w:val="14"/>
          <w:szCs w:val="14"/>
          <w:color w:val="auto"/>
        </w:rPr>
      </w:pPr>
    </w:p>
    <w:p>
      <w:pPr>
        <w:ind w:left="1000" w:hanging="244"/>
        <w:spacing w:after="0"/>
        <w:tabs>
          <w:tab w:leader="none" w:pos="1000" w:val="left"/>
        </w:tabs>
        <w:numPr>
          <w:ilvl w:val="1"/>
          <w:numId w:val="13"/>
        </w:numPr>
        <w:rPr>
          <w:rFonts w:ascii="Arial" w:cs="Arial" w:eastAsia="Arial" w:hAnsi="Arial"/>
          <w:sz w:val="14"/>
          <w:szCs w:val="14"/>
          <w:color w:val="auto"/>
        </w:rPr>
      </w:pPr>
      <w:r>
        <w:rPr>
          <w:rFonts w:ascii="Arial" w:cs="Arial" w:eastAsia="Arial" w:hAnsi="Arial"/>
          <w:sz w:val="13"/>
          <w:szCs w:val="13"/>
          <w:color w:val="auto"/>
        </w:rPr>
        <w:t>January 30, 2021, February 1, 2020, and February 2, 2019</w:t>
      </w:r>
    </w:p>
    <w:p>
      <w:pPr>
        <w:spacing w:after="0" w:line="64" w:lineRule="exact"/>
        <w:rPr>
          <w:rFonts w:ascii="Arial" w:cs="Arial" w:eastAsia="Arial" w:hAnsi="Arial"/>
          <w:sz w:val="14"/>
          <w:szCs w:val="14"/>
          <w:color w:val="auto"/>
        </w:rPr>
      </w:pPr>
    </w:p>
    <w:p>
      <w:pPr>
        <w:ind w:left="520" w:hanging="256"/>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3"/>
          <w:szCs w:val="13"/>
          <w:color w:val="auto"/>
        </w:rPr>
        <w:t>Consolidated Statements of Comprehensive Income for the fiscal years ended:</w:t>
      </w:r>
    </w:p>
    <w:p>
      <w:pPr>
        <w:spacing w:after="0" w:line="54" w:lineRule="exact"/>
        <w:rPr>
          <w:rFonts w:ascii="Arial" w:cs="Arial" w:eastAsia="Arial" w:hAnsi="Arial"/>
          <w:sz w:val="14"/>
          <w:szCs w:val="14"/>
          <w:color w:val="auto"/>
        </w:rPr>
      </w:pPr>
    </w:p>
    <w:p>
      <w:pPr>
        <w:ind w:left="1000" w:hanging="244"/>
        <w:spacing w:after="0"/>
        <w:tabs>
          <w:tab w:leader="none" w:pos="1000" w:val="left"/>
        </w:tabs>
        <w:numPr>
          <w:ilvl w:val="1"/>
          <w:numId w:val="13"/>
        </w:numPr>
        <w:rPr>
          <w:rFonts w:ascii="Arial" w:cs="Arial" w:eastAsia="Arial" w:hAnsi="Arial"/>
          <w:sz w:val="14"/>
          <w:szCs w:val="14"/>
          <w:color w:val="auto"/>
        </w:rPr>
      </w:pPr>
      <w:r>
        <w:rPr>
          <w:rFonts w:ascii="Arial" w:cs="Arial" w:eastAsia="Arial" w:hAnsi="Arial"/>
          <w:sz w:val="13"/>
          <w:szCs w:val="13"/>
          <w:color w:val="auto"/>
        </w:rPr>
        <w:t>January 30, 2021, February 1, 2020, and February 2, 2019</w:t>
      </w:r>
    </w:p>
    <w:p>
      <w:pPr>
        <w:spacing w:after="0" w:line="54" w:lineRule="exact"/>
        <w:rPr>
          <w:rFonts w:ascii="Arial" w:cs="Arial" w:eastAsia="Arial" w:hAnsi="Arial"/>
          <w:sz w:val="14"/>
          <w:szCs w:val="14"/>
          <w:color w:val="auto"/>
        </w:rPr>
      </w:pPr>
    </w:p>
    <w:p>
      <w:pPr>
        <w:ind w:left="520" w:hanging="256"/>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3"/>
          <w:szCs w:val="13"/>
          <w:color w:val="auto"/>
        </w:rPr>
        <w:t>Consolidated Balance Sheets as of:</w:t>
      </w:r>
    </w:p>
    <w:p>
      <w:pPr>
        <w:spacing w:after="0" w:line="64" w:lineRule="exact"/>
        <w:rPr>
          <w:rFonts w:ascii="Arial" w:cs="Arial" w:eastAsia="Arial" w:hAnsi="Arial"/>
          <w:sz w:val="14"/>
          <w:szCs w:val="14"/>
          <w:color w:val="auto"/>
        </w:rPr>
      </w:pPr>
    </w:p>
    <w:p>
      <w:pPr>
        <w:ind w:left="1000" w:hanging="244"/>
        <w:spacing w:after="0"/>
        <w:tabs>
          <w:tab w:leader="none" w:pos="1000" w:val="left"/>
        </w:tabs>
        <w:numPr>
          <w:ilvl w:val="1"/>
          <w:numId w:val="13"/>
        </w:numPr>
        <w:rPr>
          <w:rFonts w:ascii="Arial" w:cs="Arial" w:eastAsia="Arial" w:hAnsi="Arial"/>
          <w:sz w:val="14"/>
          <w:szCs w:val="14"/>
          <w:color w:val="auto"/>
        </w:rPr>
      </w:pPr>
      <w:r>
        <w:rPr>
          <w:rFonts w:ascii="Arial" w:cs="Arial" w:eastAsia="Arial" w:hAnsi="Arial"/>
          <w:sz w:val="13"/>
          <w:szCs w:val="13"/>
          <w:color w:val="auto"/>
        </w:rPr>
        <w:t>January 30, 2021 and February 1, 2020</w:t>
      </w:r>
    </w:p>
    <w:p>
      <w:pPr>
        <w:spacing w:after="0" w:line="54" w:lineRule="exact"/>
        <w:rPr>
          <w:rFonts w:ascii="Arial" w:cs="Arial" w:eastAsia="Arial" w:hAnsi="Arial"/>
          <w:sz w:val="14"/>
          <w:szCs w:val="14"/>
          <w:color w:val="auto"/>
        </w:rPr>
      </w:pPr>
    </w:p>
    <w:p>
      <w:pPr>
        <w:ind w:left="520" w:hanging="256"/>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3"/>
          <w:szCs w:val="13"/>
          <w:color w:val="auto"/>
        </w:rPr>
        <w:t>Consolidated Statements of Changes in Shareholders’ Equity for the fiscal years ended:</w:t>
      </w:r>
    </w:p>
    <w:p>
      <w:pPr>
        <w:spacing w:after="0" w:line="54" w:lineRule="exact"/>
        <w:rPr>
          <w:rFonts w:ascii="Arial" w:cs="Arial" w:eastAsia="Arial" w:hAnsi="Arial"/>
          <w:sz w:val="14"/>
          <w:szCs w:val="14"/>
          <w:color w:val="auto"/>
        </w:rPr>
      </w:pPr>
    </w:p>
    <w:p>
      <w:pPr>
        <w:ind w:left="1000" w:hanging="244"/>
        <w:spacing w:after="0"/>
        <w:tabs>
          <w:tab w:leader="none" w:pos="1000" w:val="left"/>
        </w:tabs>
        <w:numPr>
          <w:ilvl w:val="1"/>
          <w:numId w:val="13"/>
        </w:numPr>
        <w:rPr>
          <w:rFonts w:ascii="Arial" w:cs="Arial" w:eastAsia="Arial" w:hAnsi="Arial"/>
          <w:sz w:val="14"/>
          <w:szCs w:val="14"/>
          <w:color w:val="auto"/>
        </w:rPr>
      </w:pPr>
      <w:r>
        <w:rPr>
          <w:rFonts w:ascii="Arial" w:cs="Arial" w:eastAsia="Arial" w:hAnsi="Arial"/>
          <w:sz w:val="13"/>
          <w:szCs w:val="13"/>
          <w:color w:val="auto"/>
        </w:rPr>
        <w:t>January 30, 2021, February 1, 2020, and February 2, 2019</w:t>
      </w:r>
    </w:p>
    <w:p>
      <w:pPr>
        <w:spacing w:after="0" w:line="64" w:lineRule="exact"/>
        <w:rPr>
          <w:rFonts w:ascii="Arial" w:cs="Arial" w:eastAsia="Arial" w:hAnsi="Arial"/>
          <w:sz w:val="14"/>
          <w:szCs w:val="14"/>
          <w:color w:val="auto"/>
        </w:rPr>
      </w:pPr>
    </w:p>
    <w:p>
      <w:pPr>
        <w:ind w:left="520" w:hanging="256"/>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3"/>
          <w:szCs w:val="13"/>
          <w:color w:val="auto"/>
        </w:rPr>
        <w:t>Consolidated Statements of Cash Flows for the fiscal years ended:</w:t>
      </w:r>
    </w:p>
    <w:p>
      <w:pPr>
        <w:spacing w:after="0" w:line="54" w:lineRule="exact"/>
        <w:rPr>
          <w:rFonts w:ascii="Arial" w:cs="Arial" w:eastAsia="Arial" w:hAnsi="Arial"/>
          <w:sz w:val="14"/>
          <w:szCs w:val="14"/>
          <w:color w:val="auto"/>
        </w:rPr>
      </w:pPr>
    </w:p>
    <w:p>
      <w:pPr>
        <w:ind w:left="1000" w:hanging="244"/>
        <w:spacing w:after="0"/>
        <w:tabs>
          <w:tab w:leader="none" w:pos="1000" w:val="left"/>
        </w:tabs>
        <w:numPr>
          <w:ilvl w:val="1"/>
          <w:numId w:val="13"/>
        </w:numPr>
        <w:rPr>
          <w:rFonts w:ascii="Arial" w:cs="Arial" w:eastAsia="Arial" w:hAnsi="Arial"/>
          <w:sz w:val="14"/>
          <w:szCs w:val="14"/>
          <w:color w:val="auto"/>
        </w:rPr>
      </w:pPr>
      <w:r>
        <w:rPr>
          <w:rFonts w:ascii="Arial" w:cs="Arial" w:eastAsia="Arial" w:hAnsi="Arial"/>
          <w:sz w:val="13"/>
          <w:szCs w:val="13"/>
          <w:color w:val="auto"/>
        </w:rPr>
        <w:t>January 30, 2021, February 1, 2020, and February 2, 2019</w:t>
      </w:r>
    </w:p>
    <w:p>
      <w:pPr>
        <w:spacing w:after="0" w:line="54" w:lineRule="exact"/>
        <w:rPr>
          <w:rFonts w:ascii="Arial" w:cs="Arial" w:eastAsia="Arial" w:hAnsi="Arial"/>
          <w:sz w:val="14"/>
          <w:szCs w:val="14"/>
          <w:color w:val="auto"/>
        </w:rPr>
      </w:pPr>
    </w:p>
    <w:p>
      <w:pPr>
        <w:ind w:left="520" w:hanging="256"/>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3"/>
          <w:szCs w:val="13"/>
          <w:color w:val="auto"/>
        </w:rPr>
        <w:t>Notes to the Consolidated Financial Statements.</w:t>
      </w:r>
    </w:p>
    <w:p>
      <w:pPr>
        <w:spacing w:after="0" w:line="60" w:lineRule="exact"/>
        <w:rPr>
          <w:sz w:val="20"/>
          <w:szCs w:val="20"/>
          <w:color w:val="auto"/>
        </w:rPr>
      </w:pPr>
    </w:p>
    <w:p>
      <w:pPr>
        <w:ind w:left="7660"/>
        <w:spacing w:after="0"/>
        <w:rPr>
          <w:sz w:val="20"/>
          <w:szCs w:val="20"/>
          <w:color w:val="auto"/>
        </w:rPr>
      </w:pPr>
      <w:r>
        <w:rPr>
          <w:rFonts w:ascii="Arial" w:cs="Arial" w:eastAsia="Arial" w:hAnsi="Arial"/>
          <w:sz w:val="12"/>
          <w:szCs w:val="12"/>
          <w:color w:val="auto"/>
        </w:rPr>
        <w:t>2020 Form 10-K 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365125</wp:posOffset>
            </wp:positionV>
            <wp:extent cx="5790565" cy="133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90565" cy="13335"/>
                    </a:xfrm>
                    <a:prstGeom prst="rect">
                      <a:avLst/>
                    </a:prstGeom>
                    <a:noFill/>
                  </pic:spPr>
                </pic:pic>
              </a:graphicData>
            </a:graphic>
          </wp:anchor>
        </w:drawing>
      </w:r>
    </w:p>
    <w:p>
      <w:pPr>
        <w:sectPr>
          <w:pgSz w:w="11900" w:h="16838" w:orient="portrait"/>
          <w:cols w:equalWidth="0" w:num="1">
            <w:col w:w="9159"/>
          </w:cols>
          <w:pgMar w:left="1300" w:top="673" w:right="1440"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color w:val="auto"/>
        </w:rPr>
        <w:t>To the Shareholders and Board of Directors</w:t>
      </w:r>
    </w:p>
    <w:p>
      <w:pPr>
        <w:spacing w:after="0"/>
        <w:rPr>
          <w:sz w:val="20"/>
          <w:szCs w:val="20"/>
          <w:color w:val="auto"/>
        </w:rPr>
      </w:pPr>
      <w:r>
        <w:rPr>
          <w:rFonts w:ascii="Arial" w:cs="Arial" w:eastAsia="Arial" w:hAnsi="Arial"/>
          <w:sz w:val="13"/>
          <w:szCs w:val="13"/>
          <w:color w:val="auto"/>
        </w:rPr>
        <w:t>Foot Locker, Inc.:</w:t>
      </w:r>
    </w:p>
    <w:p>
      <w:pPr>
        <w:spacing w:after="0" w:line="11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Opinion on the Consolidated Financial Statements</w:t>
      </w:r>
    </w:p>
    <w:p>
      <w:pPr>
        <w:spacing w:after="0" w:line="100" w:lineRule="exact"/>
        <w:rPr>
          <w:sz w:val="20"/>
          <w:szCs w:val="20"/>
          <w:color w:val="auto"/>
        </w:rPr>
      </w:pPr>
    </w:p>
    <w:p>
      <w:pPr>
        <w:jc w:val="both"/>
        <w:ind w:right="39"/>
        <w:spacing w:after="0" w:line="233" w:lineRule="auto"/>
        <w:rPr>
          <w:sz w:val="20"/>
          <w:szCs w:val="20"/>
          <w:color w:val="auto"/>
        </w:rPr>
      </w:pPr>
      <w:r>
        <w:rPr>
          <w:rFonts w:ascii="Arial" w:cs="Arial" w:eastAsia="Arial" w:hAnsi="Arial"/>
          <w:sz w:val="13"/>
          <w:szCs w:val="13"/>
          <w:color w:val="auto"/>
        </w:rPr>
        <w:t>We have audited the accompanying consolidated balance sheets of Foot Locker, Inc. and subsidiaries (the Company) as of January 30, 2021 and February 1, 2020, the related consolidated statements of operations, comprehensive income, changes in shareholders’ equity, and cash flows for each of the years in the three-year period ended January 30, 2021 and the related notes (collectively, the consolidated financial statements). In our opinion, the consolidated financial statements present fairly, in all material respects, the financial position of the Company as of January 30, 2021 and February 1, 2020, and the results of its operations and its cash flows for each of the years in the three-year period ended January 30, 2021, in conformity with U.S. generally accepted accounting principles.</w:t>
      </w:r>
    </w:p>
    <w:p>
      <w:pPr>
        <w:spacing w:after="0" w:line="124" w:lineRule="exact"/>
        <w:rPr>
          <w:sz w:val="20"/>
          <w:szCs w:val="20"/>
          <w:color w:val="auto"/>
        </w:rPr>
      </w:pPr>
    </w:p>
    <w:p>
      <w:pPr>
        <w:jc w:val="both"/>
        <w:ind w:right="39"/>
        <w:spacing w:after="0" w:line="235" w:lineRule="auto"/>
        <w:rPr>
          <w:sz w:val="20"/>
          <w:szCs w:val="20"/>
          <w:color w:val="auto"/>
        </w:rPr>
      </w:pPr>
      <w:r>
        <w:rPr>
          <w:rFonts w:ascii="Arial" w:cs="Arial" w:eastAsia="Arial" w:hAnsi="Arial"/>
          <w:sz w:val="13"/>
          <w:szCs w:val="13"/>
          <w:color w:val="auto"/>
        </w:rPr>
        <w:t xml:space="preserve">We also have audited, in accordance with the standards of the Public Company Accounting Oversight Board (United States) (PCAOB), the Company’s internal control over financial reporting as of January 30, 2021, based on criteria established in </w:t>
      </w:r>
      <w:r>
        <w:rPr>
          <w:rFonts w:ascii="Arial" w:cs="Arial" w:eastAsia="Arial" w:hAnsi="Arial"/>
          <w:sz w:val="13"/>
          <w:szCs w:val="13"/>
          <w:i w:val="1"/>
          <w:iCs w:val="1"/>
          <w:color w:val="auto"/>
        </w:rPr>
        <w:t>Internal Control – Integrated Framework (2013)</w:t>
      </w:r>
      <w:r>
        <w:rPr>
          <w:rFonts w:ascii="Arial" w:cs="Arial" w:eastAsia="Arial" w:hAnsi="Arial"/>
          <w:sz w:val="13"/>
          <w:szCs w:val="13"/>
          <w:color w:val="auto"/>
        </w:rPr>
        <w:t xml:space="preserve"> issued by the Committee of Sponsoring Organizations of the Treadway Commission, and our report dated March 25, 2021 expressed an unqualified opinion on the effectiveness of the Company’s internal control over financial reporting.</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Change in Accounting Principle</w:t>
      </w:r>
    </w:p>
    <w:p>
      <w:pPr>
        <w:spacing w:after="0" w:line="100" w:lineRule="exact"/>
        <w:rPr>
          <w:sz w:val="20"/>
          <w:szCs w:val="20"/>
          <w:color w:val="auto"/>
        </w:rPr>
      </w:pPr>
    </w:p>
    <w:p>
      <w:pPr>
        <w:jc w:val="both"/>
        <w:ind w:right="39"/>
        <w:spacing w:after="0"/>
        <w:rPr>
          <w:sz w:val="20"/>
          <w:szCs w:val="20"/>
          <w:color w:val="auto"/>
        </w:rPr>
      </w:pPr>
      <w:r>
        <w:rPr>
          <w:rFonts w:ascii="Arial" w:cs="Arial" w:eastAsia="Arial" w:hAnsi="Arial"/>
          <w:sz w:val="13"/>
          <w:szCs w:val="13"/>
          <w:color w:val="auto"/>
        </w:rPr>
        <w:t xml:space="preserve">As discussed in Note 1 to the consolidated financial statements, the Company changed its method of accounting for leases effective February 3, 2019 due to the adoption of Financial Accounting Standards Board Accounting Standards Codification (ASC) Topic 842, </w:t>
      </w:r>
      <w:r>
        <w:rPr>
          <w:rFonts w:ascii="Arial" w:cs="Arial" w:eastAsia="Arial" w:hAnsi="Arial"/>
          <w:sz w:val="13"/>
          <w:szCs w:val="13"/>
          <w:i w:val="1"/>
          <w:iCs w:val="1"/>
          <w:color w:val="auto"/>
        </w:rPr>
        <w:t>Leases.</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Basis for Opinion</w:t>
      </w:r>
    </w:p>
    <w:p>
      <w:pPr>
        <w:spacing w:after="0" w:line="100" w:lineRule="exact"/>
        <w:rPr>
          <w:sz w:val="20"/>
          <w:szCs w:val="20"/>
          <w:color w:val="auto"/>
        </w:rPr>
      </w:pPr>
    </w:p>
    <w:p>
      <w:pPr>
        <w:jc w:val="both"/>
        <w:ind w:right="39"/>
        <w:spacing w:after="0" w:line="235" w:lineRule="auto"/>
        <w:rPr>
          <w:sz w:val="20"/>
          <w:szCs w:val="20"/>
          <w:color w:val="auto"/>
        </w:rPr>
      </w:pPr>
      <w:r>
        <w:rPr>
          <w:rFonts w:ascii="Arial" w:cs="Arial" w:eastAsia="Arial" w:hAnsi="Arial"/>
          <w:sz w:val="13"/>
          <w:szCs w:val="13"/>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jc w:val="both"/>
        <w:ind w:right="39"/>
        <w:spacing w:after="0" w:line="233" w:lineRule="auto"/>
        <w:rPr>
          <w:sz w:val="20"/>
          <w:szCs w:val="20"/>
          <w:color w:val="auto"/>
        </w:rPr>
      </w:pPr>
      <w:r>
        <w:rPr>
          <w:rFonts w:ascii="Arial" w:cs="Arial" w:eastAsia="Arial" w:hAnsi="Arial"/>
          <w:sz w:val="13"/>
          <w:szCs w:val="13"/>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color w:val="auto"/>
        </w:rPr>
        <w:t>Critical Audit Matter</w:t>
      </w:r>
    </w:p>
    <w:p>
      <w:pPr>
        <w:spacing w:after="0" w:line="148" w:lineRule="exact"/>
        <w:rPr>
          <w:sz w:val="20"/>
          <w:szCs w:val="20"/>
          <w:color w:val="auto"/>
        </w:rPr>
      </w:pPr>
    </w:p>
    <w:p>
      <w:pPr>
        <w:jc w:val="both"/>
        <w:ind w:right="39"/>
        <w:spacing w:after="0" w:line="234" w:lineRule="auto"/>
        <w:rPr>
          <w:sz w:val="20"/>
          <w:szCs w:val="20"/>
          <w:color w:val="auto"/>
        </w:rPr>
      </w:pPr>
      <w:r>
        <w:rPr>
          <w:rFonts w:ascii="Arial" w:cs="Arial" w:eastAsia="Arial" w:hAnsi="Arial"/>
          <w:sz w:val="13"/>
          <w:szCs w:val="13"/>
          <w:color w:val="auto"/>
        </w:rPr>
        <w:t>The critical audit matter communicated below is a matter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separate opinions on the critical audit matter or on the accounts or disclosures to which it relates.</w:t>
      </w:r>
    </w:p>
    <w:p>
      <w:pPr>
        <w:spacing w:after="0" w:line="400" w:lineRule="exact"/>
        <w:rPr>
          <w:sz w:val="20"/>
          <w:szCs w:val="20"/>
          <w:color w:val="auto"/>
        </w:rPr>
      </w:pPr>
    </w:p>
    <w:p>
      <w:pPr>
        <w:ind w:left="7660"/>
        <w:spacing w:after="0"/>
        <w:rPr>
          <w:sz w:val="20"/>
          <w:szCs w:val="20"/>
          <w:color w:val="auto"/>
        </w:rPr>
      </w:pPr>
      <w:r>
        <w:rPr>
          <w:rFonts w:ascii="Arial" w:cs="Arial" w:eastAsia="Arial" w:hAnsi="Arial"/>
          <w:sz w:val="12"/>
          <w:szCs w:val="12"/>
          <w:color w:val="auto"/>
        </w:rPr>
        <w:t>2020 Form 10-K 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365125</wp:posOffset>
            </wp:positionV>
            <wp:extent cx="5790565" cy="196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90565" cy="19685"/>
                    </a:xfrm>
                    <a:prstGeom prst="rect">
                      <a:avLst/>
                    </a:prstGeom>
                    <a:noFill/>
                  </pic:spPr>
                </pic:pic>
              </a:graphicData>
            </a:graphic>
          </wp:anchor>
        </w:drawing>
      </w:r>
    </w:p>
    <w:p>
      <w:pPr>
        <w:sectPr>
          <w:pgSz w:w="11900" w:h="16838" w:orient="portrait"/>
          <w:cols w:equalWidth="0" w:num="1">
            <w:col w:w="9159"/>
          </w:cols>
          <w:pgMar w:left="1300" w:top="806" w:right="1440" w:bottom="1440" w:gutter="0" w:footer="0" w:header="0"/>
        </w:sectPr>
      </w:pPr>
    </w:p>
    <w:bookmarkStart w:id="37" w:name="page38"/>
    <w:bookmarkEnd w:id="37"/>
    <w:p>
      <w:pPr>
        <w:spacing w:after="0"/>
        <w:rPr>
          <w:sz w:val="20"/>
          <w:szCs w:val="20"/>
          <w:color w:val="auto"/>
        </w:rPr>
      </w:pPr>
      <w:r>
        <w:rPr>
          <w:rFonts w:ascii="Arial" w:cs="Arial" w:eastAsia="Arial" w:hAnsi="Arial"/>
          <w:sz w:val="13"/>
          <w:szCs w:val="13"/>
          <w:i w:val="1"/>
          <w:iCs w:val="1"/>
          <w:color w:val="auto"/>
        </w:rPr>
        <w:t>Fair value of asset group related to certain underperforming stores</w:t>
      </w:r>
    </w:p>
    <w:p>
      <w:pPr>
        <w:spacing w:after="0" w:line="121" w:lineRule="exact"/>
        <w:rPr>
          <w:sz w:val="20"/>
          <w:szCs w:val="20"/>
          <w:color w:val="auto"/>
        </w:rPr>
      </w:pPr>
    </w:p>
    <w:p>
      <w:pPr>
        <w:jc w:val="both"/>
        <w:ind w:right="39"/>
        <w:spacing w:after="0" w:line="248" w:lineRule="auto"/>
        <w:rPr>
          <w:sz w:val="20"/>
          <w:szCs w:val="20"/>
          <w:color w:val="auto"/>
        </w:rPr>
      </w:pPr>
      <w:r>
        <w:rPr>
          <w:rFonts w:ascii="Arial" w:cs="Arial" w:eastAsia="Arial" w:hAnsi="Arial"/>
          <w:sz w:val="13"/>
          <w:szCs w:val="13"/>
          <w:color w:val="auto"/>
        </w:rPr>
        <w:t>As discussed in Notes 1 and 3 to the consolidated financial statements, the Company performs an impairment review when circumstances indicate that the carrying amount of long-lived tangible assets and right-of-use assets may not be recoverable. The long-lived tangible assets and the right-of-use assets of the Company as of January 30, 2021 were $788 million and $2,716 million, respectively. If a triggering event is identified, the Company compares the carrying amount of the asset group with the estimated future cash flows expected to result from the use of the asset group. If the carrying amount of the asset group exceeds the estimated undiscounted future cash flows, the Company measures the amount of the impairment by comparing the carrying amount of the asset group with its estimated fair value. The estimation of fair value of the asset group is measured by discounting expected future cash flows using a risk adjusted discount rate and current market-based information for right-of-use assets. During the year ended January 30, 2021, the Company recorded impairment charges of $77 million related to certain underperforming stores.</w:t>
      </w:r>
    </w:p>
    <w:p>
      <w:pPr>
        <w:spacing w:after="0" w:line="108" w:lineRule="exact"/>
        <w:rPr>
          <w:sz w:val="20"/>
          <w:szCs w:val="20"/>
          <w:color w:val="auto"/>
        </w:rPr>
      </w:pPr>
    </w:p>
    <w:p>
      <w:pPr>
        <w:jc w:val="both"/>
        <w:ind w:right="39"/>
        <w:spacing w:after="0" w:line="234" w:lineRule="auto"/>
        <w:rPr>
          <w:sz w:val="20"/>
          <w:szCs w:val="20"/>
          <w:color w:val="auto"/>
        </w:rPr>
      </w:pPr>
      <w:r>
        <w:rPr>
          <w:rFonts w:ascii="Arial" w:cs="Arial" w:eastAsia="Arial" w:hAnsi="Arial"/>
          <w:sz w:val="13"/>
          <w:szCs w:val="13"/>
          <w:color w:val="auto"/>
        </w:rPr>
        <w:t>We identified the evaluation of the fair value of the asset group related to certain underperforming stores as a critical audit matter. The market-based assumptions used to estimate the fair value of the asset group included market rent estimates for comparable stores that required a high degree of auditor judgment to evaluate and were challenging to test in the current economic environment, as the COVID-19 shutdowns impacted the retail real estate market significantly. Changes in the selection of the market rent estimates could have had a significant effect on the determination of the fair value of the asset group, which impacted the measurement and allocation of the impairment loss within the asset group.</w:t>
      </w:r>
    </w:p>
    <w:p>
      <w:pPr>
        <w:spacing w:after="0" w:line="123" w:lineRule="exact"/>
        <w:rPr>
          <w:sz w:val="20"/>
          <w:szCs w:val="20"/>
          <w:color w:val="auto"/>
        </w:rPr>
      </w:pPr>
    </w:p>
    <w:p>
      <w:pPr>
        <w:jc w:val="both"/>
        <w:ind w:right="39"/>
        <w:spacing w:after="0" w:line="236" w:lineRule="auto"/>
        <w:rPr>
          <w:sz w:val="20"/>
          <w:szCs w:val="20"/>
          <w:color w:val="auto"/>
        </w:rPr>
      </w:pPr>
      <w:r>
        <w:rPr>
          <w:rFonts w:ascii="Arial" w:cs="Arial" w:eastAsia="Arial" w:hAnsi="Arial"/>
          <w:sz w:val="13"/>
          <w:szCs w:val="13"/>
          <w:color w:val="auto"/>
        </w:rPr>
        <w:t>The following are the primary procedures we performed to address this critical audit matter. We evaluated the design and tested the operating effectiveness of certain internal controls over the Company’s long-lived tangible asset and right-of-use asset impairment assessment process, including controls related to the estimate of the fair value of the asset group. We involved valuation professionals with specialized skills and knowledge, who assisted in:</w:t>
      </w:r>
    </w:p>
    <w:p>
      <w:pPr>
        <w:spacing w:after="0" w:line="127" w:lineRule="exact"/>
        <w:rPr>
          <w:sz w:val="20"/>
          <w:szCs w:val="20"/>
          <w:color w:val="auto"/>
        </w:rPr>
      </w:pPr>
    </w:p>
    <w:p>
      <w:pPr>
        <w:ind w:left="460" w:hanging="217"/>
        <w:spacing w:after="0"/>
        <w:tabs>
          <w:tab w:leader="none" w:pos="460" w:val="left"/>
        </w:tabs>
        <w:numPr>
          <w:ilvl w:val="0"/>
          <w:numId w:val="14"/>
        </w:numPr>
        <w:rPr>
          <w:rFonts w:ascii="Arial" w:cs="Arial" w:eastAsia="Arial" w:hAnsi="Arial"/>
          <w:sz w:val="15"/>
          <w:szCs w:val="15"/>
          <w:color w:val="auto"/>
        </w:rPr>
      </w:pPr>
      <w:r>
        <w:rPr>
          <w:rFonts w:ascii="Arial" w:cs="Arial" w:eastAsia="Arial" w:hAnsi="Arial"/>
          <w:sz w:val="13"/>
          <w:szCs w:val="13"/>
          <w:color w:val="auto"/>
        </w:rPr>
        <w:t>evaluating the market rent estimates by assessing comparable retail leasing activity applicable to each location</w:t>
      </w:r>
    </w:p>
    <w:p>
      <w:pPr>
        <w:spacing w:after="0" w:line="16" w:lineRule="exact"/>
        <w:rPr>
          <w:rFonts w:ascii="Arial" w:cs="Arial" w:eastAsia="Arial" w:hAnsi="Arial"/>
          <w:sz w:val="15"/>
          <w:szCs w:val="15"/>
          <w:color w:val="auto"/>
        </w:rPr>
      </w:pPr>
    </w:p>
    <w:p>
      <w:pPr>
        <w:ind w:left="460" w:hanging="217"/>
        <w:spacing w:after="0" w:line="220" w:lineRule="auto"/>
        <w:tabs>
          <w:tab w:leader="none" w:pos="460" w:val="left"/>
        </w:tabs>
        <w:numPr>
          <w:ilvl w:val="0"/>
          <w:numId w:val="14"/>
        </w:numPr>
        <w:rPr>
          <w:rFonts w:ascii="Arial" w:cs="Arial" w:eastAsia="Arial" w:hAnsi="Arial"/>
          <w:sz w:val="15"/>
          <w:szCs w:val="15"/>
          <w:color w:val="auto"/>
        </w:rPr>
      </w:pPr>
      <w:r>
        <w:rPr>
          <w:rFonts w:ascii="Arial" w:cs="Arial" w:eastAsia="Arial" w:hAnsi="Arial"/>
          <w:sz w:val="13"/>
          <w:szCs w:val="13"/>
          <w:color w:val="auto"/>
        </w:rPr>
        <w:t>assessing historic leasing activity of the Company in relation to historical store sales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3"/>
          <w:szCs w:val="13"/>
          <w:color w:val="auto"/>
        </w:rPr>
        <w:t>/s/ KPMG LLP</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We have served as the Company’s auditor since 1995.</w:t>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w:t>
      </w:r>
    </w:p>
    <w:p>
      <w:pPr>
        <w:spacing w:after="0"/>
        <w:rPr>
          <w:sz w:val="20"/>
          <w:szCs w:val="20"/>
          <w:color w:val="auto"/>
        </w:rPr>
      </w:pPr>
      <w:r>
        <w:rPr>
          <w:rFonts w:ascii="Arial" w:cs="Arial" w:eastAsia="Arial" w:hAnsi="Arial"/>
          <w:sz w:val="13"/>
          <w:szCs w:val="13"/>
          <w:color w:val="auto"/>
        </w:rPr>
        <w:t>March 25, 2021</w:t>
      </w:r>
    </w:p>
    <w:p>
      <w:pPr>
        <w:spacing w:after="0" w:line="302" w:lineRule="exact"/>
        <w:rPr>
          <w:sz w:val="20"/>
          <w:szCs w:val="20"/>
          <w:color w:val="auto"/>
        </w:rPr>
      </w:pPr>
    </w:p>
    <w:p>
      <w:pPr>
        <w:ind w:left="7660"/>
        <w:spacing w:after="0"/>
        <w:rPr>
          <w:sz w:val="20"/>
          <w:szCs w:val="20"/>
          <w:color w:val="auto"/>
        </w:rPr>
      </w:pPr>
      <w:r>
        <w:rPr>
          <w:rFonts w:ascii="Arial" w:cs="Arial" w:eastAsia="Arial" w:hAnsi="Arial"/>
          <w:sz w:val="12"/>
          <w:szCs w:val="12"/>
          <w:color w:val="auto"/>
        </w:rPr>
        <w:t>2020 Form 10-K 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365125</wp:posOffset>
            </wp:positionV>
            <wp:extent cx="5790565" cy="133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90565" cy="13335"/>
                    </a:xfrm>
                    <a:prstGeom prst="rect">
                      <a:avLst/>
                    </a:prstGeom>
                    <a:noFill/>
                  </pic:spPr>
                </pic:pic>
              </a:graphicData>
            </a:graphic>
          </wp:anchor>
        </w:drawing>
      </w:r>
    </w:p>
    <w:p>
      <w:pPr>
        <w:sectPr>
          <w:pgSz w:w="11900" w:h="16838" w:orient="portrait"/>
          <w:cols w:equalWidth="0" w:num="1">
            <w:col w:w="9159"/>
          </w:cols>
          <w:pgMar w:left="1300" w:top="664" w:right="1440"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72"/>
        </w:trPr>
        <w:tc>
          <w:tcPr>
            <w:tcW w:w="6300" w:type="dxa"/>
            <w:vAlign w:val="bottom"/>
            <w:gridSpan w:val="3"/>
          </w:tcPr>
          <w:p>
            <w:pPr>
              <w:ind w:left="3040"/>
              <w:spacing w:after="0"/>
              <w:rPr>
                <w:sz w:val="20"/>
                <w:szCs w:val="20"/>
                <w:color w:val="auto"/>
              </w:rPr>
            </w:pPr>
            <w:r>
              <w:rPr>
                <w:rFonts w:ascii="Arial" w:cs="Arial" w:eastAsia="Arial" w:hAnsi="Arial"/>
                <w:sz w:val="13"/>
                <w:szCs w:val="13"/>
                <w:b w:val="1"/>
                <w:bCs w:val="1"/>
                <w:color w:val="auto"/>
              </w:rPr>
              <w:t>CONSOLIDATED STATEMENTS OF OPERATIONS</w:t>
            </w:r>
          </w:p>
        </w:tc>
        <w:tc>
          <w:tcPr>
            <w:tcW w:w="3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11"/>
        </w:trPr>
        <w:tc>
          <w:tcPr>
            <w:tcW w:w="41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 in millions, except per share amounts)</w:t>
            </w:r>
          </w:p>
        </w:tc>
        <w:tc>
          <w:tcPr>
            <w:tcW w:w="10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515"/>
              <w:spacing w:after="0"/>
              <w:rPr>
                <w:sz w:val="20"/>
                <w:szCs w:val="20"/>
                <w:color w:val="auto"/>
              </w:rPr>
            </w:pPr>
            <w:r>
              <w:rPr>
                <w:rFonts w:ascii="Arial" w:cs="Arial" w:eastAsia="Arial" w:hAnsi="Arial"/>
                <w:sz w:val="13"/>
                <w:szCs w:val="13"/>
                <w:b w:val="1"/>
                <w:bCs w:val="1"/>
                <w:color w:val="auto"/>
              </w:rPr>
              <w:t>2020</w:t>
            </w: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95"/>
              <w:spacing w:after="0"/>
              <w:rPr>
                <w:sz w:val="20"/>
                <w:szCs w:val="20"/>
                <w:color w:val="auto"/>
              </w:rPr>
            </w:pPr>
            <w:r>
              <w:rPr>
                <w:rFonts w:ascii="Arial" w:cs="Arial" w:eastAsia="Arial" w:hAnsi="Arial"/>
                <w:sz w:val="13"/>
                <w:szCs w:val="13"/>
                <w:color w:val="auto"/>
              </w:rPr>
              <w:t>2019</w:t>
            </w: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3"/>
                <w:szCs w:val="13"/>
                <w:color w:val="auto"/>
              </w:rPr>
              <w:t>2018</w:t>
            </w:r>
          </w:p>
        </w:tc>
      </w:tr>
      <w:tr>
        <w:trPr>
          <w:trHeight w:val="134"/>
        </w:trPr>
        <w:tc>
          <w:tcPr>
            <w:tcW w:w="4140" w:type="dxa"/>
            <w:vAlign w:val="bottom"/>
            <w:shd w:val="clear" w:color="auto" w:fill="CCEEFF"/>
          </w:tcPr>
          <w:p>
            <w:pPr>
              <w:spacing w:after="0" w:line="134" w:lineRule="exact"/>
              <w:rPr>
                <w:sz w:val="20"/>
                <w:szCs w:val="20"/>
                <w:color w:val="auto"/>
              </w:rPr>
            </w:pPr>
            <w:r>
              <w:rPr>
                <w:rFonts w:ascii="Arial" w:cs="Arial" w:eastAsia="Arial" w:hAnsi="Arial"/>
                <w:sz w:val="13"/>
                <w:szCs w:val="13"/>
                <w:b w:val="1"/>
                <w:bCs w:val="1"/>
                <w:color w:val="auto"/>
              </w:rPr>
              <w:t>Sales</w:t>
            </w:r>
          </w:p>
        </w:tc>
        <w:tc>
          <w:tcPr>
            <w:tcW w:w="1080" w:type="dxa"/>
            <w:vAlign w:val="bottom"/>
            <w:shd w:val="clear" w:color="auto" w:fill="CCEEFF"/>
          </w:tcPr>
          <w:p>
            <w:pPr>
              <w:jc w:val="right"/>
              <w:ind w:right="135"/>
              <w:spacing w:after="0" w:line="134" w:lineRule="exact"/>
              <w:rPr>
                <w:sz w:val="20"/>
                <w:szCs w:val="20"/>
                <w:color w:val="auto"/>
              </w:rPr>
            </w:pPr>
            <w:r>
              <w:rPr>
                <w:rFonts w:ascii="Arial" w:cs="Arial" w:eastAsia="Arial" w:hAnsi="Arial"/>
                <w:sz w:val="13"/>
                <w:szCs w:val="13"/>
                <w:b w:val="1"/>
                <w:bCs w:val="1"/>
                <w:color w:val="auto"/>
              </w:rPr>
              <w:t>$</w:t>
            </w:r>
          </w:p>
        </w:tc>
        <w:tc>
          <w:tcPr>
            <w:tcW w:w="1080" w:type="dxa"/>
            <w:vAlign w:val="bottom"/>
            <w:shd w:val="clear" w:color="auto" w:fill="CCEEFF"/>
          </w:tcPr>
          <w:p>
            <w:pPr>
              <w:jc w:val="right"/>
              <w:ind w:right="75"/>
              <w:spacing w:after="0" w:line="134" w:lineRule="exact"/>
              <w:rPr>
                <w:sz w:val="20"/>
                <w:szCs w:val="20"/>
                <w:color w:val="auto"/>
              </w:rPr>
            </w:pPr>
            <w:r>
              <w:rPr>
                <w:rFonts w:ascii="Arial" w:cs="Arial" w:eastAsia="Arial" w:hAnsi="Arial"/>
                <w:sz w:val="13"/>
                <w:szCs w:val="13"/>
                <w:b w:val="1"/>
                <w:bCs w:val="1"/>
                <w:color w:val="auto"/>
              </w:rPr>
              <w:t>7,548</w:t>
            </w:r>
          </w:p>
        </w:tc>
        <w:tc>
          <w:tcPr>
            <w:tcW w:w="380" w:type="dxa"/>
            <w:vAlign w:val="bottom"/>
            <w:shd w:val="clear" w:color="auto" w:fill="CCEEFF"/>
          </w:tcPr>
          <w:p>
            <w:pPr>
              <w:jc w:val="right"/>
              <w:ind w:right="135"/>
              <w:spacing w:after="0" w:line="134" w:lineRule="exact"/>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75"/>
              <w:spacing w:after="0" w:line="134" w:lineRule="exact"/>
              <w:rPr>
                <w:sz w:val="20"/>
                <w:szCs w:val="20"/>
                <w:color w:val="auto"/>
              </w:rPr>
            </w:pPr>
            <w:r>
              <w:rPr>
                <w:rFonts w:ascii="Arial" w:cs="Arial" w:eastAsia="Arial" w:hAnsi="Arial"/>
                <w:sz w:val="13"/>
                <w:szCs w:val="13"/>
                <w:color w:val="auto"/>
              </w:rPr>
              <w:t>8,005</w:t>
            </w:r>
          </w:p>
        </w:tc>
        <w:tc>
          <w:tcPr>
            <w:tcW w:w="400" w:type="dxa"/>
            <w:vAlign w:val="bottom"/>
            <w:shd w:val="clear" w:color="auto" w:fill="CCEEFF"/>
          </w:tcPr>
          <w:p>
            <w:pPr>
              <w:jc w:val="right"/>
              <w:ind w:right="135"/>
              <w:spacing w:after="0" w:line="134"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7,939</w:t>
            </w:r>
          </w:p>
        </w:tc>
      </w:tr>
      <w:tr>
        <w:trPr>
          <w:trHeight w:val="144"/>
        </w:trPr>
        <w:tc>
          <w:tcPr>
            <w:tcW w:w="4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4"/>
        </w:trPr>
        <w:tc>
          <w:tcPr>
            <w:tcW w:w="41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Cost of sales</w:t>
            </w:r>
          </w:p>
        </w:tc>
        <w:tc>
          <w:tcPr>
            <w:tcW w:w="10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b w:val="1"/>
                <w:bCs w:val="1"/>
                <w:color w:val="auto"/>
              </w:rPr>
              <w:t>5,365</w:t>
            </w:r>
          </w:p>
        </w:tc>
        <w:tc>
          <w:tcPr>
            <w:tcW w:w="3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color w:val="auto"/>
              </w:rPr>
              <w:t>5,462</w:t>
            </w:r>
          </w:p>
        </w:tc>
        <w:tc>
          <w:tcPr>
            <w:tcW w:w="4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5,411</w:t>
            </w:r>
          </w:p>
        </w:tc>
      </w:tr>
      <w:tr>
        <w:trPr>
          <w:trHeight w:val="144"/>
        </w:trPr>
        <w:tc>
          <w:tcPr>
            <w:tcW w:w="4140" w:type="dxa"/>
            <w:vAlign w:val="bottom"/>
          </w:tcPr>
          <w:p>
            <w:pPr>
              <w:spacing w:after="0" w:line="144" w:lineRule="exact"/>
              <w:rPr>
                <w:sz w:val="20"/>
                <w:szCs w:val="20"/>
                <w:color w:val="auto"/>
              </w:rPr>
            </w:pPr>
            <w:r>
              <w:rPr>
                <w:rFonts w:ascii="Arial" w:cs="Arial" w:eastAsia="Arial" w:hAnsi="Arial"/>
                <w:sz w:val="13"/>
                <w:szCs w:val="13"/>
                <w:color w:val="auto"/>
              </w:rPr>
              <w:t>Selling, general and administrative expenses</w:t>
            </w:r>
          </w:p>
        </w:tc>
        <w:tc>
          <w:tcPr>
            <w:tcW w:w="1080" w:type="dxa"/>
            <w:vAlign w:val="bottom"/>
          </w:tcPr>
          <w:p>
            <w:pPr>
              <w:spacing w:after="0"/>
              <w:rPr>
                <w:sz w:val="12"/>
                <w:szCs w:val="12"/>
                <w:color w:val="auto"/>
              </w:rPr>
            </w:pPr>
          </w:p>
        </w:tc>
        <w:tc>
          <w:tcPr>
            <w:tcW w:w="1080" w:type="dxa"/>
            <w:vAlign w:val="bottom"/>
          </w:tcPr>
          <w:p>
            <w:pPr>
              <w:jc w:val="right"/>
              <w:ind w:right="75"/>
              <w:spacing w:after="0" w:line="144" w:lineRule="exact"/>
              <w:rPr>
                <w:sz w:val="20"/>
                <w:szCs w:val="20"/>
                <w:color w:val="auto"/>
              </w:rPr>
            </w:pPr>
            <w:r>
              <w:rPr>
                <w:rFonts w:ascii="Arial" w:cs="Arial" w:eastAsia="Arial" w:hAnsi="Arial"/>
                <w:sz w:val="13"/>
                <w:szCs w:val="13"/>
                <w:b w:val="1"/>
                <w:bCs w:val="1"/>
                <w:color w:val="auto"/>
              </w:rPr>
              <w:t>1,587</w:t>
            </w:r>
          </w:p>
        </w:tc>
        <w:tc>
          <w:tcPr>
            <w:tcW w:w="380" w:type="dxa"/>
            <w:vAlign w:val="bottom"/>
          </w:tcPr>
          <w:p>
            <w:pPr>
              <w:spacing w:after="0"/>
              <w:rPr>
                <w:sz w:val="12"/>
                <w:szCs w:val="12"/>
                <w:color w:val="auto"/>
              </w:rPr>
            </w:pPr>
          </w:p>
        </w:tc>
        <w:tc>
          <w:tcPr>
            <w:tcW w:w="1060" w:type="dxa"/>
            <w:vAlign w:val="bottom"/>
          </w:tcPr>
          <w:p>
            <w:pPr>
              <w:jc w:val="right"/>
              <w:ind w:right="75"/>
              <w:spacing w:after="0" w:line="144" w:lineRule="exact"/>
              <w:rPr>
                <w:sz w:val="20"/>
                <w:szCs w:val="20"/>
                <w:color w:val="auto"/>
              </w:rPr>
            </w:pPr>
            <w:r>
              <w:rPr>
                <w:rFonts w:ascii="Arial" w:cs="Arial" w:eastAsia="Arial" w:hAnsi="Arial"/>
                <w:sz w:val="13"/>
                <w:szCs w:val="13"/>
                <w:color w:val="auto"/>
              </w:rPr>
              <w:t>1,650</w:t>
            </w:r>
          </w:p>
        </w:tc>
        <w:tc>
          <w:tcPr>
            <w:tcW w:w="400" w:type="dxa"/>
            <w:vAlign w:val="bottom"/>
          </w:tcPr>
          <w:p>
            <w:pPr>
              <w:spacing w:after="0"/>
              <w:rPr>
                <w:sz w:val="12"/>
                <w:szCs w:val="12"/>
                <w:color w:val="auto"/>
              </w:rPr>
            </w:pPr>
          </w:p>
        </w:tc>
        <w:tc>
          <w:tcPr>
            <w:tcW w:w="980" w:type="dxa"/>
            <w:vAlign w:val="bottom"/>
          </w:tcPr>
          <w:p>
            <w:pPr>
              <w:jc w:val="right"/>
              <w:spacing w:after="0" w:line="144" w:lineRule="exact"/>
              <w:rPr>
                <w:sz w:val="20"/>
                <w:szCs w:val="20"/>
                <w:color w:val="auto"/>
              </w:rPr>
            </w:pPr>
            <w:r>
              <w:rPr>
                <w:rFonts w:ascii="Arial" w:cs="Arial" w:eastAsia="Arial" w:hAnsi="Arial"/>
                <w:sz w:val="13"/>
                <w:szCs w:val="13"/>
                <w:color w:val="auto"/>
              </w:rPr>
              <w:t>1,614</w:t>
            </w:r>
          </w:p>
        </w:tc>
      </w:tr>
      <w:tr>
        <w:trPr>
          <w:trHeight w:val="144"/>
        </w:trPr>
        <w:tc>
          <w:tcPr>
            <w:tcW w:w="41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Depreciation and amortization</w:t>
            </w:r>
          </w:p>
        </w:tc>
        <w:tc>
          <w:tcPr>
            <w:tcW w:w="10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b w:val="1"/>
                <w:bCs w:val="1"/>
                <w:color w:val="auto"/>
              </w:rPr>
              <w:t>176</w:t>
            </w:r>
          </w:p>
        </w:tc>
        <w:tc>
          <w:tcPr>
            <w:tcW w:w="3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color w:val="auto"/>
              </w:rPr>
              <w:t>179</w:t>
            </w:r>
          </w:p>
        </w:tc>
        <w:tc>
          <w:tcPr>
            <w:tcW w:w="4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178</w:t>
            </w:r>
          </w:p>
        </w:tc>
      </w:tr>
      <w:tr>
        <w:trPr>
          <w:trHeight w:val="144"/>
        </w:trPr>
        <w:tc>
          <w:tcPr>
            <w:tcW w:w="414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color w:val="auto"/>
              </w:rPr>
              <w:t>Impairment and other charges</w:t>
            </w:r>
          </w:p>
        </w:tc>
        <w:tc>
          <w:tcPr>
            <w:tcW w:w="10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75"/>
              <w:spacing w:after="0" w:line="144" w:lineRule="exact"/>
              <w:rPr>
                <w:sz w:val="20"/>
                <w:szCs w:val="20"/>
                <w:color w:val="auto"/>
              </w:rPr>
            </w:pPr>
            <w:r>
              <w:rPr>
                <w:rFonts w:ascii="Arial" w:cs="Arial" w:eastAsia="Arial" w:hAnsi="Arial"/>
                <w:sz w:val="13"/>
                <w:szCs w:val="13"/>
                <w:b w:val="1"/>
                <w:bCs w:val="1"/>
                <w:color w:val="auto"/>
              </w:rPr>
              <w:t>117</w:t>
            </w:r>
          </w:p>
        </w:tc>
        <w:tc>
          <w:tcPr>
            <w:tcW w:w="3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75"/>
              <w:spacing w:after="0" w:line="144" w:lineRule="exact"/>
              <w:rPr>
                <w:sz w:val="20"/>
                <w:szCs w:val="20"/>
                <w:color w:val="auto"/>
              </w:rPr>
            </w:pPr>
            <w:r>
              <w:rPr>
                <w:rFonts w:ascii="Arial" w:cs="Arial" w:eastAsia="Arial" w:hAnsi="Arial"/>
                <w:sz w:val="13"/>
                <w:szCs w:val="13"/>
                <w:color w:val="auto"/>
              </w:rPr>
              <w:t>65</w:t>
            </w:r>
          </w:p>
        </w:tc>
        <w:tc>
          <w:tcPr>
            <w:tcW w:w="4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37</w:t>
            </w:r>
          </w:p>
        </w:tc>
      </w:tr>
      <w:tr>
        <w:trPr>
          <w:trHeight w:val="134"/>
        </w:trPr>
        <w:tc>
          <w:tcPr>
            <w:tcW w:w="414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Income from operations</w:t>
            </w:r>
          </w:p>
        </w:tc>
        <w:tc>
          <w:tcPr>
            <w:tcW w:w="108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75"/>
              <w:spacing w:after="0" w:line="134" w:lineRule="exact"/>
              <w:rPr>
                <w:sz w:val="20"/>
                <w:szCs w:val="20"/>
                <w:color w:val="auto"/>
              </w:rPr>
            </w:pPr>
            <w:r>
              <w:rPr>
                <w:rFonts w:ascii="Arial" w:cs="Arial" w:eastAsia="Arial" w:hAnsi="Arial"/>
                <w:sz w:val="13"/>
                <w:szCs w:val="13"/>
                <w:b w:val="1"/>
                <w:bCs w:val="1"/>
                <w:color w:val="auto"/>
              </w:rPr>
              <w:t>303</w:t>
            </w:r>
          </w:p>
        </w:tc>
        <w:tc>
          <w:tcPr>
            <w:tcW w:w="38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75"/>
              <w:spacing w:after="0" w:line="134" w:lineRule="exact"/>
              <w:rPr>
                <w:sz w:val="20"/>
                <w:szCs w:val="20"/>
                <w:color w:val="auto"/>
              </w:rPr>
            </w:pPr>
            <w:r>
              <w:rPr>
                <w:rFonts w:ascii="Arial" w:cs="Arial" w:eastAsia="Arial" w:hAnsi="Arial"/>
                <w:sz w:val="13"/>
                <w:szCs w:val="13"/>
                <w:color w:val="auto"/>
              </w:rPr>
              <w:t>649</w:t>
            </w:r>
          </w:p>
        </w:tc>
        <w:tc>
          <w:tcPr>
            <w:tcW w:w="4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699</w:t>
            </w:r>
          </w:p>
        </w:tc>
      </w:tr>
      <w:tr>
        <w:trPr>
          <w:trHeight w:val="144"/>
        </w:trPr>
        <w:tc>
          <w:tcPr>
            <w:tcW w:w="4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4"/>
        </w:trPr>
        <w:tc>
          <w:tcPr>
            <w:tcW w:w="41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Interest (expense) income, net</w:t>
            </w:r>
          </w:p>
        </w:tc>
        <w:tc>
          <w:tcPr>
            <w:tcW w:w="10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35"/>
              <w:spacing w:after="0" w:line="144" w:lineRule="exact"/>
              <w:rPr>
                <w:sz w:val="20"/>
                <w:szCs w:val="20"/>
                <w:color w:val="auto"/>
              </w:rPr>
            </w:pPr>
            <w:r>
              <w:rPr>
                <w:rFonts w:ascii="Arial" w:cs="Arial" w:eastAsia="Arial" w:hAnsi="Arial"/>
                <w:sz w:val="13"/>
                <w:szCs w:val="13"/>
                <w:b w:val="1"/>
                <w:bCs w:val="1"/>
                <w:color w:val="auto"/>
              </w:rPr>
              <w:t>(7)</w:t>
            </w:r>
          </w:p>
        </w:tc>
        <w:tc>
          <w:tcPr>
            <w:tcW w:w="38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color w:val="auto"/>
              </w:rPr>
              <w:t>11</w:t>
            </w:r>
          </w:p>
        </w:tc>
        <w:tc>
          <w:tcPr>
            <w:tcW w:w="4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9</w:t>
            </w:r>
          </w:p>
        </w:tc>
      </w:tr>
      <w:tr>
        <w:trPr>
          <w:trHeight w:val="144"/>
        </w:trPr>
        <w:tc>
          <w:tcPr>
            <w:tcW w:w="414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color w:val="auto"/>
              </w:rPr>
              <w:t>Other income, net</w:t>
            </w:r>
          </w:p>
        </w:tc>
        <w:tc>
          <w:tcPr>
            <w:tcW w:w="10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75"/>
              <w:spacing w:after="0" w:line="144" w:lineRule="exact"/>
              <w:rPr>
                <w:sz w:val="20"/>
                <w:szCs w:val="20"/>
                <w:color w:val="auto"/>
              </w:rPr>
            </w:pPr>
            <w:r>
              <w:rPr>
                <w:rFonts w:ascii="Arial" w:cs="Arial" w:eastAsia="Arial" w:hAnsi="Arial"/>
                <w:sz w:val="13"/>
                <w:szCs w:val="13"/>
                <w:b w:val="1"/>
                <w:bCs w:val="1"/>
                <w:color w:val="auto"/>
              </w:rPr>
              <w:t>198</w:t>
            </w:r>
          </w:p>
        </w:tc>
        <w:tc>
          <w:tcPr>
            <w:tcW w:w="3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75"/>
              <w:spacing w:after="0" w:line="144" w:lineRule="exact"/>
              <w:rPr>
                <w:sz w:val="20"/>
                <w:szCs w:val="20"/>
                <w:color w:val="auto"/>
              </w:rPr>
            </w:pPr>
            <w:r>
              <w:rPr>
                <w:rFonts w:ascii="Arial" w:cs="Arial" w:eastAsia="Arial" w:hAnsi="Arial"/>
                <w:sz w:val="13"/>
                <w:szCs w:val="13"/>
                <w:color w:val="auto"/>
              </w:rPr>
              <w:t>12</w:t>
            </w:r>
          </w:p>
        </w:tc>
        <w:tc>
          <w:tcPr>
            <w:tcW w:w="4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5</w:t>
            </w:r>
          </w:p>
        </w:tc>
      </w:tr>
      <w:tr>
        <w:trPr>
          <w:trHeight w:val="134"/>
        </w:trPr>
        <w:tc>
          <w:tcPr>
            <w:tcW w:w="414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Income before income taxes</w:t>
            </w:r>
          </w:p>
        </w:tc>
        <w:tc>
          <w:tcPr>
            <w:tcW w:w="108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75"/>
              <w:spacing w:after="0" w:line="134" w:lineRule="exact"/>
              <w:rPr>
                <w:sz w:val="20"/>
                <w:szCs w:val="20"/>
                <w:color w:val="auto"/>
              </w:rPr>
            </w:pPr>
            <w:r>
              <w:rPr>
                <w:rFonts w:ascii="Arial" w:cs="Arial" w:eastAsia="Arial" w:hAnsi="Arial"/>
                <w:sz w:val="13"/>
                <w:szCs w:val="13"/>
                <w:b w:val="1"/>
                <w:bCs w:val="1"/>
                <w:color w:val="auto"/>
              </w:rPr>
              <w:t>494</w:t>
            </w:r>
          </w:p>
        </w:tc>
        <w:tc>
          <w:tcPr>
            <w:tcW w:w="380" w:type="dxa"/>
            <w:vAlign w:val="bottom"/>
            <w:shd w:val="clear" w:color="auto" w:fill="CCEEFF"/>
          </w:tcPr>
          <w:p>
            <w:pPr>
              <w:spacing w:after="0"/>
              <w:rPr>
                <w:sz w:val="11"/>
                <w:szCs w:val="11"/>
                <w:color w:val="auto"/>
              </w:rPr>
            </w:pPr>
          </w:p>
        </w:tc>
        <w:tc>
          <w:tcPr>
            <w:tcW w:w="1060" w:type="dxa"/>
            <w:vAlign w:val="bottom"/>
            <w:shd w:val="clear" w:color="auto" w:fill="CCEEFF"/>
          </w:tcPr>
          <w:p>
            <w:pPr>
              <w:jc w:val="right"/>
              <w:ind w:right="75"/>
              <w:spacing w:after="0" w:line="134" w:lineRule="exact"/>
              <w:rPr>
                <w:sz w:val="20"/>
                <w:szCs w:val="20"/>
                <w:color w:val="auto"/>
              </w:rPr>
            </w:pPr>
            <w:r>
              <w:rPr>
                <w:rFonts w:ascii="Arial" w:cs="Arial" w:eastAsia="Arial" w:hAnsi="Arial"/>
                <w:sz w:val="13"/>
                <w:szCs w:val="13"/>
                <w:color w:val="auto"/>
              </w:rPr>
              <w:t>672</w:t>
            </w:r>
          </w:p>
        </w:tc>
        <w:tc>
          <w:tcPr>
            <w:tcW w:w="40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713</w:t>
            </w:r>
          </w:p>
        </w:tc>
      </w:tr>
      <w:tr>
        <w:trPr>
          <w:trHeight w:val="144"/>
        </w:trPr>
        <w:tc>
          <w:tcPr>
            <w:tcW w:w="414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color w:val="auto"/>
              </w:rPr>
              <w:t>Income tax expense</w:t>
            </w:r>
          </w:p>
        </w:tc>
        <w:tc>
          <w:tcPr>
            <w:tcW w:w="10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75"/>
              <w:spacing w:after="0" w:line="144" w:lineRule="exact"/>
              <w:rPr>
                <w:sz w:val="20"/>
                <w:szCs w:val="20"/>
                <w:color w:val="auto"/>
              </w:rPr>
            </w:pPr>
            <w:r>
              <w:rPr>
                <w:rFonts w:ascii="Arial" w:cs="Arial" w:eastAsia="Arial" w:hAnsi="Arial"/>
                <w:sz w:val="13"/>
                <w:szCs w:val="13"/>
                <w:b w:val="1"/>
                <w:bCs w:val="1"/>
                <w:color w:val="auto"/>
              </w:rPr>
              <w:t>171</w:t>
            </w:r>
          </w:p>
        </w:tc>
        <w:tc>
          <w:tcPr>
            <w:tcW w:w="3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75"/>
              <w:spacing w:after="0" w:line="144" w:lineRule="exact"/>
              <w:rPr>
                <w:sz w:val="20"/>
                <w:szCs w:val="20"/>
                <w:color w:val="auto"/>
              </w:rPr>
            </w:pPr>
            <w:r>
              <w:rPr>
                <w:rFonts w:ascii="Arial" w:cs="Arial" w:eastAsia="Arial" w:hAnsi="Arial"/>
                <w:sz w:val="13"/>
                <w:szCs w:val="13"/>
                <w:color w:val="auto"/>
              </w:rPr>
              <w:t>181</w:t>
            </w:r>
          </w:p>
        </w:tc>
        <w:tc>
          <w:tcPr>
            <w:tcW w:w="4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172</w:t>
            </w:r>
          </w:p>
        </w:tc>
      </w:tr>
      <w:tr>
        <w:trPr>
          <w:trHeight w:val="134"/>
        </w:trPr>
        <w:tc>
          <w:tcPr>
            <w:tcW w:w="4140" w:type="dxa"/>
            <w:vAlign w:val="bottom"/>
            <w:tcBorders>
              <w:bottom w:val="single" w:sz="8" w:color="auto"/>
            </w:tcBorders>
            <w:shd w:val="clear" w:color="auto" w:fill="CCEEFF"/>
          </w:tcPr>
          <w:p>
            <w:pPr>
              <w:spacing w:after="0" w:line="134" w:lineRule="exact"/>
              <w:rPr>
                <w:sz w:val="20"/>
                <w:szCs w:val="20"/>
                <w:color w:val="auto"/>
              </w:rPr>
            </w:pPr>
            <w:r>
              <w:rPr>
                <w:rFonts w:ascii="Arial" w:cs="Arial" w:eastAsia="Arial" w:hAnsi="Arial"/>
                <w:sz w:val="13"/>
                <w:szCs w:val="13"/>
                <w:b w:val="1"/>
                <w:bCs w:val="1"/>
                <w:color w:val="auto"/>
              </w:rPr>
              <w:t>Net income</w:t>
            </w:r>
          </w:p>
        </w:tc>
        <w:tc>
          <w:tcPr>
            <w:tcW w:w="1080" w:type="dxa"/>
            <w:vAlign w:val="bottom"/>
            <w:tcBorders>
              <w:bottom w:val="single" w:sz="8" w:color="auto"/>
            </w:tcBorders>
            <w:shd w:val="clear" w:color="auto" w:fill="CCEEFF"/>
          </w:tcPr>
          <w:p>
            <w:pPr>
              <w:jc w:val="right"/>
              <w:ind w:right="135"/>
              <w:spacing w:after="0" w:line="134" w:lineRule="exact"/>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b w:val="1"/>
                <w:bCs w:val="1"/>
                <w:color w:val="auto"/>
              </w:rPr>
              <w:t>323</w:t>
            </w:r>
          </w:p>
        </w:tc>
        <w:tc>
          <w:tcPr>
            <w:tcW w:w="380" w:type="dxa"/>
            <w:vAlign w:val="bottom"/>
            <w:tcBorders>
              <w:bottom w:val="single" w:sz="8" w:color="auto"/>
            </w:tcBorders>
            <w:shd w:val="clear" w:color="auto" w:fill="CCEEFF"/>
          </w:tcPr>
          <w:p>
            <w:pPr>
              <w:jc w:val="right"/>
              <w:ind w:right="135"/>
              <w:spacing w:after="0" w:line="134"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color w:val="auto"/>
              </w:rPr>
              <w:t>491</w:t>
            </w:r>
          </w:p>
        </w:tc>
        <w:tc>
          <w:tcPr>
            <w:tcW w:w="400" w:type="dxa"/>
            <w:vAlign w:val="bottom"/>
            <w:tcBorders>
              <w:bottom w:val="single" w:sz="8" w:color="auto"/>
            </w:tcBorders>
            <w:shd w:val="clear" w:color="auto" w:fill="CCEEFF"/>
          </w:tcPr>
          <w:p>
            <w:pPr>
              <w:jc w:val="right"/>
              <w:ind w:right="135"/>
              <w:spacing w:after="0" w:line="134" w:lineRule="exact"/>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541</w:t>
            </w:r>
          </w:p>
        </w:tc>
      </w:tr>
      <w:tr>
        <w:trPr>
          <w:trHeight w:val="20"/>
        </w:trPr>
        <w:tc>
          <w:tcPr>
            <w:tcW w:w="4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14"/>
        </w:trPr>
        <w:tc>
          <w:tcPr>
            <w:tcW w:w="4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tcPr>
          <w:p>
            <w:pPr>
              <w:spacing w:after="0"/>
              <w:rPr>
                <w:sz w:val="9"/>
                <w:szCs w:val="9"/>
                <w:color w:val="auto"/>
              </w:rPr>
            </w:pPr>
          </w:p>
        </w:tc>
      </w:tr>
      <w:tr>
        <w:trPr>
          <w:trHeight w:val="144"/>
        </w:trPr>
        <w:tc>
          <w:tcPr>
            <w:tcW w:w="4140" w:type="dxa"/>
            <w:vAlign w:val="bottom"/>
            <w:shd w:val="clear" w:color="auto" w:fill="CCEEFF"/>
          </w:tcPr>
          <w:p>
            <w:pPr>
              <w:ind w:left="80"/>
              <w:spacing w:after="0" w:line="144" w:lineRule="exact"/>
              <w:rPr>
                <w:sz w:val="20"/>
                <w:szCs w:val="20"/>
                <w:color w:val="auto"/>
              </w:rPr>
            </w:pPr>
            <w:r>
              <w:rPr>
                <w:rFonts w:ascii="Arial" w:cs="Arial" w:eastAsia="Arial" w:hAnsi="Arial"/>
                <w:sz w:val="13"/>
                <w:szCs w:val="13"/>
                <w:color w:val="auto"/>
              </w:rPr>
              <w:t>Basic earnings per share</w:t>
            </w:r>
          </w:p>
        </w:tc>
        <w:tc>
          <w:tcPr>
            <w:tcW w:w="1080" w:type="dxa"/>
            <w:vAlign w:val="bottom"/>
            <w:shd w:val="clear" w:color="auto" w:fill="CCEEFF"/>
          </w:tcPr>
          <w:p>
            <w:pPr>
              <w:jc w:val="right"/>
              <w:ind w:right="135"/>
              <w:spacing w:after="0" w:line="144" w:lineRule="exact"/>
              <w:rPr>
                <w:sz w:val="20"/>
                <w:szCs w:val="20"/>
                <w:color w:val="auto"/>
              </w:rPr>
            </w:pPr>
            <w:r>
              <w:rPr>
                <w:rFonts w:ascii="Arial" w:cs="Arial" w:eastAsia="Arial" w:hAnsi="Arial"/>
                <w:sz w:val="13"/>
                <w:szCs w:val="13"/>
                <w:b w:val="1"/>
                <w:bCs w:val="1"/>
                <w:color w:val="auto"/>
              </w:rPr>
              <w:t>$</w:t>
            </w:r>
          </w:p>
        </w:tc>
        <w:tc>
          <w:tcPr>
            <w:tcW w:w="108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b w:val="1"/>
                <w:bCs w:val="1"/>
                <w:color w:val="auto"/>
              </w:rPr>
              <w:t>3.10</w:t>
            </w:r>
          </w:p>
        </w:tc>
        <w:tc>
          <w:tcPr>
            <w:tcW w:w="380" w:type="dxa"/>
            <w:vAlign w:val="bottom"/>
            <w:shd w:val="clear" w:color="auto" w:fill="CCEEFF"/>
          </w:tcPr>
          <w:p>
            <w:pPr>
              <w:jc w:val="right"/>
              <w:ind w:right="135"/>
              <w:spacing w:after="0" w:line="144" w:lineRule="exact"/>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color w:val="auto"/>
              </w:rPr>
              <w:t>4.52</w:t>
            </w:r>
          </w:p>
        </w:tc>
        <w:tc>
          <w:tcPr>
            <w:tcW w:w="400" w:type="dxa"/>
            <w:vAlign w:val="bottom"/>
            <w:shd w:val="clear" w:color="auto" w:fill="CCEEFF"/>
          </w:tcPr>
          <w:p>
            <w:pPr>
              <w:jc w:val="right"/>
              <w:ind w:right="135"/>
              <w:spacing w:after="0" w:line="144"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4.68</w:t>
            </w:r>
          </w:p>
        </w:tc>
      </w:tr>
      <w:tr>
        <w:trPr>
          <w:trHeight w:val="144"/>
        </w:trPr>
        <w:tc>
          <w:tcPr>
            <w:tcW w:w="4140" w:type="dxa"/>
            <w:vAlign w:val="bottom"/>
          </w:tcPr>
          <w:p>
            <w:pPr>
              <w:ind w:left="80"/>
              <w:spacing w:after="0" w:line="144" w:lineRule="exact"/>
              <w:rPr>
                <w:sz w:val="20"/>
                <w:szCs w:val="20"/>
                <w:color w:val="auto"/>
              </w:rPr>
            </w:pPr>
            <w:r>
              <w:rPr>
                <w:rFonts w:ascii="Arial" w:cs="Arial" w:eastAsia="Arial" w:hAnsi="Arial"/>
                <w:sz w:val="13"/>
                <w:szCs w:val="13"/>
                <w:color w:val="auto"/>
              </w:rPr>
              <w:t>Weighted-average shares outstanding</w:t>
            </w:r>
          </w:p>
        </w:tc>
        <w:tc>
          <w:tcPr>
            <w:tcW w:w="1080" w:type="dxa"/>
            <w:vAlign w:val="bottom"/>
          </w:tcPr>
          <w:p>
            <w:pPr>
              <w:spacing w:after="0"/>
              <w:rPr>
                <w:sz w:val="12"/>
                <w:szCs w:val="12"/>
                <w:color w:val="auto"/>
              </w:rPr>
            </w:pPr>
          </w:p>
        </w:tc>
        <w:tc>
          <w:tcPr>
            <w:tcW w:w="1080" w:type="dxa"/>
            <w:vAlign w:val="bottom"/>
          </w:tcPr>
          <w:p>
            <w:pPr>
              <w:jc w:val="right"/>
              <w:ind w:right="75"/>
              <w:spacing w:after="0" w:line="144" w:lineRule="exact"/>
              <w:rPr>
                <w:sz w:val="20"/>
                <w:szCs w:val="20"/>
                <w:color w:val="auto"/>
              </w:rPr>
            </w:pPr>
            <w:r>
              <w:rPr>
                <w:rFonts w:ascii="Arial" w:cs="Arial" w:eastAsia="Arial" w:hAnsi="Arial"/>
                <w:sz w:val="13"/>
                <w:szCs w:val="13"/>
                <w:b w:val="1"/>
                <w:bCs w:val="1"/>
                <w:color w:val="auto"/>
              </w:rPr>
              <w:t>104.3</w:t>
            </w:r>
          </w:p>
        </w:tc>
        <w:tc>
          <w:tcPr>
            <w:tcW w:w="380" w:type="dxa"/>
            <w:vAlign w:val="bottom"/>
          </w:tcPr>
          <w:p>
            <w:pPr>
              <w:spacing w:after="0"/>
              <w:rPr>
                <w:sz w:val="12"/>
                <w:szCs w:val="12"/>
                <w:color w:val="auto"/>
              </w:rPr>
            </w:pPr>
          </w:p>
        </w:tc>
        <w:tc>
          <w:tcPr>
            <w:tcW w:w="1060" w:type="dxa"/>
            <w:vAlign w:val="bottom"/>
          </w:tcPr>
          <w:p>
            <w:pPr>
              <w:jc w:val="right"/>
              <w:ind w:right="75"/>
              <w:spacing w:after="0" w:line="144" w:lineRule="exact"/>
              <w:rPr>
                <w:sz w:val="20"/>
                <w:szCs w:val="20"/>
                <w:color w:val="auto"/>
              </w:rPr>
            </w:pPr>
            <w:r>
              <w:rPr>
                <w:rFonts w:ascii="Arial" w:cs="Arial" w:eastAsia="Arial" w:hAnsi="Arial"/>
                <w:sz w:val="13"/>
                <w:szCs w:val="13"/>
                <w:color w:val="auto"/>
              </w:rPr>
              <w:t>108.7</w:t>
            </w:r>
          </w:p>
        </w:tc>
        <w:tc>
          <w:tcPr>
            <w:tcW w:w="400" w:type="dxa"/>
            <w:vAlign w:val="bottom"/>
          </w:tcPr>
          <w:p>
            <w:pPr>
              <w:spacing w:after="0"/>
              <w:rPr>
                <w:sz w:val="12"/>
                <w:szCs w:val="12"/>
                <w:color w:val="auto"/>
              </w:rPr>
            </w:pPr>
          </w:p>
        </w:tc>
        <w:tc>
          <w:tcPr>
            <w:tcW w:w="980" w:type="dxa"/>
            <w:vAlign w:val="bottom"/>
          </w:tcPr>
          <w:p>
            <w:pPr>
              <w:jc w:val="right"/>
              <w:spacing w:after="0" w:line="144" w:lineRule="exact"/>
              <w:rPr>
                <w:sz w:val="20"/>
                <w:szCs w:val="20"/>
                <w:color w:val="auto"/>
              </w:rPr>
            </w:pPr>
            <w:r>
              <w:rPr>
                <w:rFonts w:ascii="Arial" w:cs="Arial" w:eastAsia="Arial" w:hAnsi="Arial"/>
                <w:sz w:val="13"/>
                <w:szCs w:val="13"/>
                <w:color w:val="auto"/>
              </w:rPr>
              <w:t>115.6</w:t>
            </w:r>
          </w:p>
        </w:tc>
      </w:tr>
      <w:tr>
        <w:trPr>
          <w:trHeight w:val="144"/>
        </w:trPr>
        <w:tc>
          <w:tcPr>
            <w:tcW w:w="41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44"/>
        </w:trPr>
        <w:tc>
          <w:tcPr>
            <w:tcW w:w="4140" w:type="dxa"/>
            <w:vAlign w:val="bottom"/>
          </w:tcPr>
          <w:p>
            <w:pPr>
              <w:ind w:left="80"/>
              <w:spacing w:after="0" w:line="144" w:lineRule="exact"/>
              <w:rPr>
                <w:sz w:val="20"/>
                <w:szCs w:val="20"/>
                <w:color w:val="auto"/>
              </w:rPr>
            </w:pPr>
            <w:r>
              <w:rPr>
                <w:rFonts w:ascii="Arial" w:cs="Arial" w:eastAsia="Arial" w:hAnsi="Arial"/>
                <w:sz w:val="13"/>
                <w:szCs w:val="13"/>
                <w:color w:val="auto"/>
              </w:rPr>
              <w:t>Diluted earnings per share</w:t>
            </w:r>
          </w:p>
        </w:tc>
        <w:tc>
          <w:tcPr>
            <w:tcW w:w="1080" w:type="dxa"/>
            <w:vAlign w:val="bottom"/>
          </w:tcPr>
          <w:p>
            <w:pPr>
              <w:jc w:val="right"/>
              <w:ind w:right="135"/>
              <w:spacing w:after="0" w:line="144" w:lineRule="exact"/>
              <w:rPr>
                <w:sz w:val="20"/>
                <w:szCs w:val="20"/>
                <w:color w:val="auto"/>
              </w:rPr>
            </w:pPr>
            <w:r>
              <w:rPr>
                <w:rFonts w:ascii="Arial" w:cs="Arial" w:eastAsia="Arial" w:hAnsi="Arial"/>
                <w:sz w:val="13"/>
                <w:szCs w:val="13"/>
                <w:b w:val="1"/>
                <w:bCs w:val="1"/>
                <w:color w:val="auto"/>
              </w:rPr>
              <w:t>$</w:t>
            </w:r>
          </w:p>
        </w:tc>
        <w:tc>
          <w:tcPr>
            <w:tcW w:w="1080" w:type="dxa"/>
            <w:vAlign w:val="bottom"/>
          </w:tcPr>
          <w:p>
            <w:pPr>
              <w:jc w:val="right"/>
              <w:ind w:right="75"/>
              <w:spacing w:after="0" w:line="144" w:lineRule="exact"/>
              <w:rPr>
                <w:sz w:val="20"/>
                <w:szCs w:val="20"/>
                <w:color w:val="auto"/>
              </w:rPr>
            </w:pPr>
            <w:r>
              <w:rPr>
                <w:rFonts w:ascii="Arial" w:cs="Arial" w:eastAsia="Arial" w:hAnsi="Arial"/>
                <w:sz w:val="13"/>
                <w:szCs w:val="13"/>
                <w:b w:val="1"/>
                <w:bCs w:val="1"/>
                <w:color w:val="auto"/>
              </w:rPr>
              <w:t>3.08</w:t>
            </w:r>
          </w:p>
        </w:tc>
        <w:tc>
          <w:tcPr>
            <w:tcW w:w="380" w:type="dxa"/>
            <w:vAlign w:val="bottom"/>
          </w:tcPr>
          <w:p>
            <w:pPr>
              <w:jc w:val="right"/>
              <w:ind w:right="135"/>
              <w:spacing w:after="0" w:line="144" w:lineRule="exact"/>
              <w:rPr>
                <w:sz w:val="20"/>
                <w:szCs w:val="20"/>
                <w:color w:val="auto"/>
              </w:rPr>
            </w:pPr>
            <w:r>
              <w:rPr>
                <w:rFonts w:ascii="Arial" w:cs="Arial" w:eastAsia="Arial" w:hAnsi="Arial"/>
                <w:sz w:val="13"/>
                <w:szCs w:val="13"/>
                <w:color w:val="auto"/>
              </w:rPr>
              <w:t>$</w:t>
            </w:r>
          </w:p>
        </w:tc>
        <w:tc>
          <w:tcPr>
            <w:tcW w:w="1060" w:type="dxa"/>
            <w:vAlign w:val="bottom"/>
          </w:tcPr>
          <w:p>
            <w:pPr>
              <w:jc w:val="right"/>
              <w:ind w:right="75"/>
              <w:spacing w:after="0" w:line="144" w:lineRule="exact"/>
              <w:rPr>
                <w:sz w:val="20"/>
                <w:szCs w:val="20"/>
                <w:color w:val="auto"/>
              </w:rPr>
            </w:pPr>
            <w:r>
              <w:rPr>
                <w:rFonts w:ascii="Arial" w:cs="Arial" w:eastAsia="Arial" w:hAnsi="Arial"/>
                <w:sz w:val="13"/>
                <w:szCs w:val="13"/>
                <w:color w:val="auto"/>
              </w:rPr>
              <w:t>4.50</w:t>
            </w:r>
          </w:p>
        </w:tc>
        <w:tc>
          <w:tcPr>
            <w:tcW w:w="400" w:type="dxa"/>
            <w:vAlign w:val="bottom"/>
          </w:tcPr>
          <w:p>
            <w:pPr>
              <w:jc w:val="right"/>
              <w:ind w:right="135"/>
              <w:spacing w:after="0" w:line="144" w:lineRule="exact"/>
              <w:rPr>
                <w:sz w:val="20"/>
                <w:szCs w:val="20"/>
                <w:color w:val="auto"/>
              </w:rPr>
            </w:pPr>
            <w:r>
              <w:rPr>
                <w:rFonts w:ascii="Arial" w:cs="Arial" w:eastAsia="Arial" w:hAnsi="Arial"/>
                <w:sz w:val="13"/>
                <w:szCs w:val="13"/>
                <w:color w:val="auto"/>
              </w:rPr>
              <w:t>$</w:t>
            </w:r>
          </w:p>
        </w:tc>
        <w:tc>
          <w:tcPr>
            <w:tcW w:w="980" w:type="dxa"/>
            <w:vAlign w:val="bottom"/>
          </w:tcPr>
          <w:p>
            <w:pPr>
              <w:jc w:val="right"/>
              <w:spacing w:after="0" w:line="144" w:lineRule="exact"/>
              <w:rPr>
                <w:sz w:val="20"/>
                <w:szCs w:val="20"/>
                <w:color w:val="auto"/>
              </w:rPr>
            </w:pPr>
            <w:r>
              <w:rPr>
                <w:rFonts w:ascii="Arial" w:cs="Arial" w:eastAsia="Arial" w:hAnsi="Arial"/>
                <w:sz w:val="13"/>
                <w:szCs w:val="13"/>
                <w:color w:val="auto"/>
              </w:rPr>
              <w:t>4.66</w:t>
            </w:r>
          </w:p>
        </w:tc>
      </w:tr>
      <w:tr>
        <w:trPr>
          <w:trHeight w:val="144"/>
        </w:trPr>
        <w:tc>
          <w:tcPr>
            <w:tcW w:w="4140" w:type="dxa"/>
            <w:vAlign w:val="bottom"/>
            <w:tcBorders>
              <w:bottom w:val="single" w:sz="8" w:color="auto"/>
            </w:tcBorders>
            <w:shd w:val="clear" w:color="auto" w:fill="CCEEFF"/>
          </w:tcPr>
          <w:p>
            <w:pPr>
              <w:ind w:left="80"/>
              <w:spacing w:after="0" w:line="144" w:lineRule="exact"/>
              <w:rPr>
                <w:sz w:val="20"/>
                <w:szCs w:val="20"/>
                <w:color w:val="auto"/>
              </w:rPr>
            </w:pPr>
            <w:r>
              <w:rPr>
                <w:rFonts w:ascii="Arial" w:cs="Arial" w:eastAsia="Arial" w:hAnsi="Arial"/>
                <w:sz w:val="13"/>
                <w:szCs w:val="13"/>
                <w:color w:val="auto"/>
              </w:rPr>
              <w:t>Weighted-average shares outstanding, assuming dilution</w:t>
            </w:r>
          </w:p>
        </w:tc>
        <w:tc>
          <w:tcPr>
            <w:tcW w:w="108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75"/>
              <w:spacing w:after="0" w:line="144" w:lineRule="exact"/>
              <w:rPr>
                <w:sz w:val="20"/>
                <w:szCs w:val="20"/>
                <w:color w:val="auto"/>
              </w:rPr>
            </w:pPr>
            <w:r>
              <w:rPr>
                <w:rFonts w:ascii="Arial" w:cs="Arial" w:eastAsia="Arial" w:hAnsi="Arial"/>
                <w:sz w:val="13"/>
                <w:szCs w:val="13"/>
                <w:b w:val="1"/>
                <w:bCs w:val="1"/>
                <w:color w:val="auto"/>
              </w:rPr>
              <w:t>105.1</w:t>
            </w:r>
          </w:p>
        </w:tc>
        <w:tc>
          <w:tcPr>
            <w:tcW w:w="38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75"/>
              <w:spacing w:after="0" w:line="144" w:lineRule="exact"/>
              <w:rPr>
                <w:sz w:val="20"/>
                <w:szCs w:val="20"/>
                <w:color w:val="auto"/>
              </w:rPr>
            </w:pPr>
            <w:r>
              <w:rPr>
                <w:rFonts w:ascii="Arial" w:cs="Arial" w:eastAsia="Arial" w:hAnsi="Arial"/>
                <w:sz w:val="13"/>
                <w:szCs w:val="13"/>
                <w:color w:val="auto"/>
              </w:rPr>
              <w:t>109.1</w:t>
            </w:r>
          </w:p>
        </w:tc>
        <w:tc>
          <w:tcPr>
            <w:tcW w:w="40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116.1</w:t>
            </w:r>
          </w:p>
        </w:tc>
      </w:tr>
    </w:tbl>
    <w:p>
      <w:pPr>
        <w:spacing w:after="0" w:line="1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2934335</wp:posOffset>
            </wp:positionH>
            <wp:positionV relativeFrom="page">
              <wp:posOffset>434340</wp:posOffset>
            </wp:positionV>
            <wp:extent cx="1569720" cy="169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569720" cy="16954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3"/>
          <w:szCs w:val="13"/>
          <w:color w:val="auto"/>
        </w:rPr>
        <w:t>See Accompanying Notes to Consolidated Financial Statements.</w:t>
      </w:r>
    </w:p>
    <w:p>
      <w:pPr>
        <w:spacing w:after="0" w:line="302" w:lineRule="exact"/>
        <w:rPr>
          <w:sz w:val="20"/>
          <w:szCs w:val="20"/>
          <w:color w:val="auto"/>
        </w:rPr>
      </w:pPr>
    </w:p>
    <w:p>
      <w:pPr>
        <w:jc w:val="right"/>
        <w:ind w:right="39"/>
        <w:spacing w:after="0"/>
        <w:rPr>
          <w:sz w:val="20"/>
          <w:szCs w:val="20"/>
          <w:color w:val="auto"/>
        </w:rPr>
      </w:pPr>
      <w:r>
        <w:rPr>
          <w:rFonts w:ascii="Arial" w:cs="Arial" w:eastAsia="Arial" w:hAnsi="Arial"/>
          <w:sz w:val="13"/>
          <w:szCs w:val="13"/>
          <w:color w:val="auto"/>
        </w:rPr>
        <w:t>2020 Form 10-K Page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357505</wp:posOffset>
            </wp:positionV>
            <wp:extent cx="5790565" cy="19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90565" cy="19685"/>
                    </a:xfrm>
                    <a:prstGeom prst="rect">
                      <a:avLst/>
                    </a:prstGeom>
                    <a:noFill/>
                  </pic:spPr>
                </pic:pic>
              </a:graphicData>
            </a:graphic>
          </wp:anchor>
        </w:drawing>
      </w:r>
    </w:p>
    <w:p>
      <w:pPr>
        <w:sectPr>
          <w:pgSz w:w="11900" w:h="16838" w:orient="portrait"/>
          <w:cols w:equalWidth="0" w:num="1">
            <w:col w:w="9159"/>
          </w:cols>
          <w:pgMar w:left="1300" w:top="1052" w:right="1440"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72"/>
        </w:trPr>
        <w:tc>
          <w:tcPr>
            <w:tcW w:w="6560" w:type="dxa"/>
            <w:vAlign w:val="bottom"/>
            <w:gridSpan w:val="3"/>
          </w:tcPr>
          <w:p>
            <w:pPr>
              <w:ind w:left="2620"/>
              <w:spacing w:after="0"/>
              <w:rPr>
                <w:sz w:val="20"/>
                <w:szCs w:val="20"/>
                <w:color w:val="auto"/>
              </w:rPr>
            </w:pPr>
            <w:r>
              <w:rPr>
                <w:rFonts w:ascii="Arial" w:cs="Arial" w:eastAsia="Arial" w:hAnsi="Arial"/>
                <w:sz w:val="13"/>
                <w:szCs w:val="13"/>
                <w:b w:val="1"/>
                <w:bCs w:val="1"/>
                <w:color w:val="auto"/>
              </w:rPr>
              <w:t>CONSOLIDATED STATEMENTS OF COMPREHENSIVE INCOME</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1"/>
        </w:trPr>
        <w:tc>
          <w:tcPr>
            <w:tcW w:w="5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 in millions)</w:t>
            </w:r>
          </w:p>
        </w:tc>
        <w:tc>
          <w:tcPr>
            <w:tcW w:w="3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515"/>
              <w:spacing w:after="0"/>
              <w:rPr>
                <w:sz w:val="20"/>
                <w:szCs w:val="20"/>
                <w:color w:val="auto"/>
              </w:rPr>
            </w:pPr>
            <w:r>
              <w:rPr>
                <w:rFonts w:ascii="Arial" w:cs="Arial" w:eastAsia="Arial" w:hAnsi="Arial"/>
                <w:sz w:val="13"/>
                <w:szCs w:val="13"/>
                <w:b w:val="1"/>
                <w:bCs w:val="1"/>
                <w:color w:val="auto"/>
              </w:rPr>
              <w:t>2020</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55"/>
              <w:spacing w:after="0"/>
              <w:rPr>
                <w:sz w:val="20"/>
                <w:szCs w:val="20"/>
                <w:color w:val="auto"/>
              </w:rPr>
            </w:pPr>
            <w:r>
              <w:rPr>
                <w:rFonts w:ascii="Arial" w:cs="Arial" w:eastAsia="Arial" w:hAnsi="Arial"/>
                <w:sz w:val="13"/>
                <w:szCs w:val="13"/>
                <w:color w:val="auto"/>
              </w:rPr>
              <w:t>2019</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75"/>
              <w:spacing w:after="0"/>
              <w:rPr>
                <w:sz w:val="20"/>
                <w:szCs w:val="20"/>
                <w:color w:val="auto"/>
              </w:rPr>
            </w:pPr>
            <w:r>
              <w:rPr>
                <w:rFonts w:ascii="Arial" w:cs="Arial" w:eastAsia="Arial" w:hAnsi="Arial"/>
                <w:sz w:val="13"/>
                <w:szCs w:val="13"/>
                <w:color w:val="auto"/>
              </w:rPr>
              <w:t>2018</w:t>
            </w:r>
          </w:p>
        </w:tc>
        <w:tc>
          <w:tcPr>
            <w:tcW w:w="0" w:type="dxa"/>
            <w:vAlign w:val="bottom"/>
          </w:tcPr>
          <w:p>
            <w:pPr>
              <w:spacing w:after="0"/>
              <w:rPr>
                <w:sz w:val="1"/>
                <w:szCs w:val="1"/>
                <w:color w:val="auto"/>
              </w:rPr>
            </w:pPr>
          </w:p>
        </w:tc>
      </w:tr>
      <w:tr>
        <w:trPr>
          <w:trHeight w:val="134"/>
        </w:trPr>
        <w:tc>
          <w:tcPr>
            <w:tcW w:w="5160" w:type="dxa"/>
            <w:vAlign w:val="bottom"/>
            <w:shd w:val="clear" w:color="auto" w:fill="CCEEFF"/>
          </w:tcPr>
          <w:p>
            <w:pPr>
              <w:spacing w:after="0" w:line="134" w:lineRule="exact"/>
              <w:rPr>
                <w:sz w:val="20"/>
                <w:szCs w:val="20"/>
                <w:color w:val="auto"/>
              </w:rPr>
            </w:pPr>
            <w:r>
              <w:rPr>
                <w:rFonts w:ascii="Arial" w:cs="Arial" w:eastAsia="Arial" w:hAnsi="Arial"/>
                <w:sz w:val="13"/>
                <w:szCs w:val="13"/>
                <w:b w:val="1"/>
                <w:bCs w:val="1"/>
                <w:color w:val="auto"/>
              </w:rPr>
              <w:t>Net income</w:t>
            </w:r>
          </w:p>
        </w:tc>
        <w:tc>
          <w:tcPr>
            <w:tcW w:w="360" w:type="dxa"/>
            <w:vAlign w:val="bottom"/>
            <w:shd w:val="clear" w:color="auto" w:fill="CCEEFF"/>
          </w:tcPr>
          <w:p>
            <w:pPr>
              <w:jc w:val="right"/>
              <w:ind w:right="115"/>
              <w:spacing w:after="0" w:line="134" w:lineRule="exact"/>
              <w:rPr>
                <w:sz w:val="20"/>
                <w:szCs w:val="20"/>
                <w:color w:val="auto"/>
              </w:rPr>
            </w:pPr>
            <w:r>
              <w:rPr>
                <w:rFonts w:ascii="Arial" w:cs="Arial" w:eastAsia="Arial" w:hAnsi="Arial"/>
                <w:sz w:val="13"/>
                <w:szCs w:val="13"/>
                <w:b w:val="1"/>
                <w:bCs w:val="1"/>
                <w:color w:val="auto"/>
              </w:rPr>
              <w:t>$</w:t>
            </w:r>
          </w:p>
        </w:tc>
        <w:tc>
          <w:tcPr>
            <w:tcW w:w="1040" w:type="dxa"/>
            <w:vAlign w:val="bottom"/>
            <w:shd w:val="clear" w:color="auto" w:fill="CCEEFF"/>
          </w:tcPr>
          <w:p>
            <w:pPr>
              <w:jc w:val="right"/>
              <w:ind w:right="115"/>
              <w:spacing w:after="0" w:line="134" w:lineRule="exact"/>
              <w:rPr>
                <w:sz w:val="20"/>
                <w:szCs w:val="20"/>
                <w:color w:val="auto"/>
              </w:rPr>
            </w:pPr>
            <w:r>
              <w:rPr>
                <w:rFonts w:ascii="Arial" w:cs="Arial" w:eastAsia="Arial" w:hAnsi="Arial"/>
                <w:sz w:val="13"/>
                <w:szCs w:val="13"/>
                <w:b w:val="1"/>
                <w:bCs w:val="1"/>
                <w:color w:val="auto"/>
              </w:rPr>
              <w:t>323</w:t>
            </w:r>
          </w:p>
        </w:tc>
        <w:tc>
          <w:tcPr>
            <w:tcW w:w="300" w:type="dxa"/>
            <w:vAlign w:val="bottom"/>
            <w:shd w:val="clear" w:color="auto" w:fill="CCEEFF"/>
          </w:tcPr>
          <w:p>
            <w:pPr>
              <w:jc w:val="right"/>
              <w:ind w:right="115"/>
              <w:spacing w:after="0" w:line="134" w:lineRule="exact"/>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75"/>
              <w:spacing w:after="0" w:line="134" w:lineRule="exact"/>
              <w:rPr>
                <w:sz w:val="20"/>
                <w:szCs w:val="20"/>
                <w:color w:val="auto"/>
              </w:rPr>
            </w:pPr>
            <w:r>
              <w:rPr>
                <w:rFonts w:ascii="Arial" w:cs="Arial" w:eastAsia="Arial" w:hAnsi="Arial"/>
                <w:sz w:val="13"/>
                <w:szCs w:val="13"/>
                <w:color w:val="auto"/>
              </w:rPr>
              <w:t>491</w:t>
            </w:r>
          </w:p>
        </w:tc>
        <w:tc>
          <w:tcPr>
            <w:tcW w:w="360" w:type="dxa"/>
            <w:vAlign w:val="bottom"/>
            <w:shd w:val="clear" w:color="auto" w:fill="CCEEFF"/>
          </w:tcPr>
          <w:p>
            <w:pPr>
              <w:jc w:val="right"/>
              <w:ind w:right="115"/>
              <w:spacing w:after="0" w:line="134" w:lineRule="exact"/>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541</w:t>
            </w:r>
          </w:p>
        </w:tc>
        <w:tc>
          <w:tcPr>
            <w:tcW w:w="0" w:type="dxa"/>
            <w:vAlign w:val="bottom"/>
          </w:tcPr>
          <w:p>
            <w:pPr>
              <w:spacing w:after="0"/>
              <w:rPr>
                <w:sz w:val="1"/>
                <w:szCs w:val="1"/>
                <w:color w:val="auto"/>
              </w:rPr>
            </w:pPr>
          </w:p>
        </w:tc>
      </w:tr>
      <w:tr>
        <w:trPr>
          <w:trHeight w:val="144"/>
        </w:trPr>
        <w:tc>
          <w:tcPr>
            <w:tcW w:w="5160" w:type="dxa"/>
            <w:vAlign w:val="bottom"/>
          </w:tcPr>
          <w:p>
            <w:pPr>
              <w:spacing w:after="0" w:line="144" w:lineRule="exact"/>
              <w:rPr>
                <w:sz w:val="20"/>
                <w:szCs w:val="20"/>
                <w:color w:val="auto"/>
              </w:rPr>
            </w:pPr>
            <w:r>
              <w:rPr>
                <w:rFonts w:ascii="Arial" w:cs="Arial" w:eastAsia="Arial" w:hAnsi="Arial"/>
                <w:sz w:val="13"/>
                <w:szCs w:val="13"/>
                <w:color w:val="auto"/>
              </w:rPr>
              <w:t>Other comprehensive income, net of income tax</w:t>
            </w: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60" w:type="dxa"/>
            <w:vAlign w:val="bottom"/>
          </w:tcPr>
          <w:p>
            <w:pPr>
              <w:spacing w:after="0" w:line="144" w:lineRule="exact"/>
              <w:rPr>
                <w:sz w:val="20"/>
                <w:szCs w:val="20"/>
                <w:color w:val="auto"/>
              </w:rPr>
            </w:pPr>
            <w:r>
              <w:rPr>
                <w:rFonts w:ascii="Arial" w:cs="Arial" w:eastAsia="Arial" w:hAnsi="Arial"/>
                <w:sz w:val="13"/>
                <w:szCs w:val="13"/>
                <w:i w:val="1"/>
                <w:iCs w:val="1"/>
                <w:color w:val="auto"/>
              </w:rPr>
              <w:t>Foreign currency translation adjustment:</w:t>
            </w: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160" w:type="dxa"/>
            <w:vAlign w:val="bottom"/>
            <w:shd w:val="clear" w:color="auto" w:fill="CCEEFF"/>
          </w:tcPr>
          <w:p>
            <w:pPr>
              <w:ind w:left="80"/>
              <w:spacing w:after="0" w:line="139" w:lineRule="exact"/>
              <w:rPr>
                <w:sz w:val="20"/>
                <w:szCs w:val="20"/>
                <w:color w:val="auto"/>
              </w:rPr>
            </w:pPr>
            <w:r>
              <w:rPr>
                <w:rFonts w:ascii="Arial" w:cs="Arial" w:eastAsia="Arial" w:hAnsi="Arial"/>
                <w:sz w:val="13"/>
                <w:szCs w:val="13"/>
                <w:color w:val="auto"/>
              </w:rPr>
              <w:t>Translation adjustment arising during the period, net of income tax expense (benefit) of</w:t>
            </w:r>
          </w:p>
        </w:tc>
        <w:tc>
          <w:tcPr>
            <w:tcW w:w="36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ind w:right="115"/>
              <w:spacing w:after="0"/>
              <w:rPr>
                <w:sz w:val="20"/>
                <w:szCs w:val="20"/>
                <w:color w:val="auto"/>
              </w:rPr>
            </w:pPr>
            <w:r>
              <w:rPr>
                <w:rFonts w:ascii="Arial" w:cs="Arial" w:eastAsia="Arial" w:hAnsi="Arial"/>
                <w:sz w:val="13"/>
                <w:szCs w:val="13"/>
                <w:b w:val="1"/>
                <w:bCs w:val="1"/>
                <w:color w:val="auto"/>
              </w:rPr>
              <w:t>40</w:t>
            </w: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shd w:val="clear" w:color="auto" w:fill="CCEEFF"/>
          </w:tcPr>
          <w:p>
            <w:pPr>
              <w:ind w:left="220"/>
              <w:spacing w:after="0" w:line="149" w:lineRule="exact"/>
              <w:rPr>
                <w:sz w:val="20"/>
                <w:szCs w:val="20"/>
                <w:color w:val="auto"/>
              </w:rPr>
            </w:pPr>
            <w:r>
              <w:rPr>
                <w:rFonts w:ascii="Arial" w:cs="Arial" w:eastAsia="Arial" w:hAnsi="Arial"/>
                <w:sz w:val="13"/>
                <w:szCs w:val="13"/>
                <w:color w:val="auto"/>
              </w:rPr>
              <w:t>$3, $(1), and $(9), respectively</w:t>
            </w:r>
          </w:p>
        </w:tc>
        <w:tc>
          <w:tcPr>
            <w:tcW w:w="360" w:type="dxa"/>
            <w:vAlign w:val="bottom"/>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35"/>
              <w:spacing w:after="0" w:line="149" w:lineRule="exact"/>
              <w:rPr>
                <w:sz w:val="20"/>
                <w:szCs w:val="20"/>
                <w:color w:val="auto"/>
              </w:rPr>
            </w:pPr>
            <w:r>
              <w:rPr>
                <w:rFonts w:ascii="Arial" w:cs="Arial" w:eastAsia="Arial" w:hAnsi="Arial"/>
                <w:sz w:val="13"/>
                <w:szCs w:val="13"/>
                <w:color w:val="auto"/>
              </w:rPr>
              <w:t>(20)</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rPr>
              <w:t>(75)</w:t>
            </w:r>
          </w:p>
        </w:tc>
        <w:tc>
          <w:tcPr>
            <w:tcW w:w="0" w:type="dxa"/>
            <w:vAlign w:val="bottom"/>
          </w:tcPr>
          <w:p>
            <w:pPr>
              <w:spacing w:after="0"/>
              <w:rPr>
                <w:sz w:val="1"/>
                <w:szCs w:val="1"/>
                <w:color w:val="auto"/>
              </w:rPr>
            </w:pPr>
          </w:p>
        </w:tc>
      </w:tr>
      <w:tr>
        <w:trPr>
          <w:trHeight w:val="144"/>
        </w:trPr>
        <w:tc>
          <w:tcPr>
            <w:tcW w:w="5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60" w:type="dxa"/>
            <w:vAlign w:val="bottom"/>
            <w:shd w:val="clear" w:color="auto" w:fill="CCEEFF"/>
          </w:tcPr>
          <w:p>
            <w:pPr>
              <w:spacing w:after="0" w:line="144" w:lineRule="exact"/>
              <w:rPr>
                <w:sz w:val="20"/>
                <w:szCs w:val="20"/>
                <w:color w:val="auto"/>
              </w:rPr>
            </w:pPr>
            <w:r>
              <w:rPr>
                <w:rFonts w:ascii="Arial" w:cs="Arial" w:eastAsia="Arial" w:hAnsi="Arial"/>
                <w:sz w:val="13"/>
                <w:szCs w:val="13"/>
                <w:i w:val="1"/>
                <w:iCs w:val="1"/>
                <w:color w:val="auto"/>
              </w:rPr>
              <w:t>Cash flow hedges:</w:t>
            </w:r>
          </w:p>
        </w:tc>
        <w:tc>
          <w:tcPr>
            <w:tcW w:w="3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160" w:type="dxa"/>
            <w:vAlign w:val="bottom"/>
          </w:tcPr>
          <w:p>
            <w:pPr>
              <w:ind w:left="80"/>
              <w:spacing w:after="0" w:line="139" w:lineRule="exact"/>
              <w:rPr>
                <w:sz w:val="20"/>
                <w:szCs w:val="20"/>
                <w:color w:val="auto"/>
              </w:rPr>
            </w:pPr>
            <w:r>
              <w:rPr>
                <w:rFonts w:ascii="Arial" w:cs="Arial" w:eastAsia="Arial" w:hAnsi="Arial"/>
                <w:sz w:val="13"/>
                <w:szCs w:val="13"/>
                <w:color w:val="auto"/>
              </w:rPr>
              <w:t>Change in fair value of derivatives, net of income tax benefit of $-, $1, and $-,</w:t>
            </w:r>
          </w:p>
        </w:tc>
        <w:tc>
          <w:tcPr>
            <w:tcW w:w="360" w:type="dxa"/>
            <w:vAlign w:val="bottom"/>
          </w:tcPr>
          <w:p>
            <w:pPr>
              <w:spacing w:after="0"/>
              <w:rPr>
                <w:sz w:val="12"/>
                <w:szCs w:val="12"/>
                <w:color w:val="auto"/>
              </w:rPr>
            </w:pPr>
          </w:p>
        </w:tc>
        <w:tc>
          <w:tcPr>
            <w:tcW w:w="1040" w:type="dxa"/>
            <w:vAlign w:val="bottom"/>
            <w:vMerge w:val="restart"/>
          </w:tcPr>
          <w:p>
            <w:pPr>
              <w:jc w:val="right"/>
              <w:ind w:right="115"/>
              <w:spacing w:after="0"/>
              <w:rPr>
                <w:sz w:val="20"/>
                <w:szCs w:val="20"/>
                <w:color w:val="auto"/>
              </w:rPr>
            </w:pPr>
            <w:r>
              <w:rPr>
                <w:rFonts w:ascii="Arial" w:cs="Arial" w:eastAsia="Arial" w:hAnsi="Arial"/>
                <w:sz w:val="13"/>
                <w:szCs w:val="13"/>
                <w:b w:val="1"/>
                <w:bCs w:val="1"/>
                <w:color w:val="auto"/>
              </w:rPr>
              <w:t>2</w:t>
            </w: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tcPr>
          <w:p>
            <w:pPr>
              <w:ind w:left="220"/>
              <w:spacing w:after="0" w:line="149" w:lineRule="exact"/>
              <w:rPr>
                <w:sz w:val="20"/>
                <w:szCs w:val="20"/>
                <w:color w:val="auto"/>
              </w:rPr>
            </w:pPr>
            <w:r>
              <w:rPr>
                <w:rFonts w:ascii="Arial" w:cs="Arial" w:eastAsia="Arial" w:hAnsi="Arial"/>
                <w:sz w:val="13"/>
                <w:szCs w:val="13"/>
                <w:color w:val="auto"/>
              </w:rPr>
              <w:t>respectively</w:t>
            </w:r>
          </w:p>
        </w:tc>
        <w:tc>
          <w:tcPr>
            <w:tcW w:w="3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35"/>
              <w:spacing w:after="0" w:line="149" w:lineRule="exact"/>
              <w:rPr>
                <w:sz w:val="20"/>
                <w:szCs w:val="20"/>
                <w:color w:val="auto"/>
              </w:rPr>
            </w:pPr>
            <w:r>
              <w:rPr>
                <w:rFonts w:ascii="Arial" w:cs="Arial" w:eastAsia="Arial" w:hAnsi="Arial"/>
                <w:sz w:val="13"/>
                <w:szCs w:val="13"/>
                <w:color w:val="auto"/>
              </w:rPr>
              <w:t>(3)</w:t>
            </w:r>
          </w:p>
        </w:tc>
        <w:tc>
          <w:tcPr>
            <w:tcW w:w="3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5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160" w:type="dxa"/>
            <w:vAlign w:val="bottom"/>
          </w:tcPr>
          <w:p>
            <w:pPr>
              <w:spacing w:after="0" w:line="144" w:lineRule="exact"/>
              <w:rPr>
                <w:sz w:val="20"/>
                <w:szCs w:val="20"/>
                <w:color w:val="auto"/>
              </w:rPr>
            </w:pPr>
            <w:r>
              <w:rPr>
                <w:rFonts w:ascii="Arial" w:cs="Arial" w:eastAsia="Arial" w:hAnsi="Arial"/>
                <w:sz w:val="13"/>
                <w:szCs w:val="13"/>
                <w:i w:val="1"/>
                <w:iCs w:val="1"/>
                <w:color w:val="auto"/>
              </w:rPr>
              <w:t>Pension and postretirement adjustments:</w:t>
            </w: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160" w:type="dxa"/>
            <w:vAlign w:val="bottom"/>
            <w:shd w:val="clear" w:color="auto" w:fill="CCEEFF"/>
          </w:tcPr>
          <w:p>
            <w:pPr>
              <w:ind w:left="80"/>
              <w:spacing w:after="0" w:line="139" w:lineRule="exact"/>
              <w:rPr>
                <w:sz w:val="20"/>
                <w:szCs w:val="20"/>
                <w:color w:val="auto"/>
              </w:rPr>
            </w:pPr>
            <w:r>
              <w:rPr>
                <w:rFonts w:ascii="Arial" w:cs="Arial" w:eastAsia="Arial" w:hAnsi="Arial"/>
                <w:sz w:val="13"/>
                <w:szCs w:val="13"/>
                <w:color w:val="auto"/>
              </w:rPr>
              <w:t>Net actuarial gain (loss) and foreign currency fluctuations arising during the year, net of</w:t>
            </w:r>
          </w:p>
        </w:tc>
        <w:tc>
          <w:tcPr>
            <w:tcW w:w="36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ind w:right="115"/>
              <w:spacing w:after="0"/>
              <w:rPr>
                <w:sz w:val="20"/>
                <w:szCs w:val="20"/>
                <w:color w:val="auto"/>
              </w:rPr>
            </w:pPr>
            <w:r>
              <w:rPr>
                <w:rFonts w:ascii="Arial" w:cs="Arial" w:eastAsia="Arial" w:hAnsi="Arial"/>
                <w:sz w:val="13"/>
                <w:szCs w:val="13"/>
                <w:b w:val="1"/>
                <w:bCs w:val="1"/>
                <w:color w:val="auto"/>
              </w:rPr>
              <w:t>13</w:t>
            </w: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shd w:val="clear" w:color="auto" w:fill="CCEEFF"/>
          </w:tcPr>
          <w:p>
            <w:pPr>
              <w:ind w:left="220"/>
              <w:spacing w:after="0" w:line="149" w:lineRule="exact"/>
              <w:rPr>
                <w:sz w:val="20"/>
                <w:szCs w:val="20"/>
                <w:color w:val="auto"/>
              </w:rPr>
            </w:pPr>
            <w:r>
              <w:rPr>
                <w:rFonts w:ascii="Arial" w:cs="Arial" w:eastAsia="Arial" w:hAnsi="Arial"/>
                <w:sz w:val="13"/>
                <w:szCs w:val="13"/>
                <w:color w:val="auto"/>
              </w:rPr>
              <w:t>income tax expense (benefit) of $4, $(3), and $(8), respectively</w:t>
            </w:r>
          </w:p>
        </w:tc>
        <w:tc>
          <w:tcPr>
            <w:tcW w:w="360" w:type="dxa"/>
            <w:vAlign w:val="bottom"/>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35"/>
              <w:spacing w:after="0" w:line="149" w:lineRule="exact"/>
              <w:rPr>
                <w:sz w:val="20"/>
                <w:szCs w:val="20"/>
                <w:color w:val="auto"/>
              </w:rPr>
            </w:pPr>
            <w:r>
              <w:rPr>
                <w:rFonts w:ascii="Arial" w:cs="Arial" w:eastAsia="Arial" w:hAnsi="Arial"/>
                <w:sz w:val="13"/>
                <w:szCs w:val="13"/>
                <w:color w:val="auto"/>
              </w:rPr>
              <w:t>(9)</w:t>
            </w: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144"/>
        </w:trPr>
        <w:tc>
          <w:tcPr>
            <w:tcW w:w="5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160" w:type="dxa"/>
            <w:vAlign w:val="bottom"/>
            <w:shd w:val="clear" w:color="auto" w:fill="CCEEFF"/>
          </w:tcPr>
          <w:p>
            <w:pPr>
              <w:ind w:left="80"/>
              <w:spacing w:after="0" w:line="139" w:lineRule="exact"/>
              <w:rPr>
                <w:sz w:val="20"/>
                <w:szCs w:val="20"/>
                <w:color w:val="auto"/>
              </w:rPr>
            </w:pPr>
            <w:r>
              <w:rPr>
                <w:rFonts w:ascii="Arial" w:cs="Arial" w:eastAsia="Arial" w:hAnsi="Arial"/>
                <w:sz w:val="13"/>
                <w:szCs w:val="13"/>
                <w:color w:val="auto"/>
              </w:rPr>
              <w:t>Amortization of net actuarial gain/loss and prior service cost included in net periodic</w:t>
            </w:r>
          </w:p>
        </w:tc>
        <w:tc>
          <w:tcPr>
            <w:tcW w:w="36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ind w:right="115"/>
              <w:spacing w:after="0"/>
              <w:rPr>
                <w:sz w:val="20"/>
                <w:szCs w:val="20"/>
                <w:color w:val="auto"/>
              </w:rPr>
            </w:pPr>
            <w:r>
              <w:rPr>
                <w:rFonts w:ascii="Arial" w:cs="Arial" w:eastAsia="Arial" w:hAnsi="Arial"/>
                <w:sz w:val="13"/>
                <w:szCs w:val="13"/>
                <w:b w:val="1"/>
                <w:bCs w:val="1"/>
                <w:color w:val="auto"/>
              </w:rPr>
              <w:t>8</w:t>
            </w: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60" w:type="dxa"/>
            <w:vAlign w:val="bottom"/>
            <w:tcBorders>
              <w:bottom w:val="single" w:sz="8" w:color="auto"/>
            </w:tcBorders>
            <w:shd w:val="clear" w:color="auto" w:fill="CCEEFF"/>
          </w:tcPr>
          <w:p>
            <w:pPr>
              <w:ind w:left="220"/>
              <w:spacing w:after="0" w:line="149" w:lineRule="exact"/>
              <w:rPr>
                <w:sz w:val="20"/>
                <w:szCs w:val="20"/>
                <w:color w:val="auto"/>
              </w:rPr>
            </w:pPr>
            <w:r>
              <w:rPr>
                <w:rFonts w:ascii="Arial" w:cs="Arial" w:eastAsia="Arial" w:hAnsi="Arial"/>
                <w:sz w:val="13"/>
                <w:szCs w:val="13"/>
                <w:color w:val="auto"/>
              </w:rPr>
              <w:t>benefit costs, net of income tax expense of $3, $3, and $3, respectively</w:t>
            </w:r>
          </w:p>
        </w:tc>
        <w:tc>
          <w:tcPr>
            <w:tcW w:w="36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vMerge w:val="continue"/>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ind w:right="75"/>
              <w:spacing w:after="0" w:line="149" w:lineRule="exact"/>
              <w:rPr>
                <w:sz w:val="20"/>
                <w:szCs w:val="20"/>
                <w:color w:val="auto"/>
              </w:rPr>
            </w:pPr>
            <w:r>
              <w:rPr>
                <w:rFonts w:ascii="Arial" w:cs="Arial" w:eastAsia="Arial" w:hAnsi="Arial"/>
                <w:sz w:val="13"/>
                <w:szCs w:val="13"/>
                <w:color w:val="auto"/>
              </w:rPr>
              <w:t>8</w:t>
            </w:r>
          </w:p>
        </w:tc>
        <w:tc>
          <w:tcPr>
            <w:tcW w:w="36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34"/>
        </w:trPr>
        <w:tc>
          <w:tcPr>
            <w:tcW w:w="5160" w:type="dxa"/>
            <w:vAlign w:val="bottom"/>
            <w:tcBorders>
              <w:bottom w:val="single" w:sz="8" w:color="auto"/>
            </w:tcBorders>
          </w:tcPr>
          <w:p>
            <w:pPr>
              <w:spacing w:after="0" w:line="134" w:lineRule="exact"/>
              <w:rPr>
                <w:sz w:val="20"/>
                <w:szCs w:val="20"/>
                <w:color w:val="auto"/>
              </w:rPr>
            </w:pPr>
            <w:r>
              <w:rPr>
                <w:rFonts w:ascii="Arial" w:cs="Arial" w:eastAsia="Arial" w:hAnsi="Arial"/>
                <w:sz w:val="13"/>
                <w:szCs w:val="13"/>
                <w:b w:val="1"/>
                <w:bCs w:val="1"/>
                <w:color w:val="auto"/>
              </w:rPr>
              <w:t>Comprehensive income</w:t>
            </w:r>
          </w:p>
        </w:tc>
        <w:tc>
          <w:tcPr>
            <w:tcW w:w="360" w:type="dxa"/>
            <w:vAlign w:val="bottom"/>
            <w:tcBorders>
              <w:bottom w:val="single" w:sz="8" w:color="auto"/>
            </w:tcBorders>
          </w:tcPr>
          <w:p>
            <w:pPr>
              <w:jc w:val="right"/>
              <w:ind w:right="115"/>
              <w:spacing w:after="0" w:line="134" w:lineRule="exact"/>
              <w:rPr>
                <w:sz w:val="20"/>
                <w:szCs w:val="20"/>
                <w:color w:val="auto"/>
              </w:rPr>
            </w:pPr>
            <w:r>
              <w:rPr>
                <w:rFonts w:ascii="Arial" w:cs="Arial" w:eastAsia="Arial" w:hAnsi="Arial"/>
                <w:sz w:val="13"/>
                <w:szCs w:val="13"/>
                <w:b w:val="1"/>
                <w:bCs w:val="1"/>
                <w:color w:val="auto"/>
              </w:rPr>
              <w:t>$</w:t>
            </w:r>
          </w:p>
        </w:tc>
        <w:tc>
          <w:tcPr>
            <w:tcW w:w="1040" w:type="dxa"/>
            <w:vAlign w:val="bottom"/>
            <w:tcBorders>
              <w:bottom w:val="single" w:sz="8" w:color="auto"/>
            </w:tcBorders>
          </w:tcPr>
          <w:p>
            <w:pPr>
              <w:jc w:val="right"/>
              <w:ind w:right="115"/>
              <w:spacing w:after="0" w:line="134" w:lineRule="exact"/>
              <w:rPr>
                <w:sz w:val="20"/>
                <w:szCs w:val="20"/>
                <w:color w:val="auto"/>
              </w:rPr>
            </w:pPr>
            <w:r>
              <w:rPr>
                <w:rFonts w:ascii="Arial" w:cs="Arial" w:eastAsia="Arial" w:hAnsi="Arial"/>
                <w:sz w:val="13"/>
                <w:szCs w:val="13"/>
                <w:b w:val="1"/>
                <w:bCs w:val="1"/>
                <w:color w:val="auto"/>
              </w:rPr>
              <w:t>386</w:t>
            </w:r>
          </w:p>
        </w:tc>
        <w:tc>
          <w:tcPr>
            <w:tcW w:w="300" w:type="dxa"/>
            <w:vAlign w:val="bottom"/>
            <w:tcBorders>
              <w:bottom w:val="single" w:sz="8" w:color="auto"/>
            </w:tcBorders>
          </w:tcPr>
          <w:p>
            <w:pPr>
              <w:jc w:val="right"/>
              <w:ind w:right="115"/>
              <w:spacing w:after="0" w:line="134"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ind w:right="75"/>
              <w:spacing w:after="0" w:line="134" w:lineRule="exact"/>
              <w:rPr>
                <w:sz w:val="20"/>
                <w:szCs w:val="20"/>
                <w:color w:val="auto"/>
              </w:rPr>
            </w:pPr>
            <w:r>
              <w:rPr>
                <w:rFonts w:ascii="Arial" w:cs="Arial" w:eastAsia="Arial" w:hAnsi="Arial"/>
                <w:sz w:val="13"/>
                <w:szCs w:val="13"/>
                <w:color w:val="auto"/>
              </w:rPr>
              <w:t>467</w:t>
            </w:r>
          </w:p>
        </w:tc>
        <w:tc>
          <w:tcPr>
            <w:tcW w:w="360" w:type="dxa"/>
            <w:vAlign w:val="bottom"/>
            <w:tcBorders>
              <w:bottom w:val="single" w:sz="8" w:color="auto"/>
            </w:tcBorders>
          </w:tcPr>
          <w:p>
            <w:pPr>
              <w:jc w:val="right"/>
              <w:ind w:right="115"/>
              <w:spacing w:after="0" w:line="134" w:lineRule="exact"/>
              <w:rPr>
                <w:sz w:val="20"/>
                <w:szCs w:val="20"/>
                <w:color w:val="auto"/>
              </w:rPr>
            </w:pPr>
            <w:r>
              <w:rPr>
                <w:rFonts w:ascii="Arial" w:cs="Arial" w:eastAsia="Arial" w:hAnsi="Arial"/>
                <w:sz w:val="13"/>
                <w:szCs w:val="13"/>
                <w:color w:val="auto"/>
              </w:rPr>
              <w:t>$</w:t>
            </w:r>
          </w:p>
        </w:tc>
        <w:tc>
          <w:tcPr>
            <w:tcW w:w="9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450</w:t>
            </w:r>
          </w:p>
        </w:tc>
        <w:tc>
          <w:tcPr>
            <w:tcW w:w="0" w:type="dxa"/>
            <w:vAlign w:val="bottom"/>
          </w:tcPr>
          <w:p>
            <w:pPr>
              <w:spacing w:after="0"/>
              <w:rPr>
                <w:sz w:val="1"/>
                <w:szCs w:val="1"/>
                <w:color w:val="auto"/>
              </w:rPr>
            </w:pPr>
          </w:p>
        </w:tc>
      </w:tr>
      <w:tr>
        <w:trPr>
          <w:trHeight w:val="20"/>
        </w:trPr>
        <w:tc>
          <w:tcPr>
            <w:tcW w:w="5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2934335</wp:posOffset>
            </wp:positionH>
            <wp:positionV relativeFrom="page">
              <wp:posOffset>434340</wp:posOffset>
            </wp:positionV>
            <wp:extent cx="1569720" cy="169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1569720" cy="16954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3"/>
          <w:szCs w:val="13"/>
          <w:color w:val="auto"/>
        </w:rPr>
        <w:t>See Accompanying Notes to Consolidated Financial Statements.</w:t>
      </w:r>
    </w:p>
    <w:p>
      <w:pPr>
        <w:spacing w:after="0" w:line="302" w:lineRule="exact"/>
        <w:rPr>
          <w:sz w:val="20"/>
          <w:szCs w:val="20"/>
          <w:color w:val="auto"/>
        </w:rPr>
      </w:pPr>
    </w:p>
    <w:p>
      <w:pPr>
        <w:ind w:left="7660"/>
        <w:spacing w:after="0"/>
        <w:rPr>
          <w:sz w:val="20"/>
          <w:szCs w:val="20"/>
          <w:color w:val="auto"/>
        </w:rPr>
      </w:pPr>
      <w:r>
        <w:rPr>
          <w:rFonts w:ascii="Arial" w:cs="Arial" w:eastAsia="Arial" w:hAnsi="Arial"/>
          <w:sz w:val="12"/>
          <w:szCs w:val="12"/>
          <w:color w:val="auto"/>
        </w:rPr>
        <w:t>2020 Form 10-K 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365125</wp:posOffset>
            </wp:positionV>
            <wp:extent cx="5790565" cy="196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90565" cy="19685"/>
                    </a:xfrm>
                    <a:prstGeom prst="rect">
                      <a:avLst/>
                    </a:prstGeom>
                    <a:noFill/>
                  </pic:spPr>
                </pic:pic>
              </a:graphicData>
            </a:graphic>
          </wp:anchor>
        </w:drawing>
      </w:r>
    </w:p>
    <w:p>
      <w:pPr>
        <w:sectPr>
          <w:pgSz w:w="11900" w:h="16838" w:orient="portrait"/>
          <w:cols w:equalWidth="0" w:num="1">
            <w:col w:w="9159"/>
          </w:cols>
          <w:pgMar w:left="1300" w:top="1052" w:right="1440"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72"/>
        </w:trPr>
        <w:tc>
          <w:tcPr>
            <w:tcW w:w="3380" w:type="dxa"/>
            <w:vAlign w:val="bottom"/>
          </w:tcPr>
          <w:p>
            <w:pPr>
              <w:spacing w:after="0"/>
              <w:rPr>
                <w:sz w:val="14"/>
                <w:szCs w:val="14"/>
                <w:color w:val="auto"/>
              </w:rPr>
            </w:pPr>
          </w:p>
        </w:tc>
        <w:tc>
          <w:tcPr>
            <w:tcW w:w="2420" w:type="dxa"/>
            <w:vAlign w:val="bottom"/>
          </w:tcPr>
          <w:p>
            <w:pPr>
              <w:jc w:val="right"/>
              <w:ind w:right="55"/>
              <w:spacing w:after="0"/>
              <w:rPr>
                <w:sz w:val="20"/>
                <w:szCs w:val="20"/>
                <w:color w:val="auto"/>
              </w:rPr>
            </w:pPr>
            <w:r>
              <w:rPr>
                <w:rFonts w:ascii="Arial" w:cs="Arial" w:eastAsia="Arial" w:hAnsi="Arial"/>
                <w:sz w:val="13"/>
                <w:szCs w:val="13"/>
                <w:b w:val="1"/>
                <w:bCs w:val="1"/>
                <w:color w:val="auto"/>
              </w:rPr>
              <w:t>CONSOLIDATED BALANCE SHEETS</w:t>
            </w:r>
          </w:p>
        </w:tc>
        <w:tc>
          <w:tcPr>
            <w:tcW w:w="1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434"/>
        </w:trPr>
        <w:tc>
          <w:tcPr>
            <w:tcW w:w="33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60" w:type="dxa"/>
            <w:vAlign w:val="bottom"/>
          </w:tcPr>
          <w:p>
            <w:pPr>
              <w:jc w:val="right"/>
              <w:ind w:right="575"/>
              <w:spacing w:after="0"/>
              <w:rPr>
                <w:sz w:val="20"/>
                <w:szCs w:val="20"/>
                <w:color w:val="auto"/>
              </w:rPr>
            </w:pPr>
            <w:r>
              <w:rPr>
                <w:rFonts w:ascii="Arial" w:cs="Arial" w:eastAsia="Arial" w:hAnsi="Arial"/>
                <w:sz w:val="13"/>
                <w:szCs w:val="13"/>
                <w:b w:val="1"/>
                <w:bCs w:val="1"/>
                <w:color w:val="auto"/>
              </w:rPr>
              <w:t>January 30,</w:t>
            </w:r>
          </w:p>
        </w:tc>
        <w:tc>
          <w:tcPr>
            <w:tcW w:w="460" w:type="dxa"/>
            <w:vAlign w:val="bottom"/>
          </w:tcPr>
          <w:p>
            <w:pPr>
              <w:spacing w:after="0"/>
              <w:rPr>
                <w:sz w:val="24"/>
                <w:szCs w:val="24"/>
                <w:color w:val="auto"/>
              </w:rPr>
            </w:pPr>
          </w:p>
        </w:tc>
        <w:tc>
          <w:tcPr>
            <w:tcW w:w="1400" w:type="dxa"/>
            <w:vAlign w:val="bottom"/>
          </w:tcPr>
          <w:p>
            <w:pPr>
              <w:jc w:val="right"/>
              <w:ind w:right="455"/>
              <w:spacing w:after="0"/>
              <w:rPr>
                <w:sz w:val="20"/>
                <w:szCs w:val="20"/>
                <w:color w:val="auto"/>
              </w:rPr>
            </w:pPr>
            <w:r>
              <w:rPr>
                <w:rFonts w:ascii="Arial" w:cs="Arial" w:eastAsia="Arial" w:hAnsi="Arial"/>
                <w:sz w:val="13"/>
                <w:szCs w:val="13"/>
                <w:color w:val="auto"/>
              </w:rPr>
              <w:t>February 1,</w:t>
            </w:r>
          </w:p>
        </w:tc>
      </w:tr>
      <w:tr>
        <w:trPr>
          <w:trHeight w:val="164"/>
        </w:trPr>
        <w:tc>
          <w:tcPr>
            <w:tcW w:w="33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 in millions, except share amounts)</w:t>
            </w:r>
          </w:p>
        </w:tc>
        <w:tc>
          <w:tcPr>
            <w:tcW w:w="24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795"/>
              <w:spacing w:after="0"/>
              <w:rPr>
                <w:sz w:val="20"/>
                <w:szCs w:val="20"/>
                <w:color w:val="auto"/>
              </w:rPr>
            </w:pPr>
            <w:r>
              <w:rPr>
                <w:rFonts w:ascii="Arial" w:cs="Arial" w:eastAsia="Arial" w:hAnsi="Arial"/>
                <w:sz w:val="13"/>
                <w:szCs w:val="13"/>
                <w:b w:val="1"/>
                <w:bCs w:val="1"/>
                <w:color w:val="auto"/>
              </w:rPr>
              <w:t>2021</w:t>
            </w:r>
          </w:p>
        </w:tc>
        <w:tc>
          <w:tcPr>
            <w:tcW w:w="4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35"/>
              <w:spacing w:after="0"/>
              <w:rPr>
                <w:sz w:val="20"/>
                <w:szCs w:val="20"/>
                <w:color w:val="auto"/>
              </w:rPr>
            </w:pPr>
            <w:r>
              <w:rPr>
                <w:rFonts w:ascii="Arial" w:cs="Arial" w:eastAsia="Arial" w:hAnsi="Arial"/>
                <w:sz w:val="13"/>
                <w:szCs w:val="13"/>
                <w:color w:val="auto"/>
              </w:rPr>
              <w:t>2020</w:t>
            </w:r>
          </w:p>
        </w:tc>
      </w:tr>
      <w:tr>
        <w:trPr>
          <w:trHeight w:val="134"/>
        </w:trPr>
        <w:tc>
          <w:tcPr>
            <w:tcW w:w="3380" w:type="dxa"/>
            <w:vAlign w:val="bottom"/>
            <w:shd w:val="clear" w:color="auto" w:fill="CCEEFF"/>
          </w:tcPr>
          <w:p>
            <w:pPr>
              <w:spacing w:after="0" w:line="134" w:lineRule="exact"/>
              <w:rPr>
                <w:sz w:val="20"/>
                <w:szCs w:val="20"/>
                <w:color w:val="auto"/>
              </w:rPr>
            </w:pPr>
            <w:r>
              <w:rPr>
                <w:rFonts w:ascii="Arial" w:cs="Arial" w:eastAsia="Arial" w:hAnsi="Arial"/>
                <w:sz w:val="13"/>
                <w:szCs w:val="13"/>
                <w:b w:val="1"/>
                <w:bCs w:val="1"/>
                <w:color w:val="auto"/>
              </w:rPr>
              <w:t>ASSETS</w:t>
            </w:r>
          </w:p>
        </w:tc>
        <w:tc>
          <w:tcPr>
            <w:tcW w:w="24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r>
      <w:tr>
        <w:trPr>
          <w:trHeight w:val="144"/>
        </w:trPr>
        <w:tc>
          <w:tcPr>
            <w:tcW w:w="33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44"/>
        </w:trPr>
        <w:tc>
          <w:tcPr>
            <w:tcW w:w="33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Current assets:</w:t>
            </w:r>
          </w:p>
        </w:tc>
        <w:tc>
          <w:tcPr>
            <w:tcW w:w="24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r>
      <w:tr>
        <w:trPr>
          <w:trHeight w:val="144"/>
        </w:trPr>
        <w:tc>
          <w:tcPr>
            <w:tcW w:w="3380" w:type="dxa"/>
            <w:vAlign w:val="bottom"/>
          </w:tcPr>
          <w:p>
            <w:pPr>
              <w:ind w:left="80"/>
              <w:spacing w:after="0" w:line="144" w:lineRule="exact"/>
              <w:rPr>
                <w:sz w:val="20"/>
                <w:szCs w:val="20"/>
                <w:color w:val="auto"/>
              </w:rPr>
            </w:pPr>
            <w:r>
              <w:rPr>
                <w:rFonts w:ascii="Arial" w:cs="Arial" w:eastAsia="Arial" w:hAnsi="Arial"/>
                <w:sz w:val="13"/>
                <w:szCs w:val="13"/>
                <w:color w:val="auto"/>
              </w:rPr>
              <w:t>Cash and cash equivalents</w:t>
            </w:r>
          </w:p>
        </w:tc>
        <w:tc>
          <w:tcPr>
            <w:tcW w:w="2420" w:type="dxa"/>
            <w:vAlign w:val="bottom"/>
          </w:tcPr>
          <w:p>
            <w:pPr>
              <w:jc w:val="right"/>
              <w:ind w:right="275"/>
              <w:spacing w:after="0" w:line="144" w:lineRule="exact"/>
              <w:rPr>
                <w:sz w:val="20"/>
                <w:szCs w:val="20"/>
                <w:color w:val="auto"/>
              </w:rPr>
            </w:pPr>
            <w:r>
              <w:rPr>
                <w:rFonts w:ascii="Arial" w:cs="Arial" w:eastAsia="Arial" w:hAnsi="Arial"/>
                <w:sz w:val="13"/>
                <w:szCs w:val="13"/>
                <w:b w:val="1"/>
                <w:bCs w:val="1"/>
                <w:color w:val="auto"/>
              </w:rPr>
              <w:t>$</w:t>
            </w:r>
          </w:p>
        </w:tc>
        <w:tc>
          <w:tcPr>
            <w:tcW w:w="1460" w:type="dxa"/>
            <w:vAlign w:val="bottom"/>
          </w:tcPr>
          <w:p>
            <w:pPr>
              <w:jc w:val="right"/>
              <w:ind w:right="115"/>
              <w:spacing w:after="0" w:line="144" w:lineRule="exact"/>
              <w:rPr>
                <w:sz w:val="20"/>
                <w:szCs w:val="20"/>
                <w:color w:val="auto"/>
              </w:rPr>
            </w:pPr>
            <w:r>
              <w:rPr>
                <w:rFonts w:ascii="Arial" w:cs="Arial" w:eastAsia="Arial" w:hAnsi="Arial"/>
                <w:sz w:val="13"/>
                <w:szCs w:val="13"/>
                <w:b w:val="1"/>
                <w:bCs w:val="1"/>
                <w:color w:val="auto"/>
              </w:rPr>
              <w:t>1,680</w:t>
            </w:r>
          </w:p>
        </w:tc>
        <w:tc>
          <w:tcPr>
            <w:tcW w:w="460" w:type="dxa"/>
            <w:vAlign w:val="bottom"/>
          </w:tcPr>
          <w:p>
            <w:pPr>
              <w:jc w:val="right"/>
              <w:ind w:right="175"/>
              <w:spacing w:after="0" w:line="144" w:lineRule="exact"/>
              <w:rPr>
                <w:sz w:val="20"/>
                <w:szCs w:val="20"/>
                <w:color w:val="auto"/>
              </w:rPr>
            </w:pPr>
            <w:r>
              <w:rPr>
                <w:rFonts w:ascii="Arial" w:cs="Arial" w:eastAsia="Arial" w:hAnsi="Arial"/>
                <w:sz w:val="13"/>
                <w:szCs w:val="13"/>
                <w:color w:val="auto"/>
              </w:rPr>
              <w:t>$</w:t>
            </w:r>
          </w:p>
        </w:tc>
        <w:tc>
          <w:tcPr>
            <w:tcW w:w="1400" w:type="dxa"/>
            <w:vAlign w:val="bottom"/>
          </w:tcPr>
          <w:p>
            <w:pPr>
              <w:jc w:val="right"/>
              <w:spacing w:after="0" w:line="144" w:lineRule="exact"/>
              <w:rPr>
                <w:sz w:val="20"/>
                <w:szCs w:val="20"/>
                <w:color w:val="auto"/>
              </w:rPr>
            </w:pPr>
            <w:r>
              <w:rPr>
                <w:rFonts w:ascii="Arial" w:cs="Arial" w:eastAsia="Arial" w:hAnsi="Arial"/>
                <w:sz w:val="13"/>
                <w:szCs w:val="13"/>
                <w:color w:val="auto"/>
              </w:rPr>
              <w:t>907</w:t>
            </w:r>
          </w:p>
        </w:tc>
      </w:tr>
      <w:tr>
        <w:trPr>
          <w:trHeight w:val="144"/>
        </w:trPr>
        <w:tc>
          <w:tcPr>
            <w:tcW w:w="3380" w:type="dxa"/>
            <w:vAlign w:val="bottom"/>
            <w:shd w:val="clear" w:color="auto" w:fill="CCEEFF"/>
          </w:tcPr>
          <w:p>
            <w:pPr>
              <w:ind w:left="80"/>
              <w:spacing w:after="0" w:line="144" w:lineRule="exact"/>
              <w:rPr>
                <w:sz w:val="20"/>
                <w:szCs w:val="20"/>
                <w:color w:val="auto"/>
              </w:rPr>
            </w:pPr>
            <w:r>
              <w:rPr>
                <w:rFonts w:ascii="Arial" w:cs="Arial" w:eastAsia="Arial" w:hAnsi="Arial"/>
                <w:sz w:val="13"/>
                <w:szCs w:val="13"/>
                <w:color w:val="auto"/>
              </w:rPr>
              <w:t>Merchandise inventories</w:t>
            </w:r>
          </w:p>
        </w:tc>
        <w:tc>
          <w:tcPr>
            <w:tcW w:w="242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115"/>
              <w:spacing w:after="0" w:line="144" w:lineRule="exact"/>
              <w:rPr>
                <w:sz w:val="20"/>
                <w:szCs w:val="20"/>
                <w:color w:val="auto"/>
              </w:rPr>
            </w:pPr>
            <w:r>
              <w:rPr>
                <w:rFonts w:ascii="Arial" w:cs="Arial" w:eastAsia="Arial" w:hAnsi="Arial"/>
                <w:sz w:val="13"/>
                <w:szCs w:val="13"/>
                <w:b w:val="1"/>
                <w:bCs w:val="1"/>
                <w:color w:val="auto"/>
              </w:rPr>
              <w:t>923</w:t>
            </w:r>
          </w:p>
        </w:tc>
        <w:tc>
          <w:tcPr>
            <w:tcW w:w="4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1,208</w:t>
            </w:r>
          </w:p>
        </w:tc>
      </w:tr>
      <w:tr>
        <w:trPr>
          <w:trHeight w:val="144"/>
        </w:trPr>
        <w:tc>
          <w:tcPr>
            <w:tcW w:w="3380" w:type="dxa"/>
            <w:vAlign w:val="bottom"/>
            <w:tcBorders>
              <w:bottom w:val="single" w:sz="8" w:color="auto"/>
            </w:tcBorders>
          </w:tcPr>
          <w:p>
            <w:pPr>
              <w:ind w:left="80"/>
              <w:spacing w:after="0" w:line="144" w:lineRule="exact"/>
              <w:rPr>
                <w:sz w:val="20"/>
                <w:szCs w:val="20"/>
                <w:color w:val="auto"/>
              </w:rPr>
            </w:pPr>
            <w:r>
              <w:rPr>
                <w:rFonts w:ascii="Arial" w:cs="Arial" w:eastAsia="Arial" w:hAnsi="Arial"/>
                <w:sz w:val="13"/>
                <w:szCs w:val="13"/>
                <w:color w:val="auto"/>
              </w:rPr>
              <w:t>Other current assets</w:t>
            </w:r>
          </w:p>
        </w:tc>
        <w:tc>
          <w:tcPr>
            <w:tcW w:w="24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115"/>
              <w:spacing w:after="0" w:line="144" w:lineRule="exact"/>
              <w:rPr>
                <w:sz w:val="20"/>
                <w:szCs w:val="20"/>
                <w:color w:val="auto"/>
              </w:rPr>
            </w:pPr>
            <w:r>
              <w:rPr>
                <w:rFonts w:ascii="Arial" w:cs="Arial" w:eastAsia="Arial" w:hAnsi="Arial"/>
                <w:sz w:val="13"/>
                <w:szCs w:val="13"/>
                <w:b w:val="1"/>
                <w:bCs w:val="1"/>
                <w:color w:val="auto"/>
              </w:rPr>
              <w:t>232</w:t>
            </w:r>
          </w:p>
        </w:tc>
        <w:tc>
          <w:tcPr>
            <w:tcW w:w="4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271</w:t>
            </w:r>
          </w:p>
        </w:tc>
      </w:tr>
      <w:tr>
        <w:trPr>
          <w:trHeight w:val="134"/>
        </w:trPr>
        <w:tc>
          <w:tcPr>
            <w:tcW w:w="338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1460" w:type="dxa"/>
            <w:vAlign w:val="bottom"/>
            <w:shd w:val="clear" w:color="auto" w:fill="CCEEFF"/>
          </w:tcPr>
          <w:p>
            <w:pPr>
              <w:jc w:val="right"/>
              <w:ind w:right="115"/>
              <w:spacing w:after="0" w:line="134" w:lineRule="exact"/>
              <w:rPr>
                <w:sz w:val="20"/>
                <w:szCs w:val="20"/>
                <w:color w:val="auto"/>
              </w:rPr>
            </w:pPr>
            <w:r>
              <w:rPr>
                <w:rFonts w:ascii="Arial" w:cs="Arial" w:eastAsia="Arial" w:hAnsi="Arial"/>
                <w:sz w:val="13"/>
                <w:szCs w:val="13"/>
                <w:b w:val="1"/>
                <w:bCs w:val="1"/>
                <w:color w:val="auto"/>
              </w:rPr>
              <w:t>2,835</w:t>
            </w:r>
          </w:p>
        </w:tc>
        <w:tc>
          <w:tcPr>
            <w:tcW w:w="460" w:type="dxa"/>
            <w:vAlign w:val="bottom"/>
            <w:shd w:val="clear" w:color="auto" w:fill="CCEEFF"/>
          </w:tcPr>
          <w:p>
            <w:pPr>
              <w:spacing w:after="0"/>
              <w:rPr>
                <w:sz w:val="11"/>
                <w:szCs w:val="11"/>
                <w:color w:val="auto"/>
              </w:rPr>
            </w:pPr>
          </w:p>
        </w:tc>
        <w:tc>
          <w:tcPr>
            <w:tcW w:w="140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2,386</w:t>
            </w:r>
          </w:p>
        </w:tc>
      </w:tr>
      <w:tr>
        <w:trPr>
          <w:trHeight w:val="144"/>
        </w:trPr>
        <w:tc>
          <w:tcPr>
            <w:tcW w:w="3380" w:type="dxa"/>
            <w:vAlign w:val="bottom"/>
          </w:tcPr>
          <w:p>
            <w:pPr>
              <w:spacing w:after="0" w:line="144" w:lineRule="exact"/>
              <w:rPr>
                <w:sz w:val="20"/>
                <w:szCs w:val="20"/>
                <w:color w:val="auto"/>
              </w:rPr>
            </w:pPr>
            <w:r>
              <w:rPr>
                <w:rFonts w:ascii="Arial" w:cs="Arial" w:eastAsia="Arial" w:hAnsi="Arial"/>
                <w:sz w:val="13"/>
                <w:szCs w:val="13"/>
                <w:color w:val="auto"/>
              </w:rPr>
              <w:t>Property and equipment, net</w:t>
            </w:r>
          </w:p>
        </w:tc>
        <w:tc>
          <w:tcPr>
            <w:tcW w:w="2420" w:type="dxa"/>
            <w:vAlign w:val="bottom"/>
          </w:tcPr>
          <w:p>
            <w:pPr>
              <w:spacing w:after="0"/>
              <w:rPr>
                <w:sz w:val="12"/>
                <w:szCs w:val="12"/>
                <w:color w:val="auto"/>
              </w:rPr>
            </w:pPr>
          </w:p>
        </w:tc>
        <w:tc>
          <w:tcPr>
            <w:tcW w:w="1460" w:type="dxa"/>
            <w:vAlign w:val="bottom"/>
          </w:tcPr>
          <w:p>
            <w:pPr>
              <w:jc w:val="right"/>
              <w:ind w:right="115"/>
              <w:spacing w:after="0" w:line="144" w:lineRule="exact"/>
              <w:rPr>
                <w:sz w:val="20"/>
                <w:szCs w:val="20"/>
                <w:color w:val="auto"/>
              </w:rPr>
            </w:pPr>
            <w:r>
              <w:rPr>
                <w:rFonts w:ascii="Arial" w:cs="Arial" w:eastAsia="Arial" w:hAnsi="Arial"/>
                <w:sz w:val="13"/>
                <w:szCs w:val="13"/>
                <w:b w:val="1"/>
                <w:bCs w:val="1"/>
                <w:color w:val="auto"/>
              </w:rPr>
              <w:t>788</w:t>
            </w:r>
          </w:p>
        </w:tc>
        <w:tc>
          <w:tcPr>
            <w:tcW w:w="460" w:type="dxa"/>
            <w:vAlign w:val="bottom"/>
          </w:tcPr>
          <w:p>
            <w:pPr>
              <w:spacing w:after="0"/>
              <w:rPr>
                <w:sz w:val="12"/>
                <w:szCs w:val="12"/>
                <w:color w:val="auto"/>
              </w:rPr>
            </w:pPr>
          </w:p>
        </w:tc>
        <w:tc>
          <w:tcPr>
            <w:tcW w:w="1400" w:type="dxa"/>
            <w:vAlign w:val="bottom"/>
          </w:tcPr>
          <w:p>
            <w:pPr>
              <w:jc w:val="right"/>
              <w:spacing w:after="0" w:line="144" w:lineRule="exact"/>
              <w:rPr>
                <w:sz w:val="20"/>
                <w:szCs w:val="20"/>
                <w:color w:val="auto"/>
              </w:rPr>
            </w:pPr>
            <w:r>
              <w:rPr>
                <w:rFonts w:ascii="Arial" w:cs="Arial" w:eastAsia="Arial" w:hAnsi="Arial"/>
                <w:sz w:val="13"/>
                <w:szCs w:val="13"/>
                <w:color w:val="auto"/>
              </w:rPr>
              <w:t>824</w:t>
            </w:r>
          </w:p>
        </w:tc>
      </w:tr>
      <w:tr>
        <w:trPr>
          <w:trHeight w:val="144"/>
        </w:trPr>
        <w:tc>
          <w:tcPr>
            <w:tcW w:w="33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Operating lease right-of-use assets</w:t>
            </w:r>
          </w:p>
        </w:tc>
        <w:tc>
          <w:tcPr>
            <w:tcW w:w="242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115"/>
              <w:spacing w:after="0" w:line="144" w:lineRule="exact"/>
              <w:rPr>
                <w:sz w:val="20"/>
                <w:szCs w:val="20"/>
                <w:color w:val="auto"/>
              </w:rPr>
            </w:pPr>
            <w:r>
              <w:rPr>
                <w:rFonts w:ascii="Arial" w:cs="Arial" w:eastAsia="Arial" w:hAnsi="Arial"/>
                <w:sz w:val="13"/>
                <w:szCs w:val="13"/>
                <w:b w:val="1"/>
                <w:bCs w:val="1"/>
                <w:color w:val="auto"/>
              </w:rPr>
              <w:t>2,716</w:t>
            </w:r>
          </w:p>
        </w:tc>
        <w:tc>
          <w:tcPr>
            <w:tcW w:w="4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2,899</w:t>
            </w:r>
          </w:p>
        </w:tc>
      </w:tr>
      <w:tr>
        <w:trPr>
          <w:trHeight w:val="144"/>
        </w:trPr>
        <w:tc>
          <w:tcPr>
            <w:tcW w:w="3380" w:type="dxa"/>
            <w:vAlign w:val="bottom"/>
          </w:tcPr>
          <w:p>
            <w:pPr>
              <w:spacing w:after="0" w:line="144" w:lineRule="exact"/>
              <w:rPr>
                <w:sz w:val="20"/>
                <w:szCs w:val="20"/>
                <w:color w:val="auto"/>
              </w:rPr>
            </w:pPr>
            <w:r>
              <w:rPr>
                <w:rFonts w:ascii="Arial" w:cs="Arial" w:eastAsia="Arial" w:hAnsi="Arial"/>
                <w:sz w:val="13"/>
                <w:szCs w:val="13"/>
                <w:color w:val="auto"/>
              </w:rPr>
              <w:t>Deferred taxes</w:t>
            </w:r>
          </w:p>
        </w:tc>
        <w:tc>
          <w:tcPr>
            <w:tcW w:w="2420" w:type="dxa"/>
            <w:vAlign w:val="bottom"/>
          </w:tcPr>
          <w:p>
            <w:pPr>
              <w:spacing w:after="0"/>
              <w:rPr>
                <w:sz w:val="12"/>
                <w:szCs w:val="12"/>
                <w:color w:val="auto"/>
              </w:rPr>
            </w:pPr>
          </w:p>
        </w:tc>
        <w:tc>
          <w:tcPr>
            <w:tcW w:w="1460" w:type="dxa"/>
            <w:vAlign w:val="bottom"/>
          </w:tcPr>
          <w:p>
            <w:pPr>
              <w:jc w:val="right"/>
              <w:ind w:right="115"/>
              <w:spacing w:after="0" w:line="144" w:lineRule="exact"/>
              <w:rPr>
                <w:sz w:val="20"/>
                <w:szCs w:val="20"/>
                <w:color w:val="auto"/>
              </w:rPr>
            </w:pPr>
            <w:r>
              <w:rPr>
                <w:rFonts w:ascii="Arial" w:cs="Arial" w:eastAsia="Arial" w:hAnsi="Arial"/>
                <w:sz w:val="13"/>
                <w:szCs w:val="13"/>
                <w:b w:val="1"/>
                <w:bCs w:val="1"/>
                <w:color w:val="auto"/>
              </w:rPr>
              <w:t>101</w:t>
            </w:r>
          </w:p>
        </w:tc>
        <w:tc>
          <w:tcPr>
            <w:tcW w:w="460" w:type="dxa"/>
            <w:vAlign w:val="bottom"/>
          </w:tcPr>
          <w:p>
            <w:pPr>
              <w:spacing w:after="0"/>
              <w:rPr>
                <w:sz w:val="12"/>
                <w:szCs w:val="12"/>
                <w:color w:val="auto"/>
              </w:rPr>
            </w:pPr>
          </w:p>
        </w:tc>
        <w:tc>
          <w:tcPr>
            <w:tcW w:w="1400" w:type="dxa"/>
            <w:vAlign w:val="bottom"/>
          </w:tcPr>
          <w:p>
            <w:pPr>
              <w:jc w:val="right"/>
              <w:spacing w:after="0" w:line="144" w:lineRule="exact"/>
              <w:rPr>
                <w:sz w:val="20"/>
                <w:szCs w:val="20"/>
                <w:color w:val="auto"/>
              </w:rPr>
            </w:pPr>
            <w:r>
              <w:rPr>
                <w:rFonts w:ascii="Arial" w:cs="Arial" w:eastAsia="Arial" w:hAnsi="Arial"/>
                <w:sz w:val="13"/>
                <w:szCs w:val="13"/>
                <w:color w:val="auto"/>
              </w:rPr>
              <w:t>81</w:t>
            </w:r>
          </w:p>
        </w:tc>
      </w:tr>
      <w:tr>
        <w:trPr>
          <w:trHeight w:val="144"/>
        </w:trPr>
        <w:tc>
          <w:tcPr>
            <w:tcW w:w="33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Goodwill</w:t>
            </w:r>
          </w:p>
        </w:tc>
        <w:tc>
          <w:tcPr>
            <w:tcW w:w="242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115"/>
              <w:spacing w:after="0" w:line="144" w:lineRule="exact"/>
              <w:rPr>
                <w:sz w:val="20"/>
                <w:szCs w:val="20"/>
                <w:color w:val="auto"/>
              </w:rPr>
            </w:pPr>
            <w:r>
              <w:rPr>
                <w:rFonts w:ascii="Arial" w:cs="Arial" w:eastAsia="Arial" w:hAnsi="Arial"/>
                <w:sz w:val="13"/>
                <w:szCs w:val="13"/>
                <w:b w:val="1"/>
                <w:bCs w:val="1"/>
                <w:color w:val="auto"/>
              </w:rPr>
              <w:t>159</w:t>
            </w:r>
          </w:p>
        </w:tc>
        <w:tc>
          <w:tcPr>
            <w:tcW w:w="4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156</w:t>
            </w:r>
          </w:p>
        </w:tc>
      </w:tr>
      <w:tr>
        <w:trPr>
          <w:trHeight w:val="144"/>
        </w:trPr>
        <w:tc>
          <w:tcPr>
            <w:tcW w:w="3380" w:type="dxa"/>
            <w:vAlign w:val="bottom"/>
          </w:tcPr>
          <w:p>
            <w:pPr>
              <w:spacing w:after="0" w:line="144" w:lineRule="exact"/>
              <w:rPr>
                <w:sz w:val="20"/>
                <w:szCs w:val="20"/>
                <w:color w:val="auto"/>
              </w:rPr>
            </w:pPr>
            <w:r>
              <w:rPr>
                <w:rFonts w:ascii="Arial" w:cs="Arial" w:eastAsia="Arial" w:hAnsi="Arial"/>
                <w:sz w:val="13"/>
                <w:szCs w:val="13"/>
                <w:color w:val="auto"/>
              </w:rPr>
              <w:t>Other intangible assets, net</w:t>
            </w:r>
          </w:p>
        </w:tc>
        <w:tc>
          <w:tcPr>
            <w:tcW w:w="2420" w:type="dxa"/>
            <w:vAlign w:val="bottom"/>
          </w:tcPr>
          <w:p>
            <w:pPr>
              <w:spacing w:after="0"/>
              <w:rPr>
                <w:sz w:val="12"/>
                <w:szCs w:val="12"/>
                <w:color w:val="auto"/>
              </w:rPr>
            </w:pPr>
          </w:p>
        </w:tc>
        <w:tc>
          <w:tcPr>
            <w:tcW w:w="1460" w:type="dxa"/>
            <w:vAlign w:val="bottom"/>
          </w:tcPr>
          <w:p>
            <w:pPr>
              <w:jc w:val="right"/>
              <w:ind w:right="115"/>
              <w:spacing w:after="0" w:line="144" w:lineRule="exact"/>
              <w:rPr>
                <w:sz w:val="20"/>
                <w:szCs w:val="20"/>
                <w:color w:val="auto"/>
              </w:rPr>
            </w:pPr>
            <w:r>
              <w:rPr>
                <w:rFonts w:ascii="Arial" w:cs="Arial" w:eastAsia="Arial" w:hAnsi="Arial"/>
                <w:sz w:val="13"/>
                <w:szCs w:val="13"/>
                <w:b w:val="1"/>
                <w:bCs w:val="1"/>
                <w:color w:val="auto"/>
              </w:rPr>
              <w:t>17</w:t>
            </w:r>
          </w:p>
        </w:tc>
        <w:tc>
          <w:tcPr>
            <w:tcW w:w="460" w:type="dxa"/>
            <w:vAlign w:val="bottom"/>
          </w:tcPr>
          <w:p>
            <w:pPr>
              <w:spacing w:after="0"/>
              <w:rPr>
                <w:sz w:val="12"/>
                <w:szCs w:val="12"/>
                <w:color w:val="auto"/>
              </w:rPr>
            </w:pPr>
          </w:p>
        </w:tc>
        <w:tc>
          <w:tcPr>
            <w:tcW w:w="1400" w:type="dxa"/>
            <w:vAlign w:val="bottom"/>
          </w:tcPr>
          <w:p>
            <w:pPr>
              <w:jc w:val="right"/>
              <w:spacing w:after="0" w:line="144" w:lineRule="exact"/>
              <w:rPr>
                <w:sz w:val="20"/>
                <w:szCs w:val="20"/>
                <w:color w:val="auto"/>
              </w:rPr>
            </w:pPr>
            <w:r>
              <w:rPr>
                <w:rFonts w:ascii="Arial" w:cs="Arial" w:eastAsia="Arial" w:hAnsi="Arial"/>
                <w:sz w:val="13"/>
                <w:szCs w:val="13"/>
                <w:color w:val="auto"/>
              </w:rPr>
              <w:t>20</w:t>
            </w:r>
          </w:p>
        </w:tc>
      </w:tr>
      <w:tr>
        <w:trPr>
          <w:trHeight w:val="144"/>
        </w:trPr>
        <w:tc>
          <w:tcPr>
            <w:tcW w:w="33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Minority investments</w:t>
            </w:r>
          </w:p>
        </w:tc>
        <w:tc>
          <w:tcPr>
            <w:tcW w:w="242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115"/>
              <w:spacing w:after="0" w:line="144" w:lineRule="exact"/>
              <w:rPr>
                <w:sz w:val="20"/>
                <w:szCs w:val="20"/>
                <w:color w:val="auto"/>
              </w:rPr>
            </w:pPr>
            <w:r>
              <w:rPr>
                <w:rFonts w:ascii="Arial" w:cs="Arial" w:eastAsia="Arial" w:hAnsi="Arial"/>
                <w:sz w:val="13"/>
                <w:szCs w:val="13"/>
                <w:b w:val="1"/>
                <w:bCs w:val="1"/>
                <w:color w:val="auto"/>
              </w:rPr>
              <w:t>337</w:t>
            </w:r>
          </w:p>
        </w:tc>
        <w:tc>
          <w:tcPr>
            <w:tcW w:w="4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142</w:t>
            </w:r>
          </w:p>
        </w:tc>
      </w:tr>
      <w:tr>
        <w:trPr>
          <w:trHeight w:val="144"/>
        </w:trPr>
        <w:tc>
          <w:tcPr>
            <w:tcW w:w="338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color w:val="auto"/>
              </w:rPr>
              <w:t>Other assets</w:t>
            </w:r>
          </w:p>
        </w:tc>
        <w:tc>
          <w:tcPr>
            <w:tcW w:w="24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ind w:right="115"/>
              <w:spacing w:after="0" w:line="144" w:lineRule="exact"/>
              <w:rPr>
                <w:sz w:val="20"/>
                <w:szCs w:val="20"/>
                <w:color w:val="auto"/>
              </w:rPr>
            </w:pPr>
            <w:r>
              <w:rPr>
                <w:rFonts w:ascii="Arial" w:cs="Arial" w:eastAsia="Arial" w:hAnsi="Arial"/>
                <w:sz w:val="13"/>
                <w:szCs w:val="13"/>
                <w:b w:val="1"/>
                <w:bCs w:val="1"/>
                <w:color w:val="auto"/>
              </w:rPr>
              <w:t>90</w:t>
            </w:r>
          </w:p>
        </w:tc>
        <w:tc>
          <w:tcPr>
            <w:tcW w:w="4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81</w:t>
            </w:r>
          </w:p>
        </w:tc>
      </w:tr>
      <w:tr>
        <w:trPr>
          <w:trHeight w:val="134"/>
        </w:trPr>
        <w:tc>
          <w:tcPr>
            <w:tcW w:w="3380" w:type="dxa"/>
            <w:vAlign w:val="bottom"/>
            <w:tcBorders>
              <w:bottom w:val="single" w:sz="8" w:color="auto"/>
            </w:tcBorders>
            <w:shd w:val="clear" w:color="auto" w:fill="CCEEFF"/>
          </w:tcPr>
          <w:p>
            <w:pPr>
              <w:spacing w:after="0"/>
              <w:rPr>
                <w:sz w:val="11"/>
                <w:szCs w:val="11"/>
                <w:color w:val="auto"/>
              </w:rPr>
            </w:pPr>
          </w:p>
        </w:tc>
        <w:tc>
          <w:tcPr>
            <w:tcW w:w="2420" w:type="dxa"/>
            <w:vAlign w:val="bottom"/>
            <w:tcBorders>
              <w:bottom w:val="single" w:sz="8" w:color="auto"/>
            </w:tcBorders>
            <w:shd w:val="clear" w:color="auto" w:fill="CCEEFF"/>
          </w:tcPr>
          <w:p>
            <w:pPr>
              <w:jc w:val="right"/>
              <w:ind w:right="275"/>
              <w:spacing w:after="0" w:line="134" w:lineRule="exact"/>
              <w:rPr>
                <w:sz w:val="20"/>
                <w:szCs w:val="20"/>
                <w:color w:val="auto"/>
              </w:rPr>
            </w:pPr>
            <w:r>
              <w:rPr>
                <w:rFonts w:ascii="Arial" w:cs="Arial" w:eastAsia="Arial" w:hAnsi="Arial"/>
                <w:sz w:val="13"/>
                <w:szCs w:val="13"/>
                <w:b w:val="1"/>
                <w:bCs w:val="1"/>
                <w:color w:val="auto"/>
              </w:rPr>
              <w:t>$</w:t>
            </w:r>
          </w:p>
        </w:tc>
        <w:tc>
          <w:tcPr>
            <w:tcW w:w="1460" w:type="dxa"/>
            <w:vAlign w:val="bottom"/>
            <w:tcBorders>
              <w:bottom w:val="single" w:sz="8" w:color="auto"/>
            </w:tcBorders>
            <w:shd w:val="clear" w:color="auto" w:fill="CCEEFF"/>
          </w:tcPr>
          <w:p>
            <w:pPr>
              <w:jc w:val="right"/>
              <w:ind w:right="115"/>
              <w:spacing w:after="0" w:line="134" w:lineRule="exact"/>
              <w:rPr>
                <w:sz w:val="20"/>
                <w:szCs w:val="20"/>
                <w:color w:val="auto"/>
              </w:rPr>
            </w:pPr>
            <w:r>
              <w:rPr>
                <w:rFonts w:ascii="Arial" w:cs="Arial" w:eastAsia="Arial" w:hAnsi="Arial"/>
                <w:sz w:val="13"/>
                <w:szCs w:val="13"/>
                <w:b w:val="1"/>
                <w:bCs w:val="1"/>
                <w:color w:val="auto"/>
              </w:rPr>
              <w:t>7,043</w:t>
            </w:r>
          </w:p>
        </w:tc>
        <w:tc>
          <w:tcPr>
            <w:tcW w:w="460" w:type="dxa"/>
            <w:vAlign w:val="bottom"/>
            <w:tcBorders>
              <w:bottom w:val="single" w:sz="8" w:color="auto"/>
            </w:tcBorders>
            <w:shd w:val="clear" w:color="auto" w:fill="CCEEFF"/>
          </w:tcPr>
          <w:p>
            <w:pPr>
              <w:jc w:val="right"/>
              <w:ind w:right="175"/>
              <w:spacing w:after="0" w:line="134" w:lineRule="exact"/>
              <w:rPr>
                <w:sz w:val="20"/>
                <w:szCs w:val="20"/>
                <w:color w:val="auto"/>
              </w:rPr>
            </w:pPr>
            <w:r>
              <w:rPr>
                <w:rFonts w:ascii="Arial" w:cs="Arial" w:eastAsia="Arial" w:hAnsi="Arial"/>
                <w:sz w:val="13"/>
                <w:szCs w:val="13"/>
                <w:color w:val="auto"/>
              </w:rPr>
              <w:t>$</w:t>
            </w:r>
          </w:p>
        </w:tc>
        <w:tc>
          <w:tcPr>
            <w:tcW w:w="140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6,589</w:t>
            </w:r>
          </w:p>
        </w:tc>
      </w:tr>
      <w:tr>
        <w:trPr>
          <w:trHeight w:val="20"/>
        </w:trPr>
        <w:tc>
          <w:tcPr>
            <w:tcW w:w="338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114"/>
        </w:trPr>
        <w:tc>
          <w:tcPr>
            <w:tcW w:w="338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0" w:type="dxa"/>
            <w:vAlign w:val="bottom"/>
          </w:tcPr>
          <w:p>
            <w:pPr>
              <w:spacing w:after="0"/>
              <w:rPr>
                <w:sz w:val="9"/>
                <w:szCs w:val="9"/>
                <w:color w:val="auto"/>
              </w:rPr>
            </w:pPr>
          </w:p>
        </w:tc>
      </w:tr>
      <w:tr>
        <w:trPr>
          <w:trHeight w:val="144"/>
        </w:trPr>
        <w:tc>
          <w:tcPr>
            <w:tcW w:w="3380" w:type="dxa"/>
            <w:vAlign w:val="bottom"/>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LIABILITIES AND SHAREHOLDERS’ EQUITY</w:t>
            </w:r>
          </w:p>
        </w:tc>
        <w:tc>
          <w:tcPr>
            <w:tcW w:w="24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r>
      <w:tr>
        <w:trPr>
          <w:trHeight w:val="144"/>
        </w:trPr>
        <w:tc>
          <w:tcPr>
            <w:tcW w:w="33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44"/>
        </w:trPr>
        <w:tc>
          <w:tcPr>
            <w:tcW w:w="33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Current liabilities:</w:t>
            </w:r>
          </w:p>
        </w:tc>
        <w:tc>
          <w:tcPr>
            <w:tcW w:w="24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r>
      <w:tr>
        <w:trPr>
          <w:trHeight w:val="144"/>
        </w:trPr>
        <w:tc>
          <w:tcPr>
            <w:tcW w:w="3380" w:type="dxa"/>
            <w:vAlign w:val="bottom"/>
          </w:tcPr>
          <w:p>
            <w:pPr>
              <w:ind w:left="80"/>
              <w:spacing w:after="0" w:line="144" w:lineRule="exact"/>
              <w:rPr>
                <w:sz w:val="20"/>
                <w:szCs w:val="20"/>
                <w:color w:val="auto"/>
              </w:rPr>
            </w:pPr>
            <w:r>
              <w:rPr>
                <w:rFonts w:ascii="Arial" w:cs="Arial" w:eastAsia="Arial" w:hAnsi="Arial"/>
                <w:sz w:val="13"/>
                <w:szCs w:val="13"/>
                <w:color w:val="auto"/>
              </w:rPr>
              <w:t>Accounts payable</w:t>
            </w:r>
          </w:p>
        </w:tc>
        <w:tc>
          <w:tcPr>
            <w:tcW w:w="2420" w:type="dxa"/>
            <w:vAlign w:val="bottom"/>
          </w:tcPr>
          <w:p>
            <w:pPr>
              <w:jc w:val="right"/>
              <w:ind w:right="275"/>
              <w:spacing w:after="0" w:line="144" w:lineRule="exact"/>
              <w:rPr>
                <w:sz w:val="20"/>
                <w:szCs w:val="20"/>
                <w:color w:val="auto"/>
              </w:rPr>
            </w:pPr>
            <w:r>
              <w:rPr>
                <w:rFonts w:ascii="Arial" w:cs="Arial" w:eastAsia="Arial" w:hAnsi="Arial"/>
                <w:sz w:val="13"/>
                <w:szCs w:val="13"/>
                <w:b w:val="1"/>
                <w:bCs w:val="1"/>
                <w:color w:val="auto"/>
              </w:rPr>
              <w:t>$</w:t>
            </w:r>
          </w:p>
        </w:tc>
        <w:tc>
          <w:tcPr>
            <w:tcW w:w="1460" w:type="dxa"/>
            <w:vAlign w:val="bottom"/>
          </w:tcPr>
          <w:p>
            <w:pPr>
              <w:jc w:val="right"/>
              <w:ind w:right="115"/>
              <w:spacing w:after="0" w:line="144" w:lineRule="exact"/>
              <w:rPr>
                <w:sz w:val="20"/>
                <w:szCs w:val="20"/>
                <w:color w:val="auto"/>
              </w:rPr>
            </w:pPr>
            <w:r>
              <w:rPr>
                <w:rFonts w:ascii="Arial" w:cs="Arial" w:eastAsia="Arial" w:hAnsi="Arial"/>
                <w:sz w:val="13"/>
                <w:szCs w:val="13"/>
                <w:b w:val="1"/>
                <w:bCs w:val="1"/>
                <w:color w:val="auto"/>
              </w:rPr>
              <w:t>402</w:t>
            </w:r>
          </w:p>
        </w:tc>
        <w:tc>
          <w:tcPr>
            <w:tcW w:w="460" w:type="dxa"/>
            <w:vAlign w:val="bottom"/>
          </w:tcPr>
          <w:p>
            <w:pPr>
              <w:jc w:val="right"/>
              <w:ind w:right="175"/>
              <w:spacing w:after="0" w:line="144" w:lineRule="exact"/>
              <w:rPr>
                <w:sz w:val="20"/>
                <w:szCs w:val="20"/>
                <w:color w:val="auto"/>
              </w:rPr>
            </w:pPr>
            <w:r>
              <w:rPr>
                <w:rFonts w:ascii="Arial" w:cs="Arial" w:eastAsia="Arial" w:hAnsi="Arial"/>
                <w:sz w:val="13"/>
                <w:szCs w:val="13"/>
                <w:color w:val="auto"/>
              </w:rPr>
              <w:t>$</w:t>
            </w:r>
          </w:p>
        </w:tc>
        <w:tc>
          <w:tcPr>
            <w:tcW w:w="1400" w:type="dxa"/>
            <w:vAlign w:val="bottom"/>
          </w:tcPr>
          <w:p>
            <w:pPr>
              <w:jc w:val="right"/>
              <w:spacing w:after="0" w:line="144" w:lineRule="exact"/>
              <w:rPr>
                <w:sz w:val="20"/>
                <w:szCs w:val="20"/>
                <w:color w:val="auto"/>
              </w:rPr>
            </w:pPr>
            <w:r>
              <w:rPr>
                <w:rFonts w:ascii="Arial" w:cs="Arial" w:eastAsia="Arial" w:hAnsi="Arial"/>
                <w:sz w:val="13"/>
                <w:szCs w:val="13"/>
                <w:color w:val="auto"/>
              </w:rPr>
              <w:t>333</w:t>
            </w:r>
          </w:p>
        </w:tc>
      </w:tr>
      <w:tr>
        <w:trPr>
          <w:trHeight w:val="144"/>
        </w:trPr>
        <w:tc>
          <w:tcPr>
            <w:tcW w:w="3380" w:type="dxa"/>
            <w:vAlign w:val="bottom"/>
            <w:shd w:val="clear" w:color="auto" w:fill="CCEEFF"/>
          </w:tcPr>
          <w:p>
            <w:pPr>
              <w:ind w:left="80"/>
              <w:spacing w:after="0" w:line="144" w:lineRule="exact"/>
              <w:rPr>
                <w:sz w:val="20"/>
                <w:szCs w:val="20"/>
                <w:color w:val="auto"/>
              </w:rPr>
            </w:pPr>
            <w:r>
              <w:rPr>
                <w:rFonts w:ascii="Arial" w:cs="Arial" w:eastAsia="Arial" w:hAnsi="Arial"/>
                <w:sz w:val="13"/>
                <w:szCs w:val="13"/>
                <w:color w:val="auto"/>
              </w:rPr>
              <w:t>Accrued and other liabilities</w:t>
            </w:r>
          </w:p>
        </w:tc>
        <w:tc>
          <w:tcPr>
            <w:tcW w:w="242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115"/>
              <w:spacing w:after="0" w:line="144" w:lineRule="exact"/>
              <w:rPr>
                <w:sz w:val="20"/>
                <w:szCs w:val="20"/>
                <w:color w:val="auto"/>
              </w:rPr>
            </w:pPr>
            <w:r>
              <w:rPr>
                <w:rFonts w:ascii="Arial" w:cs="Arial" w:eastAsia="Arial" w:hAnsi="Arial"/>
                <w:sz w:val="13"/>
                <w:szCs w:val="13"/>
                <w:b w:val="1"/>
                <w:bCs w:val="1"/>
                <w:color w:val="auto"/>
              </w:rPr>
              <w:t>560</w:t>
            </w:r>
          </w:p>
        </w:tc>
        <w:tc>
          <w:tcPr>
            <w:tcW w:w="4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343</w:t>
            </w:r>
          </w:p>
        </w:tc>
      </w:tr>
      <w:tr>
        <w:trPr>
          <w:trHeight w:val="144"/>
        </w:trPr>
        <w:tc>
          <w:tcPr>
            <w:tcW w:w="5800" w:type="dxa"/>
            <w:vAlign w:val="bottom"/>
            <w:gridSpan w:val="2"/>
          </w:tcPr>
          <w:p>
            <w:pPr>
              <w:ind w:left="80"/>
              <w:spacing w:after="0" w:line="144" w:lineRule="exact"/>
              <w:rPr>
                <w:sz w:val="20"/>
                <w:szCs w:val="20"/>
                <w:color w:val="auto"/>
              </w:rPr>
            </w:pPr>
            <w:r>
              <w:rPr>
                <w:rFonts w:ascii="Arial" w:cs="Arial" w:eastAsia="Arial" w:hAnsi="Arial"/>
                <w:sz w:val="13"/>
                <w:szCs w:val="13"/>
                <w:color w:val="auto"/>
              </w:rPr>
              <w:t>Current portion of debt and obligations under finance leases</w:t>
            </w:r>
          </w:p>
        </w:tc>
        <w:tc>
          <w:tcPr>
            <w:tcW w:w="1460" w:type="dxa"/>
            <w:vAlign w:val="bottom"/>
          </w:tcPr>
          <w:p>
            <w:pPr>
              <w:jc w:val="right"/>
              <w:ind w:right="115"/>
              <w:spacing w:after="0" w:line="144" w:lineRule="exact"/>
              <w:rPr>
                <w:sz w:val="20"/>
                <w:szCs w:val="20"/>
                <w:color w:val="auto"/>
              </w:rPr>
            </w:pPr>
            <w:r>
              <w:rPr>
                <w:rFonts w:ascii="Arial" w:cs="Arial" w:eastAsia="Arial" w:hAnsi="Arial"/>
                <w:sz w:val="13"/>
                <w:szCs w:val="13"/>
                <w:b w:val="1"/>
                <w:bCs w:val="1"/>
                <w:color w:val="auto"/>
              </w:rPr>
              <w:t>102</w:t>
            </w:r>
          </w:p>
        </w:tc>
        <w:tc>
          <w:tcPr>
            <w:tcW w:w="460" w:type="dxa"/>
            <w:vAlign w:val="bottom"/>
          </w:tcPr>
          <w:p>
            <w:pPr>
              <w:spacing w:after="0"/>
              <w:rPr>
                <w:sz w:val="12"/>
                <w:szCs w:val="12"/>
                <w:color w:val="auto"/>
              </w:rPr>
            </w:pPr>
          </w:p>
        </w:tc>
        <w:tc>
          <w:tcPr>
            <w:tcW w:w="14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r>
      <w:tr>
        <w:trPr>
          <w:trHeight w:val="144"/>
        </w:trPr>
        <w:tc>
          <w:tcPr>
            <w:tcW w:w="3380" w:type="dxa"/>
            <w:vAlign w:val="bottom"/>
            <w:tcBorders>
              <w:bottom w:val="single" w:sz="8" w:color="auto"/>
            </w:tcBorders>
            <w:shd w:val="clear" w:color="auto" w:fill="CCEEFF"/>
          </w:tcPr>
          <w:p>
            <w:pPr>
              <w:ind w:left="80"/>
              <w:spacing w:after="0" w:line="144" w:lineRule="exact"/>
              <w:rPr>
                <w:sz w:val="20"/>
                <w:szCs w:val="20"/>
                <w:color w:val="auto"/>
              </w:rPr>
            </w:pPr>
            <w:r>
              <w:rPr>
                <w:rFonts w:ascii="Arial" w:cs="Arial" w:eastAsia="Arial" w:hAnsi="Arial"/>
                <w:sz w:val="13"/>
                <w:szCs w:val="13"/>
                <w:color w:val="auto"/>
              </w:rPr>
              <w:t>Current portion of operating lease liabilities</w:t>
            </w:r>
          </w:p>
        </w:tc>
        <w:tc>
          <w:tcPr>
            <w:tcW w:w="2420" w:type="dxa"/>
            <w:vAlign w:val="bottom"/>
            <w:tcBorders>
              <w:bottom w:val="single" w:sz="8" w:color="auto"/>
            </w:tcBorders>
            <w:shd w:val="clear" w:color="auto" w:fill="CCEEFF"/>
          </w:tcPr>
          <w:p>
            <w:pPr>
              <w:spacing w:after="0"/>
              <w:rPr>
                <w:sz w:val="12"/>
                <w:szCs w:val="12"/>
                <w:color w:val="auto"/>
              </w:rPr>
            </w:pPr>
          </w:p>
        </w:tc>
        <w:tc>
          <w:tcPr>
            <w:tcW w:w="1460" w:type="dxa"/>
            <w:vAlign w:val="bottom"/>
            <w:tcBorders>
              <w:bottom w:val="single" w:sz="8" w:color="auto"/>
            </w:tcBorders>
            <w:shd w:val="clear" w:color="auto" w:fill="CCEEFF"/>
          </w:tcPr>
          <w:p>
            <w:pPr>
              <w:jc w:val="right"/>
              <w:ind w:right="115"/>
              <w:spacing w:after="0" w:line="144" w:lineRule="exact"/>
              <w:rPr>
                <w:sz w:val="20"/>
                <w:szCs w:val="20"/>
                <w:color w:val="auto"/>
              </w:rPr>
            </w:pPr>
            <w:r>
              <w:rPr>
                <w:rFonts w:ascii="Arial" w:cs="Arial" w:eastAsia="Arial" w:hAnsi="Arial"/>
                <w:sz w:val="13"/>
                <w:szCs w:val="13"/>
                <w:b w:val="1"/>
                <w:bCs w:val="1"/>
                <w:color w:val="auto"/>
              </w:rPr>
              <w:t>580</w:t>
            </w:r>
          </w:p>
        </w:tc>
        <w:tc>
          <w:tcPr>
            <w:tcW w:w="46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518</w:t>
            </w:r>
          </w:p>
        </w:tc>
      </w:tr>
      <w:tr>
        <w:trPr>
          <w:trHeight w:val="134"/>
        </w:trPr>
        <w:tc>
          <w:tcPr>
            <w:tcW w:w="33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460" w:type="dxa"/>
            <w:vAlign w:val="bottom"/>
          </w:tcPr>
          <w:p>
            <w:pPr>
              <w:jc w:val="right"/>
              <w:ind w:right="115"/>
              <w:spacing w:after="0" w:line="134" w:lineRule="exact"/>
              <w:rPr>
                <w:sz w:val="20"/>
                <w:szCs w:val="20"/>
                <w:color w:val="auto"/>
              </w:rPr>
            </w:pPr>
            <w:r>
              <w:rPr>
                <w:rFonts w:ascii="Arial" w:cs="Arial" w:eastAsia="Arial" w:hAnsi="Arial"/>
                <w:sz w:val="13"/>
                <w:szCs w:val="13"/>
                <w:b w:val="1"/>
                <w:bCs w:val="1"/>
                <w:color w:val="auto"/>
              </w:rPr>
              <w:t>1,644</w:t>
            </w:r>
          </w:p>
        </w:tc>
        <w:tc>
          <w:tcPr>
            <w:tcW w:w="460" w:type="dxa"/>
            <w:vAlign w:val="bottom"/>
          </w:tcPr>
          <w:p>
            <w:pPr>
              <w:spacing w:after="0"/>
              <w:rPr>
                <w:sz w:val="11"/>
                <w:szCs w:val="11"/>
                <w:color w:val="auto"/>
              </w:rPr>
            </w:pPr>
          </w:p>
        </w:tc>
        <w:tc>
          <w:tcPr>
            <w:tcW w:w="1400" w:type="dxa"/>
            <w:vAlign w:val="bottom"/>
          </w:tcPr>
          <w:p>
            <w:pPr>
              <w:jc w:val="right"/>
              <w:spacing w:after="0" w:line="134" w:lineRule="exact"/>
              <w:rPr>
                <w:sz w:val="20"/>
                <w:szCs w:val="20"/>
                <w:color w:val="auto"/>
              </w:rPr>
            </w:pPr>
            <w:r>
              <w:rPr>
                <w:rFonts w:ascii="Arial" w:cs="Arial" w:eastAsia="Arial" w:hAnsi="Arial"/>
                <w:sz w:val="13"/>
                <w:szCs w:val="13"/>
                <w:color w:val="auto"/>
              </w:rPr>
              <w:t>1,194</w:t>
            </w:r>
          </w:p>
        </w:tc>
      </w:tr>
      <w:tr>
        <w:trPr>
          <w:trHeight w:val="144"/>
        </w:trPr>
        <w:tc>
          <w:tcPr>
            <w:tcW w:w="33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Long-term debt and obligations under finance leases</w:t>
            </w:r>
          </w:p>
        </w:tc>
        <w:tc>
          <w:tcPr>
            <w:tcW w:w="242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115"/>
              <w:spacing w:after="0" w:line="144" w:lineRule="exact"/>
              <w:rPr>
                <w:sz w:val="20"/>
                <w:szCs w:val="20"/>
                <w:color w:val="auto"/>
              </w:rPr>
            </w:pPr>
            <w:r>
              <w:rPr>
                <w:rFonts w:ascii="Arial" w:cs="Arial" w:eastAsia="Arial" w:hAnsi="Arial"/>
                <w:sz w:val="13"/>
                <w:szCs w:val="13"/>
                <w:b w:val="1"/>
                <w:bCs w:val="1"/>
                <w:color w:val="auto"/>
              </w:rPr>
              <w:t>8</w:t>
            </w:r>
          </w:p>
        </w:tc>
        <w:tc>
          <w:tcPr>
            <w:tcW w:w="4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122</w:t>
            </w:r>
          </w:p>
        </w:tc>
      </w:tr>
      <w:tr>
        <w:trPr>
          <w:trHeight w:val="144"/>
        </w:trPr>
        <w:tc>
          <w:tcPr>
            <w:tcW w:w="3380" w:type="dxa"/>
            <w:vAlign w:val="bottom"/>
          </w:tcPr>
          <w:p>
            <w:pPr>
              <w:spacing w:after="0" w:line="144" w:lineRule="exact"/>
              <w:rPr>
                <w:sz w:val="20"/>
                <w:szCs w:val="20"/>
                <w:color w:val="auto"/>
              </w:rPr>
            </w:pPr>
            <w:r>
              <w:rPr>
                <w:rFonts w:ascii="Arial" w:cs="Arial" w:eastAsia="Arial" w:hAnsi="Arial"/>
                <w:sz w:val="13"/>
                <w:szCs w:val="13"/>
                <w:color w:val="auto"/>
              </w:rPr>
              <w:t>Long-term operating lease liabilities</w:t>
            </w:r>
          </w:p>
        </w:tc>
        <w:tc>
          <w:tcPr>
            <w:tcW w:w="2420" w:type="dxa"/>
            <w:vAlign w:val="bottom"/>
          </w:tcPr>
          <w:p>
            <w:pPr>
              <w:spacing w:after="0"/>
              <w:rPr>
                <w:sz w:val="12"/>
                <w:szCs w:val="12"/>
                <w:color w:val="auto"/>
              </w:rPr>
            </w:pPr>
          </w:p>
        </w:tc>
        <w:tc>
          <w:tcPr>
            <w:tcW w:w="1460" w:type="dxa"/>
            <w:vAlign w:val="bottom"/>
          </w:tcPr>
          <w:p>
            <w:pPr>
              <w:jc w:val="right"/>
              <w:ind w:right="115"/>
              <w:spacing w:after="0" w:line="144" w:lineRule="exact"/>
              <w:rPr>
                <w:sz w:val="20"/>
                <w:szCs w:val="20"/>
                <w:color w:val="auto"/>
              </w:rPr>
            </w:pPr>
            <w:r>
              <w:rPr>
                <w:rFonts w:ascii="Arial" w:cs="Arial" w:eastAsia="Arial" w:hAnsi="Arial"/>
                <w:sz w:val="13"/>
                <w:szCs w:val="13"/>
                <w:b w:val="1"/>
                <w:bCs w:val="1"/>
                <w:color w:val="auto"/>
              </w:rPr>
              <w:t>2,499</w:t>
            </w:r>
          </w:p>
        </w:tc>
        <w:tc>
          <w:tcPr>
            <w:tcW w:w="460" w:type="dxa"/>
            <w:vAlign w:val="bottom"/>
          </w:tcPr>
          <w:p>
            <w:pPr>
              <w:spacing w:after="0"/>
              <w:rPr>
                <w:sz w:val="12"/>
                <w:szCs w:val="12"/>
                <w:color w:val="auto"/>
              </w:rPr>
            </w:pPr>
          </w:p>
        </w:tc>
        <w:tc>
          <w:tcPr>
            <w:tcW w:w="1400" w:type="dxa"/>
            <w:vAlign w:val="bottom"/>
          </w:tcPr>
          <w:p>
            <w:pPr>
              <w:jc w:val="right"/>
              <w:spacing w:after="0" w:line="144" w:lineRule="exact"/>
              <w:rPr>
                <w:sz w:val="20"/>
                <w:szCs w:val="20"/>
                <w:color w:val="auto"/>
              </w:rPr>
            </w:pPr>
            <w:r>
              <w:rPr>
                <w:rFonts w:ascii="Arial" w:cs="Arial" w:eastAsia="Arial" w:hAnsi="Arial"/>
                <w:sz w:val="13"/>
                <w:szCs w:val="13"/>
                <w:color w:val="auto"/>
              </w:rPr>
              <w:t>2,678</w:t>
            </w:r>
          </w:p>
        </w:tc>
      </w:tr>
      <w:tr>
        <w:trPr>
          <w:trHeight w:val="144"/>
        </w:trPr>
        <w:tc>
          <w:tcPr>
            <w:tcW w:w="3380" w:type="dxa"/>
            <w:vAlign w:val="bottom"/>
            <w:tcBorders>
              <w:bottom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rPr>
              <w:t>Other liabilities</w:t>
            </w:r>
          </w:p>
        </w:tc>
        <w:tc>
          <w:tcPr>
            <w:tcW w:w="2420" w:type="dxa"/>
            <w:vAlign w:val="bottom"/>
            <w:tcBorders>
              <w:bottom w:val="single" w:sz="8" w:color="auto"/>
            </w:tcBorders>
            <w:shd w:val="clear" w:color="auto" w:fill="CCEEFF"/>
          </w:tcPr>
          <w:p>
            <w:pPr>
              <w:spacing w:after="0"/>
              <w:rPr>
                <w:sz w:val="12"/>
                <w:szCs w:val="12"/>
                <w:color w:val="auto"/>
              </w:rPr>
            </w:pPr>
          </w:p>
        </w:tc>
        <w:tc>
          <w:tcPr>
            <w:tcW w:w="1460" w:type="dxa"/>
            <w:vAlign w:val="bottom"/>
            <w:tcBorders>
              <w:bottom w:val="single" w:sz="8" w:color="auto"/>
            </w:tcBorders>
            <w:shd w:val="clear" w:color="auto" w:fill="CCEEFF"/>
          </w:tcPr>
          <w:p>
            <w:pPr>
              <w:jc w:val="right"/>
              <w:ind w:right="115"/>
              <w:spacing w:after="0" w:line="144" w:lineRule="exact"/>
              <w:rPr>
                <w:sz w:val="20"/>
                <w:szCs w:val="20"/>
                <w:color w:val="auto"/>
              </w:rPr>
            </w:pPr>
            <w:r>
              <w:rPr>
                <w:rFonts w:ascii="Arial" w:cs="Arial" w:eastAsia="Arial" w:hAnsi="Arial"/>
                <w:sz w:val="13"/>
                <w:szCs w:val="13"/>
                <w:b w:val="1"/>
                <w:bCs w:val="1"/>
                <w:color w:val="auto"/>
              </w:rPr>
              <w:t>116</w:t>
            </w:r>
          </w:p>
        </w:tc>
        <w:tc>
          <w:tcPr>
            <w:tcW w:w="46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122</w:t>
            </w:r>
          </w:p>
        </w:tc>
      </w:tr>
      <w:tr>
        <w:trPr>
          <w:trHeight w:val="134"/>
        </w:trPr>
        <w:tc>
          <w:tcPr>
            <w:tcW w:w="3380" w:type="dxa"/>
            <w:vAlign w:val="bottom"/>
          </w:tcPr>
          <w:p>
            <w:pPr>
              <w:spacing w:after="0" w:line="134" w:lineRule="exact"/>
              <w:rPr>
                <w:sz w:val="20"/>
                <w:szCs w:val="20"/>
                <w:color w:val="auto"/>
              </w:rPr>
            </w:pPr>
            <w:r>
              <w:rPr>
                <w:rFonts w:ascii="Arial" w:cs="Arial" w:eastAsia="Arial" w:hAnsi="Arial"/>
                <w:sz w:val="13"/>
                <w:szCs w:val="13"/>
                <w:color w:val="auto"/>
              </w:rPr>
              <w:t>Total liabilities</w:t>
            </w:r>
          </w:p>
        </w:tc>
        <w:tc>
          <w:tcPr>
            <w:tcW w:w="2420" w:type="dxa"/>
            <w:vAlign w:val="bottom"/>
          </w:tcPr>
          <w:p>
            <w:pPr>
              <w:spacing w:after="0"/>
              <w:rPr>
                <w:sz w:val="11"/>
                <w:szCs w:val="11"/>
                <w:color w:val="auto"/>
              </w:rPr>
            </w:pPr>
          </w:p>
        </w:tc>
        <w:tc>
          <w:tcPr>
            <w:tcW w:w="1460" w:type="dxa"/>
            <w:vAlign w:val="bottom"/>
          </w:tcPr>
          <w:p>
            <w:pPr>
              <w:jc w:val="right"/>
              <w:ind w:right="115"/>
              <w:spacing w:after="0" w:line="134" w:lineRule="exact"/>
              <w:rPr>
                <w:sz w:val="20"/>
                <w:szCs w:val="20"/>
                <w:color w:val="auto"/>
              </w:rPr>
            </w:pPr>
            <w:r>
              <w:rPr>
                <w:rFonts w:ascii="Arial" w:cs="Arial" w:eastAsia="Arial" w:hAnsi="Arial"/>
                <w:sz w:val="13"/>
                <w:szCs w:val="13"/>
                <w:b w:val="1"/>
                <w:bCs w:val="1"/>
                <w:color w:val="auto"/>
              </w:rPr>
              <w:t>4,267</w:t>
            </w:r>
          </w:p>
        </w:tc>
        <w:tc>
          <w:tcPr>
            <w:tcW w:w="460" w:type="dxa"/>
            <w:vAlign w:val="bottom"/>
          </w:tcPr>
          <w:p>
            <w:pPr>
              <w:spacing w:after="0"/>
              <w:rPr>
                <w:sz w:val="11"/>
                <w:szCs w:val="11"/>
                <w:color w:val="auto"/>
              </w:rPr>
            </w:pPr>
          </w:p>
        </w:tc>
        <w:tc>
          <w:tcPr>
            <w:tcW w:w="1400" w:type="dxa"/>
            <w:vAlign w:val="bottom"/>
          </w:tcPr>
          <w:p>
            <w:pPr>
              <w:jc w:val="right"/>
              <w:spacing w:after="0" w:line="134" w:lineRule="exact"/>
              <w:rPr>
                <w:sz w:val="20"/>
                <w:szCs w:val="20"/>
                <w:color w:val="auto"/>
              </w:rPr>
            </w:pPr>
            <w:r>
              <w:rPr>
                <w:rFonts w:ascii="Arial" w:cs="Arial" w:eastAsia="Arial" w:hAnsi="Arial"/>
                <w:sz w:val="13"/>
                <w:szCs w:val="13"/>
                <w:color w:val="auto"/>
              </w:rPr>
              <w:t>4,116</w:t>
            </w:r>
          </w:p>
        </w:tc>
      </w:tr>
      <w:tr>
        <w:trPr>
          <w:trHeight w:val="144"/>
        </w:trPr>
        <w:tc>
          <w:tcPr>
            <w:tcW w:w="33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Commitments and contingencies</w:t>
            </w:r>
          </w:p>
        </w:tc>
        <w:tc>
          <w:tcPr>
            <w:tcW w:w="24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r>
      <w:tr>
        <w:trPr>
          <w:trHeight w:val="144"/>
        </w:trPr>
        <w:tc>
          <w:tcPr>
            <w:tcW w:w="33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0" w:type="dxa"/>
            <w:vAlign w:val="bottom"/>
          </w:tcPr>
          <w:p>
            <w:pPr>
              <w:spacing w:after="0"/>
              <w:rPr>
                <w:sz w:val="12"/>
                <w:szCs w:val="12"/>
                <w:color w:val="auto"/>
              </w:rPr>
            </w:pPr>
          </w:p>
        </w:tc>
      </w:tr>
      <w:tr>
        <w:trPr>
          <w:trHeight w:val="144"/>
        </w:trPr>
        <w:tc>
          <w:tcPr>
            <w:tcW w:w="33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Shareholders’ equity:</w:t>
            </w:r>
          </w:p>
        </w:tc>
        <w:tc>
          <w:tcPr>
            <w:tcW w:w="24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r>
      <w:tr>
        <w:trPr>
          <w:trHeight w:val="144"/>
        </w:trPr>
        <w:tc>
          <w:tcPr>
            <w:tcW w:w="3380" w:type="dxa"/>
            <w:vAlign w:val="bottom"/>
          </w:tcPr>
          <w:p>
            <w:pPr>
              <w:ind w:left="80"/>
              <w:spacing w:after="0" w:line="144" w:lineRule="exact"/>
              <w:rPr>
                <w:sz w:val="20"/>
                <w:szCs w:val="20"/>
                <w:color w:val="auto"/>
              </w:rPr>
            </w:pPr>
            <w:r>
              <w:rPr>
                <w:rFonts w:ascii="Arial" w:cs="Arial" w:eastAsia="Arial" w:hAnsi="Arial"/>
                <w:sz w:val="13"/>
                <w:szCs w:val="13"/>
                <w:color w:val="auto"/>
              </w:rPr>
              <w:t>Common stock and paid-in capital: 103,693,359</w:t>
            </w:r>
          </w:p>
        </w:tc>
        <w:tc>
          <w:tcPr>
            <w:tcW w:w="2420" w:type="dxa"/>
            <w:vAlign w:val="bottom"/>
          </w:tcPr>
          <w:p>
            <w:pPr>
              <w:spacing w:after="0"/>
              <w:rPr>
                <w:sz w:val="12"/>
                <w:szCs w:val="12"/>
                <w:color w:val="auto"/>
              </w:rPr>
            </w:pPr>
          </w:p>
        </w:tc>
        <w:tc>
          <w:tcPr>
            <w:tcW w:w="1460" w:type="dxa"/>
            <w:vAlign w:val="bottom"/>
          </w:tcPr>
          <w:p>
            <w:pPr>
              <w:jc w:val="right"/>
              <w:ind w:right="115"/>
              <w:spacing w:after="0" w:line="144" w:lineRule="exact"/>
              <w:rPr>
                <w:sz w:val="20"/>
                <w:szCs w:val="20"/>
                <w:color w:val="auto"/>
              </w:rPr>
            </w:pPr>
            <w:r>
              <w:rPr>
                <w:rFonts w:ascii="Arial" w:cs="Arial" w:eastAsia="Arial" w:hAnsi="Arial"/>
                <w:sz w:val="13"/>
                <w:szCs w:val="13"/>
                <w:b w:val="1"/>
                <w:bCs w:val="1"/>
                <w:color w:val="auto"/>
              </w:rPr>
              <w:t>779</w:t>
            </w:r>
          </w:p>
        </w:tc>
        <w:tc>
          <w:tcPr>
            <w:tcW w:w="460" w:type="dxa"/>
            <w:vAlign w:val="bottom"/>
          </w:tcPr>
          <w:p>
            <w:pPr>
              <w:spacing w:after="0"/>
              <w:rPr>
                <w:sz w:val="12"/>
                <w:szCs w:val="12"/>
                <w:color w:val="auto"/>
              </w:rPr>
            </w:pPr>
          </w:p>
        </w:tc>
        <w:tc>
          <w:tcPr>
            <w:tcW w:w="1400" w:type="dxa"/>
            <w:vAlign w:val="bottom"/>
          </w:tcPr>
          <w:p>
            <w:pPr>
              <w:jc w:val="right"/>
              <w:spacing w:after="0" w:line="144" w:lineRule="exact"/>
              <w:rPr>
                <w:sz w:val="20"/>
                <w:szCs w:val="20"/>
                <w:color w:val="auto"/>
              </w:rPr>
            </w:pPr>
            <w:r>
              <w:rPr>
                <w:rFonts w:ascii="Arial" w:cs="Arial" w:eastAsia="Arial" w:hAnsi="Arial"/>
                <w:sz w:val="13"/>
                <w:szCs w:val="13"/>
                <w:color w:val="auto"/>
              </w:rPr>
              <w:t>764</w:t>
            </w:r>
          </w:p>
        </w:tc>
      </w:tr>
      <w:tr>
        <w:trPr>
          <w:trHeight w:val="144"/>
        </w:trPr>
        <w:tc>
          <w:tcPr>
            <w:tcW w:w="3380" w:type="dxa"/>
            <w:vAlign w:val="bottom"/>
            <w:shd w:val="clear" w:color="auto" w:fill="CCEEFF"/>
          </w:tcPr>
          <w:p>
            <w:pPr>
              <w:ind w:left="160"/>
              <w:spacing w:after="0" w:line="144" w:lineRule="exact"/>
              <w:rPr>
                <w:sz w:val="20"/>
                <w:szCs w:val="20"/>
                <w:color w:val="auto"/>
              </w:rPr>
            </w:pPr>
            <w:r>
              <w:rPr>
                <w:rFonts w:ascii="Arial" w:cs="Arial" w:eastAsia="Arial" w:hAnsi="Arial"/>
                <w:sz w:val="13"/>
                <w:szCs w:val="13"/>
                <w:color w:val="auto"/>
              </w:rPr>
              <w:t>and 104,187,310 shares outstanding, respectively</w:t>
            </w:r>
          </w:p>
        </w:tc>
        <w:tc>
          <w:tcPr>
            <w:tcW w:w="242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r>
      <w:tr>
        <w:trPr>
          <w:trHeight w:val="144"/>
        </w:trPr>
        <w:tc>
          <w:tcPr>
            <w:tcW w:w="3380" w:type="dxa"/>
            <w:vAlign w:val="bottom"/>
          </w:tcPr>
          <w:p>
            <w:pPr>
              <w:ind w:left="80"/>
              <w:spacing w:after="0" w:line="144" w:lineRule="exact"/>
              <w:rPr>
                <w:sz w:val="20"/>
                <w:szCs w:val="20"/>
                <w:color w:val="auto"/>
              </w:rPr>
            </w:pPr>
            <w:r>
              <w:rPr>
                <w:rFonts w:ascii="Arial" w:cs="Arial" w:eastAsia="Arial" w:hAnsi="Arial"/>
                <w:sz w:val="13"/>
                <w:szCs w:val="13"/>
                <w:color w:val="auto"/>
              </w:rPr>
              <w:t>Retained earnings</w:t>
            </w:r>
          </w:p>
        </w:tc>
        <w:tc>
          <w:tcPr>
            <w:tcW w:w="2420" w:type="dxa"/>
            <w:vAlign w:val="bottom"/>
          </w:tcPr>
          <w:p>
            <w:pPr>
              <w:spacing w:after="0"/>
              <w:rPr>
                <w:sz w:val="12"/>
                <w:szCs w:val="12"/>
                <w:color w:val="auto"/>
              </w:rPr>
            </w:pPr>
          </w:p>
        </w:tc>
        <w:tc>
          <w:tcPr>
            <w:tcW w:w="1460" w:type="dxa"/>
            <w:vAlign w:val="bottom"/>
          </w:tcPr>
          <w:p>
            <w:pPr>
              <w:jc w:val="right"/>
              <w:ind w:right="115"/>
              <w:spacing w:after="0" w:line="144" w:lineRule="exact"/>
              <w:rPr>
                <w:sz w:val="20"/>
                <w:szCs w:val="20"/>
                <w:color w:val="auto"/>
              </w:rPr>
            </w:pPr>
            <w:r>
              <w:rPr>
                <w:rFonts w:ascii="Arial" w:cs="Arial" w:eastAsia="Arial" w:hAnsi="Arial"/>
                <w:sz w:val="13"/>
                <w:szCs w:val="13"/>
                <w:b w:val="1"/>
                <w:bCs w:val="1"/>
                <w:color w:val="auto"/>
              </w:rPr>
              <w:t>2,326</w:t>
            </w:r>
          </w:p>
        </w:tc>
        <w:tc>
          <w:tcPr>
            <w:tcW w:w="460" w:type="dxa"/>
            <w:vAlign w:val="bottom"/>
          </w:tcPr>
          <w:p>
            <w:pPr>
              <w:spacing w:after="0"/>
              <w:rPr>
                <w:sz w:val="12"/>
                <w:szCs w:val="12"/>
                <w:color w:val="auto"/>
              </w:rPr>
            </w:pPr>
          </w:p>
        </w:tc>
        <w:tc>
          <w:tcPr>
            <w:tcW w:w="1400" w:type="dxa"/>
            <w:vAlign w:val="bottom"/>
          </w:tcPr>
          <w:p>
            <w:pPr>
              <w:jc w:val="right"/>
              <w:spacing w:after="0" w:line="144" w:lineRule="exact"/>
              <w:rPr>
                <w:sz w:val="20"/>
                <w:szCs w:val="20"/>
                <w:color w:val="auto"/>
              </w:rPr>
            </w:pPr>
            <w:r>
              <w:rPr>
                <w:rFonts w:ascii="Arial" w:cs="Arial" w:eastAsia="Arial" w:hAnsi="Arial"/>
                <w:sz w:val="13"/>
                <w:szCs w:val="13"/>
                <w:color w:val="auto"/>
              </w:rPr>
              <w:t>2,103</w:t>
            </w:r>
          </w:p>
        </w:tc>
      </w:tr>
      <w:tr>
        <w:trPr>
          <w:trHeight w:val="144"/>
        </w:trPr>
        <w:tc>
          <w:tcPr>
            <w:tcW w:w="3380" w:type="dxa"/>
            <w:vAlign w:val="bottom"/>
            <w:shd w:val="clear" w:color="auto" w:fill="CCEEFF"/>
          </w:tcPr>
          <w:p>
            <w:pPr>
              <w:ind w:left="80"/>
              <w:spacing w:after="0" w:line="144" w:lineRule="exact"/>
              <w:rPr>
                <w:sz w:val="20"/>
                <w:szCs w:val="20"/>
                <w:color w:val="auto"/>
              </w:rPr>
            </w:pPr>
            <w:r>
              <w:rPr>
                <w:rFonts w:ascii="Arial" w:cs="Arial" w:eastAsia="Arial" w:hAnsi="Arial"/>
                <w:sz w:val="13"/>
                <w:szCs w:val="13"/>
                <w:color w:val="auto"/>
              </w:rPr>
              <w:t>Accumulated other comprehensive loss</w:t>
            </w:r>
          </w:p>
        </w:tc>
        <w:tc>
          <w:tcPr>
            <w:tcW w:w="2420" w:type="dxa"/>
            <w:vAlign w:val="bottom"/>
            <w:shd w:val="clear" w:color="auto" w:fill="CCEEFF"/>
          </w:tcPr>
          <w:p>
            <w:pPr>
              <w:spacing w:after="0"/>
              <w:rPr>
                <w:sz w:val="12"/>
                <w:szCs w:val="12"/>
                <w:color w:val="auto"/>
              </w:rPr>
            </w:pPr>
          </w:p>
        </w:tc>
        <w:tc>
          <w:tcPr>
            <w:tcW w:w="146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b w:val="1"/>
                <w:bCs w:val="1"/>
                <w:color w:val="auto"/>
              </w:rPr>
              <w:t>(331)</w:t>
            </w:r>
          </w:p>
        </w:tc>
        <w:tc>
          <w:tcPr>
            <w:tcW w:w="460" w:type="dxa"/>
            <w:vAlign w:val="bottom"/>
            <w:shd w:val="clear" w:color="auto" w:fill="CCEEFF"/>
          </w:tcPr>
          <w:p>
            <w:pPr>
              <w:spacing w:after="0"/>
              <w:rPr>
                <w:sz w:val="12"/>
                <w:szCs w:val="12"/>
                <w:color w:val="auto"/>
              </w:rPr>
            </w:pPr>
          </w:p>
        </w:tc>
        <w:tc>
          <w:tcPr>
            <w:tcW w:w="14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(394)</w:t>
            </w:r>
          </w:p>
        </w:tc>
      </w:tr>
      <w:tr>
        <w:trPr>
          <w:trHeight w:val="144"/>
        </w:trPr>
        <w:tc>
          <w:tcPr>
            <w:tcW w:w="3380" w:type="dxa"/>
            <w:vAlign w:val="bottom"/>
          </w:tcPr>
          <w:p>
            <w:pPr>
              <w:ind w:left="80"/>
              <w:spacing w:after="0" w:line="144" w:lineRule="exact"/>
              <w:rPr>
                <w:sz w:val="20"/>
                <w:szCs w:val="20"/>
                <w:color w:val="auto"/>
              </w:rPr>
            </w:pPr>
            <w:r>
              <w:rPr>
                <w:rFonts w:ascii="Arial" w:cs="Arial" w:eastAsia="Arial" w:hAnsi="Arial"/>
                <w:sz w:val="13"/>
                <w:szCs w:val="13"/>
                <w:color w:val="auto"/>
              </w:rPr>
              <w:t>Treasury stock at cost: 74,236 and - shares, respectively</w:t>
            </w:r>
          </w:p>
        </w:tc>
        <w:tc>
          <w:tcPr>
            <w:tcW w:w="2420" w:type="dxa"/>
            <w:vAlign w:val="bottom"/>
          </w:tcPr>
          <w:p>
            <w:pPr>
              <w:spacing w:after="0"/>
              <w:rPr>
                <w:sz w:val="12"/>
                <w:szCs w:val="12"/>
                <w:color w:val="auto"/>
              </w:rPr>
            </w:pPr>
          </w:p>
        </w:tc>
        <w:tc>
          <w:tcPr>
            <w:tcW w:w="1460" w:type="dxa"/>
            <w:vAlign w:val="bottom"/>
          </w:tcPr>
          <w:p>
            <w:pPr>
              <w:jc w:val="right"/>
              <w:ind w:right="75"/>
              <w:spacing w:after="0" w:line="144" w:lineRule="exact"/>
              <w:rPr>
                <w:sz w:val="20"/>
                <w:szCs w:val="20"/>
                <w:color w:val="auto"/>
              </w:rPr>
            </w:pPr>
            <w:r>
              <w:rPr>
                <w:rFonts w:ascii="Arial" w:cs="Arial" w:eastAsia="Arial" w:hAnsi="Arial"/>
                <w:sz w:val="13"/>
                <w:szCs w:val="13"/>
                <w:b w:val="1"/>
                <w:bCs w:val="1"/>
                <w:color w:val="auto"/>
              </w:rPr>
              <w:t>(3)</w:t>
            </w:r>
          </w:p>
        </w:tc>
        <w:tc>
          <w:tcPr>
            <w:tcW w:w="460" w:type="dxa"/>
            <w:vAlign w:val="bottom"/>
          </w:tcPr>
          <w:p>
            <w:pPr>
              <w:spacing w:after="0"/>
              <w:rPr>
                <w:sz w:val="12"/>
                <w:szCs w:val="12"/>
                <w:color w:val="auto"/>
              </w:rPr>
            </w:pPr>
          </w:p>
        </w:tc>
        <w:tc>
          <w:tcPr>
            <w:tcW w:w="14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r>
      <w:tr>
        <w:trPr>
          <w:trHeight w:val="144"/>
        </w:trPr>
        <w:tc>
          <w:tcPr>
            <w:tcW w:w="3380" w:type="dxa"/>
            <w:vAlign w:val="bottom"/>
            <w:tcBorders>
              <w:bottom w:val="single" w:sz="8" w:color="auto"/>
            </w:tcBorders>
            <w:shd w:val="clear" w:color="auto" w:fill="CCEEFF"/>
          </w:tcPr>
          <w:p>
            <w:pPr>
              <w:ind w:left="80"/>
              <w:spacing w:after="0" w:line="144" w:lineRule="exact"/>
              <w:rPr>
                <w:sz w:val="20"/>
                <w:szCs w:val="20"/>
                <w:color w:val="auto"/>
              </w:rPr>
            </w:pPr>
            <w:r>
              <w:rPr>
                <w:rFonts w:ascii="Arial" w:cs="Arial" w:eastAsia="Arial" w:hAnsi="Arial"/>
                <w:sz w:val="13"/>
                <w:szCs w:val="13"/>
                <w:color w:val="auto"/>
              </w:rPr>
              <w:t>Noncontrolling interest</w:t>
            </w:r>
          </w:p>
        </w:tc>
        <w:tc>
          <w:tcPr>
            <w:tcW w:w="2420" w:type="dxa"/>
            <w:vAlign w:val="bottom"/>
            <w:tcBorders>
              <w:bottom w:val="single" w:sz="8" w:color="auto"/>
            </w:tcBorders>
            <w:shd w:val="clear" w:color="auto" w:fill="CCEEFF"/>
          </w:tcPr>
          <w:p>
            <w:pPr>
              <w:spacing w:after="0"/>
              <w:rPr>
                <w:sz w:val="12"/>
                <w:szCs w:val="12"/>
                <w:color w:val="auto"/>
              </w:rPr>
            </w:pPr>
          </w:p>
        </w:tc>
        <w:tc>
          <w:tcPr>
            <w:tcW w:w="1460" w:type="dxa"/>
            <w:vAlign w:val="bottom"/>
            <w:tcBorders>
              <w:bottom w:val="single" w:sz="8" w:color="auto"/>
            </w:tcBorders>
            <w:shd w:val="clear" w:color="auto" w:fill="CCEEFF"/>
          </w:tcPr>
          <w:p>
            <w:pPr>
              <w:jc w:val="right"/>
              <w:ind w:right="115"/>
              <w:spacing w:after="0" w:line="144" w:lineRule="exact"/>
              <w:rPr>
                <w:sz w:val="20"/>
                <w:szCs w:val="20"/>
                <w:color w:val="auto"/>
              </w:rPr>
            </w:pPr>
            <w:r>
              <w:rPr>
                <w:rFonts w:ascii="Arial" w:cs="Arial" w:eastAsia="Arial" w:hAnsi="Arial"/>
                <w:sz w:val="13"/>
                <w:szCs w:val="13"/>
                <w:b w:val="1"/>
                <w:bCs w:val="1"/>
                <w:color w:val="auto"/>
              </w:rPr>
              <w:t>5</w:t>
            </w:r>
          </w:p>
        </w:tc>
        <w:tc>
          <w:tcPr>
            <w:tcW w:w="460" w:type="dxa"/>
            <w:vAlign w:val="bottom"/>
            <w:tcBorders>
              <w:bottom w:val="single" w:sz="8" w:color="auto"/>
            </w:tcBorders>
            <w:shd w:val="clear" w:color="auto" w:fill="CCEEFF"/>
          </w:tcPr>
          <w:p>
            <w:pPr>
              <w:spacing w:after="0"/>
              <w:rPr>
                <w:sz w:val="12"/>
                <w:szCs w:val="12"/>
                <w:color w:val="auto"/>
              </w:rPr>
            </w:pPr>
          </w:p>
        </w:tc>
        <w:tc>
          <w:tcPr>
            <w:tcW w:w="140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r>
      <w:tr>
        <w:trPr>
          <w:trHeight w:val="134"/>
        </w:trPr>
        <w:tc>
          <w:tcPr>
            <w:tcW w:w="3380" w:type="dxa"/>
            <w:vAlign w:val="bottom"/>
            <w:tcBorders>
              <w:bottom w:val="single" w:sz="8" w:color="auto"/>
            </w:tcBorders>
          </w:tcPr>
          <w:p>
            <w:pPr>
              <w:spacing w:after="0" w:line="134" w:lineRule="exact"/>
              <w:rPr>
                <w:sz w:val="20"/>
                <w:szCs w:val="20"/>
                <w:color w:val="auto"/>
              </w:rPr>
            </w:pPr>
            <w:r>
              <w:rPr>
                <w:rFonts w:ascii="Arial" w:cs="Arial" w:eastAsia="Arial" w:hAnsi="Arial"/>
                <w:sz w:val="13"/>
                <w:szCs w:val="13"/>
                <w:color w:val="auto"/>
              </w:rPr>
              <w:t>Total shareholder's equity</w:t>
            </w:r>
          </w:p>
        </w:tc>
        <w:tc>
          <w:tcPr>
            <w:tcW w:w="242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jc w:val="right"/>
              <w:ind w:right="115"/>
              <w:spacing w:after="0" w:line="134" w:lineRule="exact"/>
              <w:rPr>
                <w:sz w:val="20"/>
                <w:szCs w:val="20"/>
                <w:color w:val="auto"/>
              </w:rPr>
            </w:pPr>
            <w:r>
              <w:rPr>
                <w:rFonts w:ascii="Arial" w:cs="Arial" w:eastAsia="Arial" w:hAnsi="Arial"/>
                <w:sz w:val="13"/>
                <w:szCs w:val="13"/>
                <w:b w:val="1"/>
                <w:bCs w:val="1"/>
                <w:color w:val="auto"/>
              </w:rPr>
              <w:t>2,776</w:t>
            </w:r>
          </w:p>
        </w:tc>
        <w:tc>
          <w:tcPr>
            <w:tcW w:w="4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2,473</w:t>
            </w:r>
          </w:p>
        </w:tc>
      </w:tr>
      <w:tr>
        <w:trPr>
          <w:trHeight w:val="134"/>
        </w:trPr>
        <w:tc>
          <w:tcPr>
            <w:tcW w:w="3380" w:type="dxa"/>
            <w:vAlign w:val="bottom"/>
            <w:tcBorders>
              <w:bottom w:val="single" w:sz="8" w:color="auto"/>
            </w:tcBorders>
            <w:shd w:val="clear" w:color="auto" w:fill="CCEEFF"/>
          </w:tcPr>
          <w:p>
            <w:pPr>
              <w:spacing w:after="0"/>
              <w:rPr>
                <w:sz w:val="11"/>
                <w:szCs w:val="11"/>
                <w:color w:val="auto"/>
              </w:rPr>
            </w:pPr>
          </w:p>
        </w:tc>
        <w:tc>
          <w:tcPr>
            <w:tcW w:w="2420" w:type="dxa"/>
            <w:vAlign w:val="bottom"/>
            <w:tcBorders>
              <w:bottom w:val="single" w:sz="8" w:color="auto"/>
            </w:tcBorders>
            <w:shd w:val="clear" w:color="auto" w:fill="CCEEFF"/>
          </w:tcPr>
          <w:p>
            <w:pPr>
              <w:jc w:val="right"/>
              <w:ind w:right="275"/>
              <w:spacing w:after="0" w:line="134" w:lineRule="exact"/>
              <w:rPr>
                <w:sz w:val="20"/>
                <w:szCs w:val="20"/>
                <w:color w:val="auto"/>
              </w:rPr>
            </w:pPr>
            <w:r>
              <w:rPr>
                <w:rFonts w:ascii="Arial" w:cs="Arial" w:eastAsia="Arial" w:hAnsi="Arial"/>
                <w:sz w:val="13"/>
                <w:szCs w:val="13"/>
                <w:b w:val="1"/>
                <w:bCs w:val="1"/>
                <w:color w:val="auto"/>
              </w:rPr>
              <w:t>$</w:t>
            </w:r>
          </w:p>
        </w:tc>
        <w:tc>
          <w:tcPr>
            <w:tcW w:w="1460" w:type="dxa"/>
            <w:vAlign w:val="bottom"/>
            <w:tcBorders>
              <w:bottom w:val="single" w:sz="8" w:color="auto"/>
            </w:tcBorders>
            <w:shd w:val="clear" w:color="auto" w:fill="CCEEFF"/>
          </w:tcPr>
          <w:p>
            <w:pPr>
              <w:jc w:val="right"/>
              <w:ind w:right="115"/>
              <w:spacing w:after="0" w:line="134" w:lineRule="exact"/>
              <w:rPr>
                <w:sz w:val="20"/>
                <w:szCs w:val="20"/>
                <w:color w:val="auto"/>
              </w:rPr>
            </w:pPr>
            <w:r>
              <w:rPr>
                <w:rFonts w:ascii="Arial" w:cs="Arial" w:eastAsia="Arial" w:hAnsi="Arial"/>
                <w:sz w:val="13"/>
                <w:szCs w:val="13"/>
                <w:b w:val="1"/>
                <w:bCs w:val="1"/>
                <w:color w:val="auto"/>
              </w:rPr>
              <w:t>7,043</w:t>
            </w:r>
          </w:p>
        </w:tc>
        <w:tc>
          <w:tcPr>
            <w:tcW w:w="460" w:type="dxa"/>
            <w:vAlign w:val="bottom"/>
            <w:tcBorders>
              <w:bottom w:val="single" w:sz="8" w:color="auto"/>
            </w:tcBorders>
            <w:shd w:val="clear" w:color="auto" w:fill="CCEEFF"/>
          </w:tcPr>
          <w:p>
            <w:pPr>
              <w:jc w:val="right"/>
              <w:ind w:right="175"/>
              <w:spacing w:after="0" w:line="134" w:lineRule="exact"/>
              <w:rPr>
                <w:sz w:val="20"/>
                <w:szCs w:val="20"/>
                <w:color w:val="auto"/>
              </w:rPr>
            </w:pPr>
            <w:r>
              <w:rPr>
                <w:rFonts w:ascii="Arial" w:cs="Arial" w:eastAsia="Arial" w:hAnsi="Arial"/>
                <w:sz w:val="13"/>
                <w:szCs w:val="13"/>
                <w:color w:val="auto"/>
              </w:rPr>
              <w:t>$</w:t>
            </w:r>
          </w:p>
        </w:tc>
        <w:tc>
          <w:tcPr>
            <w:tcW w:w="140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6,589</w:t>
            </w:r>
          </w:p>
        </w:tc>
      </w:tr>
      <w:tr>
        <w:trPr>
          <w:trHeight w:val="20"/>
        </w:trPr>
        <w:tc>
          <w:tcPr>
            <w:tcW w:w="3380" w:type="dxa"/>
            <w:vAlign w:val="bottom"/>
            <w:tcBorders>
              <w:bottom w:val="single" w:sz="8" w:color="auto"/>
            </w:tcBorders>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2934335</wp:posOffset>
            </wp:positionH>
            <wp:positionV relativeFrom="page">
              <wp:posOffset>434340</wp:posOffset>
            </wp:positionV>
            <wp:extent cx="1569720" cy="169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569720" cy="16954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3"/>
          <w:szCs w:val="13"/>
          <w:color w:val="auto"/>
        </w:rPr>
        <w:t>See Accompanying Notes to Consolidated Financial Statements.</w:t>
      </w:r>
    </w:p>
    <w:p>
      <w:pPr>
        <w:spacing w:after="0" w:line="200" w:lineRule="exact"/>
        <w:rPr>
          <w:sz w:val="20"/>
          <w:szCs w:val="20"/>
          <w:color w:val="auto"/>
        </w:rPr>
      </w:pPr>
    </w:p>
    <w:p>
      <w:pPr>
        <w:spacing w:after="0" w:line="266" w:lineRule="exact"/>
        <w:rPr>
          <w:sz w:val="20"/>
          <w:szCs w:val="20"/>
          <w:color w:val="auto"/>
        </w:rPr>
      </w:pPr>
    </w:p>
    <w:p>
      <w:pPr>
        <w:ind w:left="7660"/>
        <w:spacing w:after="0"/>
        <w:rPr>
          <w:sz w:val="20"/>
          <w:szCs w:val="20"/>
          <w:color w:val="auto"/>
        </w:rPr>
      </w:pPr>
      <w:r>
        <w:rPr>
          <w:rFonts w:ascii="Arial" w:cs="Arial" w:eastAsia="Arial" w:hAnsi="Arial"/>
          <w:sz w:val="12"/>
          <w:szCs w:val="12"/>
          <w:color w:val="auto"/>
        </w:rPr>
        <w:t>2020 Form 10-K 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365125</wp:posOffset>
            </wp:positionV>
            <wp:extent cx="5790565" cy="196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90565" cy="19685"/>
                    </a:xfrm>
                    <a:prstGeom prst="rect">
                      <a:avLst/>
                    </a:prstGeom>
                    <a:noFill/>
                  </pic:spPr>
                </pic:pic>
              </a:graphicData>
            </a:graphic>
          </wp:anchor>
        </w:drawing>
      </w:r>
    </w:p>
    <w:p>
      <w:pPr>
        <w:sectPr>
          <w:pgSz w:w="11900" w:h="16838" w:orient="portrait"/>
          <w:cols w:equalWidth="0" w:num="1">
            <w:col w:w="9159"/>
          </w:cols>
          <w:pgMar w:left="1300" w:top="1052" w:right="1440" w:bottom="1440" w:gutter="0" w:footer="0" w:header="0"/>
        </w:sectPr>
      </w:pPr>
    </w:p>
    <w:bookmarkStart w:id="41" w:name="page42"/>
    <w:bookmarkEnd w:id="41"/>
    <w:p>
      <w:pPr>
        <w:ind w:left="2220"/>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2934335</wp:posOffset>
            </wp:positionH>
            <wp:positionV relativeFrom="page">
              <wp:posOffset>629285</wp:posOffset>
            </wp:positionV>
            <wp:extent cx="1569720" cy="169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569720" cy="169545"/>
                    </a:xfrm>
                    <a:prstGeom prst="rect">
                      <a:avLst/>
                    </a:prstGeom>
                    <a:noFill/>
                  </pic:spPr>
                </pic:pic>
              </a:graphicData>
            </a:graphic>
          </wp:anchor>
        </w:drawing>
        <w:t>CONSOLIDATED STATEMENTS OF CHANGES IN SHAREHOLDERS’ EQUITY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300" w:type="dxa"/>
            <w:vAlign w:val="bottom"/>
          </w:tcPr>
          <w:p>
            <w:pPr>
              <w:spacing w:after="0"/>
              <w:rPr>
                <w:sz w:val="10"/>
                <w:szCs w:val="10"/>
                <w:color w:val="auto"/>
              </w:rPr>
            </w:pPr>
          </w:p>
        </w:tc>
        <w:tc>
          <w:tcPr>
            <w:tcW w:w="1380" w:type="dxa"/>
            <w:vAlign w:val="bottom"/>
            <w:gridSpan w:val="4"/>
          </w:tcPr>
          <w:p>
            <w:pPr>
              <w:jc w:val="center"/>
              <w:ind w:right="140"/>
              <w:spacing w:after="0"/>
              <w:rPr>
                <w:sz w:val="20"/>
                <w:szCs w:val="20"/>
                <w:color w:val="auto"/>
              </w:rPr>
            </w:pPr>
            <w:r>
              <w:rPr>
                <w:rFonts w:ascii="Arial" w:cs="Arial" w:eastAsia="Arial" w:hAnsi="Arial"/>
                <w:sz w:val="10"/>
                <w:szCs w:val="10"/>
                <w:b w:val="1"/>
                <w:bCs w:val="1"/>
                <w:color w:val="auto"/>
              </w:rPr>
              <w:t>Additional Paid-In</w:t>
            </w: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jc w:val="center"/>
              <w:ind w:right="89"/>
              <w:spacing w:after="0"/>
              <w:rPr>
                <w:sz w:val="20"/>
                <w:szCs w:val="20"/>
                <w:color w:val="auto"/>
              </w:rPr>
            </w:pPr>
            <w:r>
              <w:rPr>
                <w:rFonts w:ascii="Arial" w:cs="Arial" w:eastAsia="Arial" w:hAnsi="Arial"/>
                <w:sz w:val="10"/>
                <w:szCs w:val="10"/>
                <w:b w:val="1"/>
                <w:bCs w:val="1"/>
                <w:color w:val="auto"/>
              </w:rPr>
              <w:t>Accumulated</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13"/>
        </w:trPr>
        <w:tc>
          <w:tcPr>
            <w:tcW w:w="3300" w:type="dxa"/>
            <w:vAlign w:val="bottom"/>
          </w:tcPr>
          <w:p>
            <w:pPr>
              <w:spacing w:after="0"/>
              <w:rPr>
                <w:sz w:val="9"/>
                <w:szCs w:val="9"/>
                <w:color w:val="auto"/>
              </w:rPr>
            </w:pPr>
          </w:p>
        </w:tc>
        <w:tc>
          <w:tcPr>
            <w:tcW w:w="1000" w:type="dxa"/>
            <w:vAlign w:val="bottom"/>
            <w:gridSpan w:val="2"/>
          </w:tcPr>
          <w:p>
            <w:pPr>
              <w:jc w:val="center"/>
              <w:ind w:left="189"/>
              <w:spacing w:after="0" w:line="113" w:lineRule="exact"/>
              <w:rPr>
                <w:sz w:val="20"/>
                <w:szCs w:val="20"/>
                <w:color w:val="auto"/>
              </w:rPr>
            </w:pPr>
            <w:r>
              <w:rPr>
                <w:rFonts w:ascii="Arial" w:cs="Arial" w:eastAsia="Arial" w:hAnsi="Arial"/>
                <w:sz w:val="10"/>
                <w:szCs w:val="10"/>
                <w:b w:val="1"/>
                <w:bCs w:val="1"/>
                <w:color w:val="auto"/>
              </w:rPr>
              <w:t>Capital &amp;</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jc w:val="center"/>
              <w:ind w:right="89"/>
              <w:spacing w:after="0" w:line="113" w:lineRule="exact"/>
              <w:rPr>
                <w:sz w:val="20"/>
                <w:szCs w:val="20"/>
                <w:color w:val="auto"/>
              </w:rPr>
            </w:pPr>
            <w:r>
              <w:rPr>
                <w:rFonts w:ascii="Arial" w:cs="Arial" w:eastAsia="Arial" w:hAnsi="Arial"/>
                <w:sz w:val="10"/>
                <w:szCs w:val="10"/>
                <w:b w:val="1"/>
                <w:bCs w:val="1"/>
                <w:color w:val="auto"/>
              </w:rPr>
              <w:t>Other</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jc w:val="right"/>
              <w:ind w:right="289"/>
              <w:spacing w:after="0" w:line="113" w:lineRule="exact"/>
              <w:rPr>
                <w:sz w:val="20"/>
                <w:szCs w:val="20"/>
                <w:color w:val="auto"/>
              </w:rPr>
            </w:pPr>
            <w:r>
              <w:rPr>
                <w:rFonts w:ascii="Arial" w:cs="Arial" w:eastAsia="Arial" w:hAnsi="Arial"/>
                <w:sz w:val="10"/>
                <w:szCs w:val="10"/>
                <w:b w:val="1"/>
                <w:bCs w:val="1"/>
                <w:color w:val="auto"/>
              </w:rPr>
              <w:t>Total</w:t>
            </w:r>
          </w:p>
        </w:tc>
      </w:tr>
      <w:tr>
        <w:trPr>
          <w:trHeight w:val="125"/>
        </w:trPr>
        <w:tc>
          <w:tcPr>
            <w:tcW w:w="3300" w:type="dxa"/>
            <w:vAlign w:val="bottom"/>
          </w:tcPr>
          <w:p>
            <w:pPr>
              <w:spacing w:after="0"/>
              <w:rPr>
                <w:sz w:val="10"/>
                <w:szCs w:val="10"/>
                <w:color w:val="auto"/>
              </w:rPr>
            </w:pPr>
          </w:p>
        </w:tc>
        <w:tc>
          <w:tcPr>
            <w:tcW w:w="1000" w:type="dxa"/>
            <w:vAlign w:val="bottom"/>
            <w:gridSpan w:val="2"/>
          </w:tcPr>
          <w:p>
            <w:pPr>
              <w:jc w:val="center"/>
              <w:ind w:left="189"/>
              <w:spacing w:after="0"/>
              <w:rPr>
                <w:sz w:val="20"/>
                <w:szCs w:val="20"/>
                <w:color w:val="auto"/>
              </w:rPr>
            </w:pPr>
            <w:r>
              <w:rPr>
                <w:rFonts w:ascii="Arial" w:cs="Arial" w:eastAsia="Arial" w:hAnsi="Arial"/>
                <w:sz w:val="10"/>
                <w:szCs w:val="10"/>
                <w:b w:val="1"/>
                <w:bCs w:val="1"/>
                <w:color w:val="auto"/>
              </w:rPr>
              <w:t>Common Stock</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4"/>
          </w:tcPr>
          <w:p>
            <w:pPr>
              <w:jc w:val="right"/>
              <w:ind w:right="300"/>
              <w:spacing w:after="0"/>
              <w:rPr>
                <w:sz w:val="20"/>
                <w:szCs w:val="20"/>
                <w:color w:val="auto"/>
              </w:rPr>
            </w:pPr>
            <w:r>
              <w:rPr>
                <w:rFonts w:ascii="Arial" w:cs="Arial" w:eastAsia="Arial" w:hAnsi="Arial"/>
                <w:sz w:val="10"/>
                <w:szCs w:val="10"/>
                <w:b w:val="1"/>
                <w:bCs w:val="1"/>
                <w:color w:val="auto"/>
              </w:rPr>
              <w:t>Treasury Stock</w:t>
            </w:r>
          </w:p>
        </w:tc>
        <w:tc>
          <w:tcPr>
            <w:tcW w:w="740" w:type="dxa"/>
            <w:vAlign w:val="bottom"/>
            <w:gridSpan w:val="2"/>
          </w:tcPr>
          <w:p>
            <w:pPr>
              <w:jc w:val="right"/>
              <w:ind w:right="129"/>
              <w:spacing w:after="0"/>
              <w:rPr>
                <w:sz w:val="20"/>
                <w:szCs w:val="20"/>
                <w:color w:val="auto"/>
              </w:rPr>
            </w:pPr>
            <w:r>
              <w:rPr>
                <w:rFonts w:ascii="Arial" w:cs="Arial" w:eastAsia="Arial" w:hAnsi="Arial"/>
                <w:sz w:val="10"/>
                <w:szCs w:val="10"/>
                <w:b w:val="1"/>
                <w:bCs w:val="1"/>
                <w:color w:val="auto"/>
              </w:rPr>
              <w:t>Retained</w:t>
            </w:r>
          </w:p>
        </w:tc>
        <w:tc>
          <w:tcPr>
            <w:tcW w:w="180" w:type="dxa"/>
            <w:vAlign w:val="bottom"/>
          </w:tcPr>
          <w:p>
            <w:pPr>
              <w:spacing w:after="0"/>
              <w:rPr>
                <w:sz w:val="10"/>
                <w:szCs w:val="10"/>
                <w:color w:val="auto"/>
              </w:rPr>
            </w:pPr>
          </w:p>
        </w:tc>
        <w:tc>
          <w:tcPr>
            <w:tcW w:w="940" w:type="dxa"/>
            <w:vAlign w:val="bottom"/>
          </w:tcPr>
          <w:p>
            <w:pPr>
              <w:jc w:val="center"/>
              <w:ind w:right="89"/>
              <w:spacing w:after="0"/>
              <w:rPr>
                <w:sz w:val="20"/>
                <w:szCs w:val="20"/>
                <w:color w:val="auto"/>
              </w:rPr>
            </w:pPr>
            <w:r>
              <w:rPr>
                <w:rFonts w:ascii="Arial" w:cs="Arial" w:eastAsia="Arial" w:hAnsi="Arial"/>
                <w:sz w:val="10"/>
                <w:szCs w:val="10"/>
                <w:b w:val="1"/>
                <w:bCs w:val="1"/>
                <w:color w:val="auto"/>
              </w:rPr>
              <w:t>Comprehensive</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jc w:val="right"/>
              <w:ind w:right="209"/>
              <w:spacing w:after="0"/>
              <w:rPr>
                <w:sz w:val="20"/>
                <w:szCs w:val="20"/>
                <w:color w:val="auto"/>
              </w:rPr>
            </w:pPr>
            <w:r>
              <w:rPr>
                <w:rFonts w:ascii="Arial" w:cs="Arial" w:eastAsia="Arial" w:hAnsi="Arial"/>
                <w:sz w:val="10"/>
                <w:szCs w:val="10"/>
                <w:b w:val="1"/>
                <w:bCs w:val="1"/>
                <w:color w:val="auto"/>
              </w:rPr>
              <w:t>Noncontrolling</w:t>
            </w:r>
          </w:p>
        </w:tc>
        <w:tc>
          <w:tcPr>
            <w:tcW w:w="960" w:type="dxa"/>
            <w:vAlign w:val="bottom"/>
            <w:gridSpan w:val="2"/>
          </w:tcPr>
          <w:p>
            <w:pPr>
              <w:ind w:left="160"/>
              <w:spacing w:after="0"/>
              <w:rPr>
                <w:sz w:val="20"/>
                <w:szCs w:val="20"/>
                <w:color w:val="auto"/>
              </w:rPr>
            </w:pPr>
            <w:r>
              <w:rPr>
                <w:rFonts w:ascii="Arial" w:cs="Arial" w:eastAsia="Arial" w:hAnsi="Arial"/>
                <w:sz w:val="10"/>
                <w:szCs w:val="10"/>
                <w:b w:val="1"/>
                <w:bCs w:val="1"/>
                <w:color w:val="auto"/>
              </w:rPr>
              <w:t>Shareholders'</w:t>
            </w:r>
          </w:p>
        </w:tc>
      </w:tr>
      <w:tr>
        <w:trPr>
          <w:trHeight w:val="103"/>
        </w:trPr>
        <w:tc>
          <w:tcPr>
            <w:tcW w:w="3300" w:type="dxa"/>
            <w:vAlign w:val="bottom"/>
            <w:tcBorders>
              <w:bottom w:val="single" w:sz="8" w:color="auto"/>
            </w:tcBorders>
          </w:tcPr>
          <w:p>
            <w:pPr>
              <w:spacing w:after="0" w:line="104" w:lineRule="exact"/>
              <w:rPr>
                <w:sz w:val="20"/>
                <w:szCs w:val="20"/>
                <w:color w:val="auto"/>
              </w:rPr>
            </w:pPr>
            <w:r>
              <w:rPr>
                <w:rFonts w:ascii="Arial" w:cs="Arial" w:eastAsia="Arial" w:hAnsi="Arial"/>
                <w:sz w:val="10"/>
                <w:szCs w:val="10"/>
                <w:color w:val="auto"/>
              </w:rPr>
              <w:t>(shares in thousands, amounts in millions)</w:t>
            </w:r>
          </w:p>
        </w:tc>
        <w:tc>
          <w:tcPr>
            <w:tcW w:w="640" w:type="dxa"/>
            <w:vAlign w:val="bottom"/>
            <w:tcBorders>
              <w:top w:val="single" w:sz="8" w:color="auto"/>
              <w:bottom w:val="single" w:sz="8" w:color="auto"/>
            </w:tcBorders>
          </w:tcPr>
          <w:p>
            <w:pPr>
              <w:jc w:val="right"/>
              <w:ind w:right="129"/>
              <w:spacing w:after="0" w:line="104" w:lineRule="exact"/>
              <w:rPr>
                <w:sz w:val="20"/>
                <w:szCs w:val="20"/>
                <w:color w:val="auto"/>
              </w:rPr>
            </w:pPr>
            <w:r>
              <w:rPr>
                <w:rFonts w:ascii="Arial" w:cs="Arial" w:eastAsia="Arial" w:hAnsi="Arial"/>
                <w:sz w:val="10"/>
                <w:szCs w:val="10"/>
                <w:b w:val="1"/>
                <w:bCs w:val="1"/>
                <w:color w:val="auto"/>
              </w:rPr>
              <w:t>Shares</w:t>
            </w:r>
          </w:p>
        </w:tc>
        <w:tc>
          <w:tcPr>
            <w:tcW w:w="600" w:type="dxa"/>
            <w:vAlign w:val="bottom"/>
            <w:tcBorders>
              <w:top w:val="single" w:sz="8" w:color="auto"/>
              <w:bottom w:val="single" w:sz="8" w:color="auto"/>
            </w:tcBorders>
            <w:gridSpan w:val="2"/>
          </w:tcPr>
          <w:p>
            <w:pPr>
              <w:jc w:val="right"/>
              <w:ind w:right="69"/>
              <w:spacing w:after="0" w:line="104" w:lineRule="exact"/>
              <w:rPr>
                <w:sz w:val="20"/>
                <w:szCs w:val="20"/>
                <w:color w:val="auto"/>
              </w:rPr>
            </w:pPr>
            <w:r>
              <w:rPr>
                <w:rFonts w:ascii="Arial" w:cs="Arial" w:eastAsia="Arial" w:hAnsi="Arial"/>
                <w:sz w:val="10"/>
                <w:szCs w:val="10"/>
                <w:b w:val="1"/>
                <w:bCs w:val="1"/>
                <w:color w:val="auto"/>
              </w:rPr>
              <w:t>Amount</w:t>
            </w:r>
          </w:p>
        </w:tc>
        <w:tc>
          <w:tcPr>
            <w:tcW w:w="140" w:type="dxa"/>
            <w:vAlign w:val="bottom"/>
            <w:tcBorders>
              <w:bottom w:val="single" w:sz="8" w:color="auto"/>
            </w:tcBorders>
          </w:tcPr>
          <w:p>
            <w:pPr>
              <w:spacing w:after="0"/>
              <w:rPr>
                <w:sz w:val="8"/>
                <w:szCs w:val="8"/>
                <w:color w:val="auto"/>
              </w:rPr>
            </w:pPr>
          </w:p>
        </w:tc>
        <w:tc>
          <w:tcPr>
            <w:tcW w:w="580" w:type="dxa"/>
            <w:vAlign w:val="bottom"/>
            <w:tcBorders>
              <w:top w:val="single" w:sz="8" w:color="auto"/>
              <w:bottom w:val="single" w:sz="8" w:color="auto"/>
            </w:tcBorders>
          </w:tcPr>
          <w:p>
            <w:pPr>
              <w:jc w:val="right"/>
              <w:ind w:right="109"/>
              <w:spacing w:after="0" w:line="104" w:lineRule="exact"/>
              <w:rPr>
                <w:sz w:val="20"/>
                <w:szCs w:val="20"/>
                <w:color w:val="auto"/>
              </w:rPr>
            </w:pPr>
            <w:r>
              <w:rPr>
                <w:rFonts w:ascii="Arial" w:cs="Arial" w:eastAsia="Arial" w:hAnsi="Arial"/>
                <w:sz w:val="10"/>
                <w:szCs w:val="10"/>
                <w:b w:val="1"/>
                <w:bCs w:val="1"/>
                <w:color w:val="auto"/>
              </w:rPr>
              <w:t>Shares</w:t>
            </w:r>
          </w:p>
        </w:tc>
        <w:tc>
          <w:tcPr>
            <w:tcW w:w="560" w:type="dxa"/>
            <w:vAlign w:val="bottom"/>
            <w:tcBorders>
              <w:top w:val="single" w:sz="8" w:color="auto"/>
              <w:bottom w:val="single" w:sz="8" w:color="auto"/>
            </w:tcBorders>
            <w:gridSpan w:val="2"/>
          </w:tcPr>
          <w:p>
            <w:pPr>
              <w:jc w:val="right"/>
              <w:ind w:right="9"/>
              <w:spacing w:after="0" w:line="104" w:lineRule="exact"/>
              <w:rPr>
                <w:sz w:val="20"/>
                <w:szCs w:val="20"/>
                <w:color w:val="auto"/>
              </w:rPr>
            </w:pPr>
            <w:r>
              <w:rPr>
                <w:rFonts w:ascii="Arial" w:cs="Arial" w:eastAsia="Arial" w:hAnsi="Arial"/>
                <w:sz w:val="10"/>
                <w:szCs w:val="10"/>
                <w:b w:val="1"/>
                <w:bCs w:val="1"/>
                <w:color w:val="auto"/>
              </w:rPr>
              <w:t>Amount</w:t>
            </w: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gridSpan w:val="2"/>
          </w:tcPr>
          <w:p>
            <w:pPr>
              <w:jc w:val="right"/>
              <w:ind w:right="129"/>
              <w:spacing w:after="0" w:line="104" w:lineRule="exact"/>
              <w:rPr>
                <w:sz w:val="20"/>
                <w:szCs w:val="20"/>
                <w:color w:val="auto"/>
              </w:rPr>
            </w:pPr>
            <w:r>
              <w:rPr>
                <w:rFonts w:ascii="Arial" w:cs="Arial" w:eastAsia="Arial" w:hAnsi="Arial"/>
                <w:sz w:val="10"/>
                <w:szCs w:val="10"/>
                <w:b w:val="1"/>
                <w:bCs w:val="1"/>
                <w:color w:val="auto"/>
              </w:rPr>
              <w:t>Earnings</w:t>
            </w:r>
          </w:p>
        </w:tc>
        <w:tc>
          <w:tcPr>
            <w:tcW w:w="1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jc w:val="center"/>
              <w:ind w:right="89"/>
              <w:spacing w:after="0" w:line="104" w:lineRule="exact"/>
              <w:rPr>
                <w:sz w:val="20"/>
                <w:szCs w:val="20"/>
                <w:color w:val="auto"/>
              </w:rPr>
            </w:pPr>
            <w:r>
              <w:rPr>
                <w:rFonts w:ascii="Arial" w:cs="Arial" w:eastAsia="Arial" w:hAnsi="Arial"/>
                <w:sz w:val="10"/>
                <w:szCs w:val="10"/>
                <w:b w:val="1"/>
                <w:bCs w:val="1"/>
                <w:color w:val="auto"/>
              </w:rPr>
              <w:t>Loss</w:t>
            </w:r>
          </w:p>
        </w:tc>
        <w:tc>
          <w:tcPr>
            <w:tcW w:w="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jc w:val="right"/>
              <w:ind w:right="389"/>
              <w:spacing w:after="0" w:line="104" w:lineRule="exact"/>
              <w:rPr>
                <w:sz w:val="20"/>
                <w:szCs w:val="20"/>
                <w:color w:val="auto"/>
              </w:rPr>
            </w:pPr>
            <w:r>
              <w:rPr>
                <w:rFonts w:ascii="Arial" w:cs="Arial" w:eastAsia="Arial" w:hAnsi="Arial"/>
                <w:sz w:val="10"/>
                <w:szCs w:val="10"/>
                <w:b w:val="1"/>
                <w:bCs w:val="1"/>
                <w:color w:val="auto"/>
              </w:rPr>
              <w:t>interest</w:t>
            </w:r>
          </w:p>
        </w:tc>
        <w:tc>
          <w:tcPr>
            <w:tcW w:w="2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249"/>
              <w:spacing w:after="0" w:line="104" w:lineRule="exact"/>
              <w:rPr>
                <w:sz w:val="20"/>
                <w:szCs w:val="20"/>
                <w:color w:val="auto"/>
              </w:rPr>
            </w:pPr>
            <w:r>
              <w:rPr>
                <w:rFonts w:ascii="Arial" w:cs="Arial" w:eastAsia="Arial" w:hAnsi="Arial"/>
                <w:sz w:val="10"/>
                <w:szCs w:val="10"/>
                <w:b w:val="1"/>
                <w:bCs w:val="1"/>
                <w:color w:val="auto"/>
              </w:rPr>
              <w:t>Equity</w:t>
            </w:r>
          </w:p>
        </w:tc>
      </w:tr>
      <w:tr>
        <w:trPr>
          <w:trHeight w:val="103"/>
        </w:trPr>
        <w:tc>
          <w:tcPr>
            <w:tcW w:w="3300" w:type="dxa"/>
            <w:vAlign w:val="bottom"/>
            <w:shd w:val="clear" w:color="auto" w:fill="CCEEFF"/>
          </w:tcPr>
          <w:p>
            <w:pPr>
              <w:spacing w:after="0" w:line="104" w:lineRule="exact"/>
              <w:rPr>
                <w:sz w:val="20"/>
                <w:szCs w:val="20"/>
                <w:color w:val="auto"/>
              </w:rPr>
            </w:pPr>
            <w:r>
              <w:rPr>
                <w:rFonts w:ascii="Arial" w:cs="Arial" w:eastAsia="Arial" w:hAnsi="Arial"/>
                <w:sz w:val="10"/>
                <w:szCs w:val="10"/>
                <w:b w:val="1"/>
                <w:bCs w:val="1"/>
                <w:color w:val="auto"/>
              </w:rPr>
              <w:t>Balance at February 3, 2018</w:t>
            </w:r>
          </w:p>
        </w:tc>
        <w:tc>
          <w:tcPr>
            <w:tcW w:w="640" w:type="dxa"/>
            <w:vAlign w:val="bottom"/>
            <w:shd w:val="clear" w:color="auto" w:fill="CCEEFF"/>
          </w:tcPr>
          <w:p>
            <w:pPr>
              <w:jc w:val="right"/>
              <w:ind w:right="29"/>
              <w:spacing w:after="0" w:line="104" w:lineRule="exact"/>
              <w:rPr>
                <w:sz w:val="20"/>
                <w:szCs w:val="20"/>
                <w:color w:val="auto"/>
              </w:rPr>
            </w:pPr>
            <w:r>
              <w:rPr>
                <w:rFonts w:ascii="Arial" w:cs="Arial" w:eastAsia="Arial" w:hAnsi="Arial"/>
                <w:sz w:val="10"/>
                <w:szCs w:val="10"/>
                <w:b w:val="1"/>
                <w:bCs w:val="1"/>
                <w:color w:val="auto"/>
              </w:rPr>
              <w:t>121,262</w:t>
            </w:r>
          </w:p>
        </w:tc>
        <w:tc>
          <w:tcPr>
            <w:tcW w:w="360" w:type="dxa"/>
            <w:vAlign w:val="bottom"/>
            <w:shd w:val="clear" w:color="auto" w:fill="CCEEFF"/>
          </w:tcPr>
          <w:p>
            <w:pPr>
              <w:jc w:val="right"/>
              <w:ind w:right="209"/>
              <w:spacing w:after="0" w:line="104" w:lineRule="exact"/>
              <w:rPr>
                <w:sz w:val="20"/>
                <w:szCs w:val="20"/>
                <w:color w:val="auto"/>
              </w:rPr>
            </w:pPr>
            <w:r>
              <w:rPr>
                <w:rFonts w:ascii="Arial" w:cs="Arial" w:eastAsia="Arial" w:hAnsi="Arial"/>
                <w:sz w:val="10"/>
                <w:szCs w:val="10"/>
                <w:b w:val="1"/>
                <w:bCs w:val="1"/>
                <w:color w:val="auto"/>
              </w:rPr>
              <w:t>$</w:t>
            </w:r>
          </w:p>
        </w:tc>
        <w:tc>
          <w:tcPr>
            <w:tcW w:w="24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842</w:t>
            </w: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jc w:val="right"/>
              <w:ind w:right="49"/>
              <w:spacing w:after="0" w:line="104" w:lineRule="exact"/>
              <w:rPr>
                <w:sz w:val="20"/>
                <w:szCs w:val="20"/>
                <w:color w:val="auto"/>
              </w:rPr>
            </w:pPr>
            <w:r>
              <w:rPr>
                <w:rFonts w:ascii="Arial" w:cs="Arial" w:eastAsia="Arial" w:hAnsi="Arial"/>
                <w:sz w:val="10"/>
                <w:szCs w:val="10"/>
                <w:b w:val="1"/>
                <w:bCs w:val="1"/>
                <w:color w:val="auto"/>
              </w:rPr>
              <w:t>(1,433)</w:t>
            </w:r>
          </w:p>
        </w:tc>
        <w:tc>
          <w:tcPr>
            <w:tcW w:w="240" w:type="dxa"/>
            <w:vAlign w:val="bottom"/>
            <w:shd w:val="clear" w:color="auto" w:fill="CCEEFF"/>
          </w:tcPr>
          <w:p>
            <w:pPr>
              <w:jc w:val="right"/>
              <w:ind w:right="49"/>
              <w:spacing w:after="0" w:line="104" w:lineRule="exact"/>
              <w:rPr>
                <w:sz w:val="20"/>
                <w:szCs w:val="20"/>
                <w:color w:val="auto"/>
              </w:rPr>
            </w:pPr>
            <w:r>
              <w:rPr>
                <w:rFonts w:ascii="Arial" w:cs="Arial" w:eastAsia="Arial" w:hAnsi="Arial"/>
                <w:sz w:val="10"/>
                <w:szCs w:val="10"/>
                <w:b w:val="1"/>
                <w:bCs w:val="1"/>
                <w:color w:val="auto"/>
              </w:rPr>
              <w:t>$</w:t>
            </w:r>
          </w:p>
        </w:tc>
        <w:tc>
          <w:tcPr>
            <w:tcW w:w="420" w:type="dxa"/>
            <w:vAlign w:val="bottom"/>
            <w:gridSpan w:val="2"/>
            <w:shd w:val="clear" w:color="auto" w:fill="CCEEFF"/>
          </w:tcPr>
          <w:p>
            <w:pPr>
              <w:jc w:val="right"/>
              <w:ind w:right="100"/>
              <w:spacing w:after="0" w:line="104" w:lineRule="exact"/>
              <w:rPr>
                <w:sz w:val="20"/>
                <w:szCs w:val="20"/>
                <w:color w:val="auto"/>
              </w:rPr>
            </w:pPr>
            <w:r>
              <w:rPr>
                <w:rFonts w:ascii="Arial" w:cs="Arial" w:eastAsia="Arial" w:hAnsi="Arial"/>
                <w:sz w:val="10"/>
                <w:szCs w:val="10"/>
                <w:b w:val="1"/>
                <w:bCs w:val="1"/>
                <w:color w:val="auto"/>
              </w:rPr>
              <w:t>(63)</w:t>
            </w:r>
          </w:p>
        </w:tc>
        <w:tc>
          <w:tcPr>
            <w:tcW w:w="260" w:type="dxa"/>
            <w:vAlign w:val="bottom"/>
            <w:shd w:val="clear" w:color="auto" w:fill="CCEEFF"/>
          </w:tcPr>
          <w:p>
            <w:pPr>
              <w:jc w:val="right"/>
              <w:ind w:right="49"/>
              <w:spacing w:after="0" w:line="104" w:lineRule="exact"/>
              <w:rPr>
                <w:sz w:val="20"/>
                <w:szCs w:val="20"/>
                <w:color w:val="auto"/>
              </w:rPr>
            </w:pPr>
            <w:r>
              <w:rPr>
                <w:rFonts w:ascii="Arial" w:cs="Arial" w:eastAsia="Arial" w:hAnsi="Arial"/>
                <w:sz w:val="10"/>
                <w:szCs w:val="10"/>
                <w:b w:val="1"/>
                <w:bCs w:val="1"/>
                <w:color w:val="auto"/>
              </w:rPr>
              <w:t>$</w:t>
            </w:r>
          </w:p>
        </w:tc>
        <w:tc>
          <w:tcPr>
            <w:tcW w:w="480" w:type="dxa"/>
            <w:vAlign w:val="bottom"/>
            <w:shd w:val="clear" w:color="auto" w:fill="CCEEFF"/>
          </w:tcPr>
          <w:p>
            <w:pPr>
              <w:jc w:val="right"/>
              <w:ind w:right="89"/>
              <w:spacing w:after="0" w:line="104" w:lineRule="exact"/>
              <w:rPr>
                <w:sz w:val="20"/>
                <w:szCs w:val="20"/>
                <w:color w:val="auto"/>
              </w:rPr>
            </w:pPr>
            <w:r>
              <w:rPr>
                <w:rFonts w:ascii="Arial" w:cs="Arial" w:eastAsia="Arial" w:hAnsi="Arial"/>
                <w:sz w:val="10"/>
                <w:szCs w:val="10"/>
                <w:b w:val="1"/>
                <w:bCs w:val="1"/>
                <w:color w:val="auto"/>
              </w:rPr>
              <w:t>2,019</w:t>
            </w:r>
          </w:p>
        </w:tc>
        <w:tc>
          <w:tcPr>
            <w:tcW w:w="18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w:t>
            </w:r>
          </w:p>
        </w:tc>
        <w:tc>
          <w:tcPr>
            <w:tcW w:w="94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(279)</w:t>
            </w:r>
          </w:p>
        </w:tc>
        <w:tc>
          <w:tcPr>
            <w:tcW w:w="140" w:type="dxa"/>
            <w:vAlign w:val="bottom"/>
            <w:gridSpan w:val="2"/>
            <w:shd w:val="clear" w:color="auto" w:fill="CCEEFF"/>
          </w:tcPr>
          <w:p>
            <w:pPr>
              <w:jc w:val="right"/>
              <w:ind w:right="80"/>
              <w:spacing w:after="0" w:line="104" w:lineRule="exact"/>
              <w:rPr>
                <w:sz w:val="20"/>
                <w:szCs w:val="20"/>
                <w:color w:val="auto"/>
              </w:rPr>
            </w:pPr>
            <w:r>
              <w:rPr>
                <w:rFonts w:ascii="Arial" w:cs="Arial" w:eastAsia="Arial" w:hAnsi="Arial"/>
                <w:sz w:val="10"/>
                <w:szCs w:val="10"/>
                <w:b w:val="1"/>
                <w:bCs w:val="1"/>
                <w:color w:val="auto"/>
                <w:w w:val="71"/>
              </w:rPr>
              <w:t>$</w:t>
            </w:r>
          </w:p>
        </w:tc>
        <w:tc>
          <w:tcPr>
            <w:tcW w:w="1040" w:type="dxa"/>
            <w:vAlign w:val="bottom"/>
            <w:shd w:val="clear" w:color="auto" w:fill="CCEEFF"/>
          </w:tcPr>
          <w:p>
            <w:pPr>
              <w:jc w:val="right"/>
              <w:ind w:right="109"/>
              <w:spacing w:after="0" w:line="104" w:lineRule="exact"/>
              <w:rPr>
                <w:sz w:val="20"/>
                <w:szCs w:val="20"/>
                <w:color w:val="auto"/>
              </w:rPr>
            </w:pPr>
            <w:r>
              <w:rPr>
                <w:rFonts w:ascii="Arial" w:cs="Arial" w:eastAsia="Arial" w:hAnsi="Arial"/>
                <w:sz w:val="10"/>
                <w:szCs w:val="10"/>
                <w:b w:val="1"/>
                <w:bCs w:val="1"/>
                <w:color w:val="auto"/>
              </w:rPr>
              <w:t>—</w:t>
            </w:r>
          </w:p>
        </w:tc>
        <w:tc>
          <w:tcPr>
            <w:tcW w:w="280" w:type="dxa"/>
            <w:vAlign w:val="bottom"/>
            <w:shd w:val="clear" w:color="auto" w:fill="CCEEFF"/>
          </w:tcPr>
          <w:p>
            <w:pPr>
              <w:ind w:left="140"/>
              <w:spacing w:after="0" w:line="104" w:lineRule="exact"/>
              <w:rPr>
                <w:sz w:val="20"/>
                <w:szCs w:val="20"/>
                <w:color w:val="auto"/>
              </w:rPr>
            </w:pPr>
            <w:r>
              <w:rPr>
                <w:rFonts w:ascii="Arial" w:cs="Arial" w:eastAsia="Arial" w:hAnsi="Arial"/>
                <w:sz w:val="10"/>
                <w:szCs w:val="10"/>
                <w:b w:val="1"/>
                <w:bCs w:val="1"/>
                <w:color w:val="auto"/>
              </w:rPr>
              <w:t>$</w:t>
            </w:r>
          </w:p>
        </w:tc>
        <w:tc>
          <w:tcPr>
            <w:tcW w:w="68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2,519</w:t>
            </w:r>
          </w:p>
        </w:tc>
      </w:tr>
      <w:tr>
        <w:trPr>
          <w:trHeight w:val="113"/>
        </w:trPr>
        <w:tc>
          <w:tcPr>
            <w:tcW w:w="3300" w:type="dxa"/>
            <w:vAlign w:val="bottom"/>
          </w:tcPr>
          <w:p>
            <w:pPr>
              <w:spacing w:after="0" w:line="113" w:lineRule="exact"/>
              <w:rPr>
                <w:sz w:val="20"/>
                <w:szCs w:val="20"/>
                <w:color w:val="auto"/>
              </w:rPr>
            </w:pPr>
            <w:r>
              <w:rPr>
                <w:rFonts w:ascii="Arial" w:cs="Arial" w:eastAsia="Arial" w:hAnsi="Arial"/>
                <w:sz w:val="10"/>
                <w:szCs w:val="10"/>
                <w:color w:val="auto"/>
              </w:rPr>
              <w:t>Restricted stock issued</w:t>
            </w:r>
          </w:p>
        </w:tc>
        <w:tc>
          <w:tcPr>
            <w:tcW w:w="640" w:type="dxa"/>
            <w:vAlign w:val="bottom"/>
          </w:tcPr>
          <w:p>
            <w:pPr>
              <w:jc w:val="right"/>
              <w:ind w:right="29"/>
              <w:spacing w:after="0" w:line="113" w:lineRule="exact"/>
              <w:rPr>
                <w:sz w:val="20"/>
                <w:szCs w:val="20"/>
                <w:color w:val="auto"/>
              </w:rPr>
            </w:pPr>
            <w:r>
              <w:rPr>
                <w:rFonts w:ascii="Arial" w:cs="Arial" w:eastAsia="Arial" w:hAnsi="Arial"/>
                <w:sz w:val="10"/>
                <w:szCs w:val="10"/>
                <w:color w:val="auto"/>
              </w:rPr>
              <w:t>93</w:t>
            </w:r>
          </w:p>
        </w:tc>
        <w:tc>
          <w:tcPr>
            <w:tcW w:w="360" w:type="dxa"/>
            <w:vAlign w:val="bottom"/>
          </w:tcPr>
          <w:p>
            <w:pPr>
              <w:spacing w:after="0"/>
              <w:rPr>
                <w:sz w:val="9"/>
                <w:szCs w:val="9"/>
                <w:color w:val="auto"/>
              </w:rPr>
            </w:pPr>
          </w:p>
        </w:tc>
        <w:tc>
          <w:tcPr>
            <w:tcW w:w="380" w:type="dxa"/>
            <w:vAlign w:val="bottom"/>
            <w:gridSpan w:val="2"/>
          </w:tcPr>
          <w:p>
            <w:pPr>
              <w:jc w:val="right"/>
              <w:ind w:right="180"/>
              <w:spacing w:after="0" w:line="113" w:lineRule="exact"/>
              <w:rPr>
                <w:sz w:val="20"/>
                <w:szCs w:val="20"/>
                <w:color w:val="auto"/>
              </w:rPr>
            </w:pPr>
            <w:r>
              <w:rPr>
                <w:rFonts w:ascii="Arial" w:cs="Arial" w:eastAsia="Arial" w:hAnsi="Arial"/>
                <w:sz w:val="10"/>
                <w:szCs w:val="10"/>
                <w:color w:val="auto"/>
              </w:rPr>
              <w:t>—</w:t>
            </w:r>
          </w:p>
        </w:tc>
        <w:tc>
          <w:tcPr>
            <w:tcW w:w="580" w:type="dxa"/>
            <w:vAlign w:val="bottom"/>
          </w:tcPr>
          <w:p>
            <w:pPr>
              <w:jc w:val="right"/>
              <w:ind w:right="89"/>
              <w:spacing w:after="0" w:line="113" w:lineRule="exact"/>
              <w:rPr>
                <w:sz w:val="20"/>
                <w:szCs w:val="20"/>
                <w:color w:val="auto"/>
              </w:rPr>
            </w:pPr>
            <w:r>
              <w:rPr>
                <w:rFonts w:ascii="Arial" w:cs="Arial" w:eastAsia="Arial" w:hAnsi="Arial"/>
                <w:sz w:val="10"/>
                <w:szCs w:val="10"/>
                <w:color w:val="auto"/>
              </w:rPr>
              <w:t>—</w:t>
            </w:r>
          </w:p>
        </w:tc>
        <w:tc>
          <w:tcPr>
            <w:tcW w:w="240" w:type="dxa"/>
            <w:vAlign w:val="bottom"/>
          </w:tcPr>
          <w:p>
            <w:pPr>
              <w:spacing w:after="0"/>
              <w:rPr>
                <w:sz w:val="9"/>
                <w:szCs w:val="9"/>
                <w:color w:val="auto"/>
              </w:rPr>
            </w:pPr>
          </w:p>
        </w:tc>
        <w:tc>
          <w:tcPr>
            <w:tcW w:w="420" w:type="dxa"/>
            <w:vAlign w:val="bottom"/>
            <w:gridSpan w:val="2"/>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260" w:type="dxa"/>
            <w:vAlign w:val="bottom"/>
          </w:tcPr>
          <w:p>
            <w:pPr>
              <w:spacing w:after="0"/>
              <w:rPr>
                <w:sz w:val="9"/>
                <w:szCs w:val="9"/>
                <w:color w:val="auto"/>
              </w:rPr>
            </w:pPr>
          </w:p>
        </w:tc>
        <w:tc>
          <w:tcPr>
            <w:tcW w:w="480" w:type="dxa"/>
            <w:vAlign w:val="bottom"/>
          </w:tcPr>
          <w:p>
            <w:pPr>
              <w:jc w:val="right"/>
              <w:ind w:right="89"/>
              <w:spacing w:after="0" w:line="113"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940" w:type="dxa"/>
            <w:vAlign w:val="bottom"/>
          </w:tcPr>
          <w:p>
            <w:pPr>
              <w:jc w:val="right"/>
              <w:ind w:right="9"/>
              <w:spacing w:after="0" w:line="113"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jc w:val="right"/>
              <w:ind w:right="109"/>
              <w:spacing w:after="0" w:line="113" w:lineRule="exact"/>
              <w:rPr>
                <w:sz w:val="20"/>
                <w:szCs w:val="20"/>
                <w:color w:val="auto"/>
              </w:rPr>
            </w:pPr>
            <w:r>
              <w:rPr>
                <w:rFonts w:ascii="Arial" w:cs="Arial" w:eastAsia="Arial" w:hAnsi="Arial"/>
                <w:sz w:val="10"/>
                <w:szCs w:val="10"/>
                <w:color w:val="auto"/>
              </w:rPr>
              <w:t>—</w:t>
            </w:r>
          </w:p>
        </w:tc>
        <w:tc>
          <w:tcPr>
            <w:tcW w:w="280" w:type="dxa"/>
            <w:vAlign w:val="bottom"/>
          </w:tcPr>
          <w:p>
            <w:pPr>
              <w:spacing w:after="0"/>
              <w:rPr>
                <w:sz w:val="9"/>
                <w:szCs w:val="9"/>
                <w:color w:val="auto"/>
              </w:rPr>
            </w:pPr>
          </w:p>
        </w:tc>
        <w:tc>
          <w:tcPr>
            <w:tcW w:w="68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r>
      <w:tr>
        <w:trPr>
          <w:trHeight w:val="113"/>
        </w:trPr>
        <w:tc>
          <w:tcPr>
            <w:tcW w:w="330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Issued under director and stock plans</w:t>
            </w:r>
          </w:p>
        </w:tc>
        <w:tc>
          <w:tcPr>
            <w:tcW w:w="640" w:type="dxa"/>
            <w:vAlign w:val="bottom"/>
            <w:shd w:val="clear" w:color="auto" w:fill="CCEEFF"/>
          </w:tcPr>
          <w:p>
            <w:pPr>
              <w:jc w:val="right"/>
              <w:ind w:right="29"/>
              <w:spacing w:after="0" w:line="113" w:lineRule="exact"/>
              <w:rPr>
                <w:sz w:val="20"/>
                <w:szCs w:val="20"/>
                <w:color w:val="auto"/>
              </w:rPr>
            </w:pPr>
            <w:r>
              <w:rPr>
                <w:rFonts w:ascii="Arial" w:cs="Arial" w:eastAsia="Arial" w:hAnsi="Arial"/>
                <w:sz w:val="10"/>
                <w:szCs w:val="10"/>
                <w:color w:val="auto"/>
              </w:rPr>
              <w:t>175</w:t>
            </w:r>
          </w:p>
        </w:tc>
        <w:tc>
          <w:tcPr>
            <w:tcW w:w="360" w:type="dxa"/>
            <w:vAlign w:val="bottom"/>
            <w:shd w:val="clear" w:color="auto" w:fill="CCEEFF"/>
          </w:tcPr>
          <w:p>
            <w:pPr>
              <w:spacing w:after="0"/>
              <w:rPr>
                <w:sz w:val="9"/>
                <w:szCs w:val="9"/>
                <w:color w:val="auto"/>
              </w:rPr>
            </w:pPr>
          </w:p>
        </w:tc>
        <w:tc>
          <w:tcPr>
            <w:tcW w:w="24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6</w:t>
            </w: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jc w:val="right"/>
              <w:ind w:right="89"/>
              <w:spacing w:after="0" w:line="113" w:lineRule="exact"/>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9"/>
                <w:szCs w:val="9"/>
                <w:color w:val="auto"/>
              </w:rPr>
            </w:pPr>
          </w:p>
        </w:tc>
        <w:tc>
          <w:tcPr>
            <w:tcW w:w="480" w:type="dxa"/>
            <w:vAlign w:val="bottom"/>
            <w:shd w:val="clear" w:color="auto" w:fill="CCEEFF"/>
          </w:tcPr>
          <w:p>
            <w:pPr>
              <w:jc w:val="right"/>
              <w:ind w:right="89"/>
              <w:spacing w:after="0" w:line="113"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940" w:type="dxa"/>
            <w:vAlign w:val="bottom"/>
            <w:shd w:val="clear" w:color="auto" w:fill="CCEEFF"/>
          </w:tcPr>
          <w:p>
            <w:pPr>
              <w:jc w:val="right"/>
              <w:ind w:right="9"/>
              <w:spacing w:after="0" w:line="113"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jc w:val="right"/>
              <w:ind w:right="109"/>
              <w:spacing w:after="0" w:line="113"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6</w:t>
            </w:r>
          </w:p>
        </w:tc>
      </w:tr>
      <w:tr>
        <w:trPr>
          <w:trHeight w:val="113"/>
        </w:trPr>
        <w:tc>
          <w:tcPr>
            <w:tcW w:w="3300" w:type="dxa"/>
            <w:vAlign w:val="bottom"/>
          </w:tcPr>
          <w:p>
            <w:pPr>
              <w:spacing w:after="0" w:line="113" w:lineRule="exact"/>
              <w:rPr>
                <w:sz w:val="20"/>
                <w:szCs w:val="20"/>
                <w:color w:val="auto"/>
              </w:rPr>
            </w:pPr>
            <w:r>
              <w:rPr>
                <w:rFonts w:ascii="Arial" w:cs="Arial" w:eastAsia="Arial" w:hAnsi="Arial"/>
                <w:sz w:val="10"/>
                <w:szCs w:val="10"/>
                <w:color w:val="auto"/>
              </w:rPr>
              <w:t>Share-based compensation expense</w:t>
            </w:r>
          </w:p>
        </w:tc>
        <w:tc>
          <w:tcPr>
            <w:tcW w:w="640" w:type="dxa"/>
            <w:vAlign w:val="bottom"/>
          </w:tcPr>
          <w:p>
            <w:pPr>
              <w:jc w:val="right"/>
              <w:ind w:right="29"/>
              <w:spacing w:after="0" w:line="113" w:lineRule="exact"/>
              <w:rPr>
                <w:sz w:val="20"/>
                <w:szCs w:val="20"/>
                <w:color w:val="auto"/>
              </w:rPr>
            </w:pPr>
            <w:r>
              <w:rPr>
                <w:rFonts w:ascii="Arial" w:cs="Arial" w:eastAsia="Arial" w:hAnsi="Arial"/>
                <w:sz w:val="10"/>
                <w:szCs w:val="10"/>
                <w:color w:val="auto"/>
              </w:rPr>
              <w:t>—</w:t>
            </w:r>
          </w:p>
        </w:tc>
        <w:tc>
          <w:tcPr>
            <w:tcW w:w="360" w:type="dxa"/>
            <w:vAlign w:val="bottom"/>
          </w:tcPr>
          <w:p>
            <w:pPr>
              <w:spacing w:after="0"/>
              <w:rPr>
                <w:sz w:val="9"/>
                <w:szCs w:val="9"/>
                <w:color w:val="auto"/>
              </w:rPr>
            </w:pPr>
          </w:p>
        </w:tc>
        <w:tc>
          <w:tcPr>
            <w:tcW w:w="240" w:type="dxa"/>
            <w:vAlign w:val="bottom"/>
          </w:tcPr>
          <w:p>
            <w:pPr>
              <w:jc w:val="right"/>
              <w:spacing w:after="0" w:line="113" w:lineRule="exact"/>
              <w:rPr>
                <w:sz w:val="20"/>
                <w:szCs w:val="20"/>
                <w:color w:val="auto"/>
              </w:rPr>
            </w:pPr>
            <w:r>
              <w:rPr>
                <w:rFonts w:ascii="Arial" w:cs="Arial" w:eastAsia="Arial" w:hAnsi="Arial"/>
                <w:sz w:val="10"/>
                <w:szCs w:val="10"/>
                <w:color w:val="auto"/>
              </w:rPr>
              <w:t>22</w:t>
            </w:r>
          </w:p>
        </w:tc>
        <w:tc>
          <w:tcPr>
            <w:tcW w:w="140" w:type="dxa"/>
            <w:vAlign w:val="bottom"/>
          </w:tcPr>
          <w:p>
            <w:pPr>
              <w:spacing w:after="0"/>
              <w:rPr>
                <w:sz w:val="9"/>
                <w:szCs w:val="9"/>
                <w:color w:val="auto"/>
              </w:rPr>
            </w:pPr>
          </w:p>
        </w:tc>
        <w:tc>
          <w:tcPr>
            <w:tcW w:w="580" w:type="dxa"/>
            <w:vAlign w:val="bottom"/>
          </w:tcPr>
          <w:p>
            <w:pPr>
              <w:jc w:val="right"/>
              <w:ind w:right="89"/>
              <w:spacing w:after="0" w:line="113" w:lineRule="exact"/>
              <w:rPr>
                <w:sz w:val="20"/>
                <w:szCs w:val="20"/>
                <w:color w:val="auto"/>
              </w:rPr>
            </w:pPr>
            <w:r>
              <w:rPr>
                <w:rFonts w:ascii="Arial" w:cs="Arial" w:eastAsia="Arial" w:hAnsi="Arial"/>
                <w:sz w:val="10"/>
                <w:szCs w:val="10"/>
                <w:color w:val="auto"/>
              </w:rPr>
              <w:t>—</w:t>
            </w:r>
          </w:p>
        </w:tc>
        <w:tc>
          <w:tcPr>
            <w:tcW w:w="240" w:type="dxa"/>
            <w:vAlign w:val="bottom"/>
          </w:tcPr>
          <w:p>
            <w:pPr>
              <w:spacing w:after="0"/>
              <w:rPr>
                <w:sz w:val="9"/>
                <w:szCs w:val="9"/>
                <w:color w:val="auto"/>
              </w:rPr>
            </w:pPr>
          </w:p>
        </w:tc>
        <w:tc>
          <w:tcPr>
            <w:tcW w:w="420" w:type="dxa"/>
            <w:vAlign w:val="bottom"/>
            <w:gridSpan w:val="2"/>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260" w:type="dxa"/>
            <w:vAlign w:val="bottom"/>
          </w:tcPr>
          <w:p>
            <w:pPr>
              <w:spacing w:after="0"/>
              <w:rPr>
                <w:sz w:val="9"/>
                <w:szCs w:val="9"/>
                <w:color w:val="auto"/>
              </w:rPr>
            </w:pPr>
          </w:p>
        </w:tc>
        <w:tc>
          <w:tcPr>
            <w:tcW w:w="480" w:type="dxa"/>
            <w:vAlign w:val="bottom"/>
          </w:tcPr>
          <w:p>
            <w:pPr>
              <w:jc w:val="right"/>
              <w:ind w:right="89"/>
              <w:spacing w:after="0" w:line="113"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940" w:type="dxa"/>
            <w:vAlign w:val="bottom"/>
          </w:tcPr>
          <w:p>
            <w:pPr>
              <w:jc w:val="right"/>
              <w:ind w:right="9"/>
              <w:spacing w:after="0" w:line="113"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jc w:val="right"/>
              <w:ind w:right="109"/>
              <w:spacing w:after="0" w:line="113" w:lineRule="exact"/>
              <w:rPr>
                <w:sz w:val="20"/>
                <w:szCs w:val="20"/>
                <w:color w:val="auto"/>
              </w:rPr>
            </w:pPr>
            <w:r>
              <w:rPr>
                <w:rFonts w:ascii="Arial" w:cs="Arial" w:eastAsia="Arial" w:hAnsi="Arial"/>
                <w:sz w:val="10"/>
                <w:szCs w:val="10"/>
                <w:color w:val="auto"/>
              </w:rPr>
              <w:t>—</w:t>
            </w:r>
          </w:p>
        </w:tc>
        <w:tc>
          <w:tcPr>
            <w:tcW w:w="280" w:type="dxa"/>
            <w:vAlign w:val="bottom"/>
          </w:tcPr>
          <w:p>
            <w:pPr>
              <w:spacing w:after="0"/>
              <w:rPr>
                <w:sz w:val="9"/>
                <w:szCs w:val="9"/>
                <w:color w:val="auto"/>
              </w:rPr>
            </w:pPr>
          </w:p>
        </w:tc>
        <w:tc>
          <w:tcPr>
            <w:tcW w:w="680" w:type="dxa"/>
            <w:vAlign w:val="bottom"/>
          </w:tcPr>
          <w:p>
            <w:pPr>
              <w:jc w:val="right"/>
              <w:spacing w:after="0" w:line="113" w:lineRule="exact"/>
              <w:rPr>
                <w:sz w:val="20"/>
                <w:szCs w:val="20"/>
                <w:color w:val="auto"/>
              </w:rPr>
            </w:pPr>
            <w:r>
              <w:rPr>
                <w:rFonts w:ascii="Arial" w:cs="Arial" w:eastAsia="Arial" w:hAnsi="Arial"/>
                <w:sz w:val="10"/>
                <w:szCs w:val="10"/>
                <w:color w:val="auto"/>
              </w:rPr>
              <w:t>22</w:t>
            </w:r>
          </w:p>
        </w:tc>
      </w:tr>
      <w:tr>
        <w:trPr>
          <w:trHeight w:val="113"/>
        </w:trPr>
        <w:tc>
          <w:tcPr>
            <w:tcW w:w="330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Shares of common stock used to satisfy tax withholding obligations</w:t>
            </w:r>
          </w:p>
        </w:tc>
        <w:tc>
          <w:tcPr>
            <w:tcW w:w="640" w:type="dxa"/>
            <w:vAlign w:val="bottom"/>
            <w:shd w:val="clear" w:color="auto" w:fill="CCEEFF"/>
          </w:tcPr>
          <w:p>
            <w:pPr>
              <w:jc w:val="right"/>
              <w:ind w:right="29"/>
              <w:spacing w:after="0" w:line="113" w:lineRule="exact"/>
              <w:rPr>
                <w:sz w:val="20"/>
                <w:szCs w:val="20"/>
                <w:color w:val="auto"/>
              </w:rPr>
            </w:pPr>
            <w:r>
              <w:rPr>
                <w:rFonts w:ascii="Arial" w:cs="Arial" w:eastAsia="Arial" w:hAnsi="Arial"/>
                <w:sz w:val="10"/>
                <w:szCs w:val="10"/>
                <w:color w:val="auto"/>
              </w:rPr>
              <w:t>—</w:t>
            </w:r>
          </w:p>
        </w:tc>
        <w:tc>
          <w:tcPr>
            <w:tcW w:w="36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180"/>
              <w:spacing w:after="0" w:line="113" w:lineRule="exact"/>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49"/>
              <w:spacing w:after="0" w:line="113" w:lineRule="exact"/>
              <w:rPr>
                <w:sz w:val="20"/>
                <w:szCs w:val="20"/>
                <w:color w:val="auto"/>
              </w:rPr>
            </w:pPr>
            <w:r>
              <w:rPr>
                <w:rFonts w:ascii="Arial" w:cs="Arial" w:eastAsia="Arial" w:hAnsi="Arial"/>
                <w:sz w:val="10"/>
                <w:szCs w:val="10"/>
                <w:color w:val="auto"/>
              </w:rPr>
              <w:t>(36)</w:t>
            </w:r>
          </w:p>
        </w:tc>
        <w:tc>
          <w:tcPr>
            <w:tcW w:w="24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line="113" w:lineRule="exact"/>
              <w:rPr>
                <w:sz w:val="20"/>
                <w:szCs w:val="20"/>
                <w:color w:val="auto"/>
              </w:rPr>
            </w:pPr>
            <w:r>
              <w:rPr>
                <w:rFonts w:ascii="Arial" w:cs="Arial" w:eastAsia="Arial" w:hAnsi="Arial"/>
                <w:sz w:val="10"/>
                <w:szCs w:val="10"/>
                <w:color w:val="auto"/>
              </w:rPr>
              <w:t>(1)</w:t>
            </w:r>
          </w:p>
        </w:tc>
        <w:tc>
          <w:tcPr>
            <w:tcW w:w="260" w:type="dxa"/>
            <w:vAlign w:val="bottom"/>
            <w:shd w:val="clear" w:color="auto" w:fill="CCEEFF"/>
          </w:tcPr>
          <w:p>
            <w:pPr>
              <w:spacing w:after="0"/>
              <w:rPr>
                <w:sz w:val="9"/>
                <w:szCs w:val="9"/>
                <w:color w:val="auto"/>
              </w:rPr>
            </w:pPr>
          </w:p>
        </w:tc>
        <w:tc>
          <w:tcPr>
            <w:tcW w:w="480" w:type="dxa"/>
            <w:vAlign w:val="bottom"/>
            <w:shd w:val="clear" w:color="auto" w:fill="CCEEFF"/>
          </w:tcPr>
          <w:p>
            <w:pPr>
              <w:jc w:val="right"/>
              <w:ind w:right="89"/>
              <w:spacing w:after="0" w:line="113"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940" w:type="dxa"/>
            <w:vAlign w:val="bottom"/>
            <w:shd w:val="clear" w:color="auto" w:fill="CCEEFF"/>
          </w:tcPr>
          <w:p>
            <w:pPr>
              <w:jc w:val="right"/>
              <w:ind w:right="9"/>
              <w:spacing w:after="0" w:line="113"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jc w:val="right"/>
              <w:ind w:right="109"/>
              <w:spacing w:after="0" w:line="113"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(1)</w:t>
            </w:r>
          </w:p>
        </w:tc>
      </w:tr>
      <w:tr>
        <w:trPr>
          <w:trHeight w:val="113"/>
        </w:trPr>
        <w:tc>
          <w:tcPr>
            <w:tcW w:w="3300" w:type="dxa"/>
            <w:vAlign w:val="bottom"/>
          </w:tcPr>
          <w:p>
            <w:pPr>
              <w:spacing w:after="0" w:line="113" w:lineRule="exact"/>
              <w:rPr>
                <w:sz w:val="20"/>
                <w:szCs w:val="20"/>
                <w:color w:val="auto"/>
              </w:rPr>
            </w:pPr>
            <w:r>
              <w:rPr>
                <w:rFonts w:ascii="Arial" w:cs="Arial" w:eastAsia="Arial" w:hAnsi="Arial"/>
                <w:sz w:val="10"/>
                <w:szCs w:val="10"/>
                <w:color w:val="auto"/>
              </w:rPr>
              <w:t>Share repurchases</w:t>
            </w:r>
          </w:p>
        </w:tc>
        <w:tc>
          <w:tcPr>
            <w:tcW w:w="640" w:type="dxa"/>
            <w:vAlign w:val="bottom"/>
          </w:tcPr>
          <w:p>
            <w:pPr>
              <w:jc w:val="right"/>
              <w:ind w:right="29"/>
              <w:spacing w:after="0" w:line="113" w:lineRule="exact"/>
              <w:rPr>
                <w:sz w:val="20"/>
                <w:szCs w:val="20"/>
                <w:color w:val="auto"/>
              </w:rPr>
            </w:pPr>
            <w:r>
              <w:rPr>
                <w:rFonts w:ascii="Arial" w:cs="Arial" w:eastAsia="Arial" w:hAnsi="Arial"/>
                <w:sz w:val="10"/>
                <w:szCs w:val="10"/>
                <w:color w:val="auto"/>
              </w:rPr>
              <w:t>—</w:t>
            </w:r>
          </w:p>
        </w:tc>
        <w:tc>
          <w:tcPr>
            <w:tcW w:w="360" w:type="dxa"/>
            <w:vAlign w:val="bottom"/>
          </w:tcPr>
          <w:p>
            <w:pPr>
              <w:spacing w:after="0"/>
              <w:rPr>
                <w:sz w:val="9"/>
                <w:szCs w:val="9"/>
                <w:color w:val="auto"/>
              </w:rPr>
            </w:pPr>
          </w:p>
        </w:tc>
        <w:tc>
          <w:tcPr>
            <w:tcW w:w="380" w:type="dxa"/>
            <w:vAlign w:val="bottom"/>
            <w:gridSpan w:val="2"/>
          </w:tcPr>
          <w:p>
            <w:pPr>
              <w:jc w:val="right"/>
              <w:ind w:right="180"/>
              <w:spacing w:after="0" w:line="113" w:lineRule="exact"/>
              <w:rPr>
                <w:sz w:val="20"/>
                <w:szCs w:val="20"/>
                <w:color w:val="auto"/>
              </w:rPr>
            </w:pPr>
            <w:r>
              <w:rPr>
                <w:rFonts w:ascii="Arial" w:cs="Arial" w:eastAsia="Arial" w:hAnsi="Arial"/>
                <w:sz w:val="10"/>
                <w:szCs w:val="10"/>
                <w:color w:val="auto"/>
              </w:rPr>
              <w:t>—</w:t>
            </w:r>
          </w:p>
        </w:tc>
        <w:tc>
          <w:tcPr>
            <w:tcW w:w="580" w:type="dxa"/>
            <w:vAlign w:val="bottom"/>
          </w:tcPr>
          <w:p>
            <w:pPr>
              <w:jc w:val="right"/>
              <w:ind w:right="49"/>
              <w:spacing w:after="0" w:line="113" w:lineRule="exact"/>
              <w:rPr>
                <w:sz w:val="20"/>
                <w:szCs w:val="20"/>
                <w:color w:val="auto"/>
              </w:rPr>
            </w:pPr>
            <w:r>
              <w:rPr>
                <w:rFonts w:ascii="Arial" w:cs="Arial" w:eastAsia="Arial" w:hAnsi="Arial"/>
                <w:sz w:val="10"/>
                <w:szCs w:val="10"/>
                <w:color w:val="auto"/>
              </w:rPr>
              <w:t>(7,887)</w:t>
            </w:r>
          </w:p>
        </w:tc>
        <w:tc>
          <w:tcPr>
            <w:tcW w:w="240" w:type="dxa"/>
            <w:vAlign w:val="bottom"/>
          </w:tcPr>
          <w:p>
            <w:pPr>
              <w:spacing w:after="0"/>
              <w:rPr>
                <w:sz w:val="9"/>
                <w:szCs w:val="9"/>
                <w:color w:val="auto"/>
              </w:rPr>
            </w:pPr>
          </w:p>
        </w:tc>
        <w:tc>
          <w:tcPr>
            <w:tcW w:w="420" w:type="dxa"/>
            <w:vAlign w:val="bottom"/>
            <w:gridSpan w:val="2"/>
          </w:tcPr>
          <w:p>
            <w:pPr>
              <w:jc w:val="right"/>
              <w:ind w:right="100"/>
              <w:spacing w:after="0" w:line="113" w:lineRule="exact"/>
              <w:rPr>
                <w:sz w:val="20"/>
                <w:szCs w:val="20"/>
                <w:color w:val="auto"/>
              </w:rPr>
            </w:pPr>
            <w:r>
              <w:rPr>
                <w:rFonts w:ascii="Arial" w:cs="Arial" w:eastAsia="Arial" w:hAnsi="Arial"/>
                <w:sz w:val="10"/>
                <w:szCs w:val="10"/>
                <w:color w:val="auto"/>
              </w:rPr>
              <w:t>(375)</w:t>
            </w:r>
          </w:p>
        </w:tc>
        <w:tc>
          <w:tcPr>
            <w:tcW w:w="260" w:type="dxa"/>
            <w:vAlign w:val="bottom"/>
          </w:tcPr>
          <w:p>
            <w:pPr>
              <w:spacing w:after="0"/>
              <w:rPr>
                <w:sz w:val="9"/>
                <w:szCs w:val="9"/>
                <w:color w:val="auto"/>
              </w:rPr>
            </w:pPr>
          </w:p>
        </w:tc>
        <w:tc>
          <w:tcPr>
            <w:tcW w:w="480" w:type="dxa"/>
            <w:vAlign w:val="bottom"/>
          </w:tcPr>
          <w:p>
            <w:pPr>
              <w:jc w:val="right"/>
              <w:ind w:right="89"/>
              <w:spacing w:after="0" w:line="113"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940" w:type="dxa"/>
            <w:vAlign w:val="bottom"/>
          </w:tcPr>
          <w:p>
            <w:pPr>
              <w:jc w:val="right"/>
              <w:ind w:right="9"/>
              <w:spacing w:after="0" w:line="113"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jc w:val="right"/>
              <w:ind w:right="109"/>
              <w:spacing w:after="0" w:line="113" w:lineRule="exact"/>
              <w:rPr>
                <w:sz w:val="20"/>
                <w:szCs w:val="20"/>
                <w:color w:val="auto"/>
              </w:rPr>
            </w:pPr>
            <w:r>
              <w:rPr>
                <w:rFonts w:ascii="Arial" w:cs="Arial" w:eastAsia="Arial" w:hAnsi="Arial"/>
                <w:sz w:val="10"/>
                <w:szCs w:val="10"/>
                <w:color w:val="auto"/>
              </w:rPr>
              <w:t>—</w:t>
            </w:r>
          </w:p>
        </w:tc>
        <w:tc>
          <w:tcPr>
            <w:tcW w:w="280" w:type="dxa"/>
            <w:vAlign w:val="bottom"/>
          </w:tcPr>
          <w:p>
            <w:pPr>
              <w:spacing w:after="0"/>
              <w:rPr>
                <w:sz w:val="9"/>
                <w:szCs w:val="9"/>
                <w:color w:val="auto"/>
              </w:rPr>
            </w:pPr>
          </w:p>
        </w:tc>
        <w:tc>
          <w:tcPr>
            <w:tcW w:w="680" w:type="dxa"/>
            <w:vAlign w:val="bottom"/>
          </w:tcPr>
          <w:p>
            <w:pPr>
              <w:jc w:val="right"/>
              <w:spacing w:after="0" w:line="113" w:lineRule="exact"/>
              <w:rPr>
                <w:sz w:val="20"/>
                <w:szCs w:val="20"/>
                <w:color w:val="auto"/>
              </w:rPr>
            </w:pPr>
            <w:r>
              <w:rPr>
                <w:rFonts w:ascii="Arial" w:cs="Arial" w:eastAsia="Arial" w:hAnsi="Arial"/>
                <w:sz w:val="10"/>
                <w:szCs w:val="10"/>
                <w:color w:val="auto"/>
              </w:rPr>
              <w:t>(375)</w:t>
            </w:r>
          </w:p>
        </w:tc>
      </w:tr>
      <w:tr>
        <w:trPr>
          <w:trHeight w:val="113"/>
        </w:trPr>
        <w:tc>
          <w:tcPr>
            <w:tcW w:w="330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Reissued - Employee Stock Repurchase Plan ("ESPP")</w:t>
            </w:r>
          </w:p>
        </w:tc>
        <w:tc>
          <w:tcPr>
            <w:tcW w:w="640" w:type="dxa"/>
            <w:vAlign w:val="bottom"/>
            <w:shd w:val="clear" w:color="auto" w:fill="CCEEFF"/>
          </w:tcPr>
          <w:p>
            <w:pPr>
              <w:jc w:val="right"/>
              <w:ind w:right="29"/>
              <w:spacing w:after="0" w:line="113" w:lineRule="exact"/>
              <w:rPr>
                <w:sz w:val="20"/>
                <w:szCs w:val="20"/>
                <w:color w:val="auto"/>
              </w:rPr>
            </w:pPr>
            <w:r>
              <w:rPr>
                <w:rFonts w:ascii="Arial" w:cs="Arial" w:eastAsia="Arial" w:hAnsi="Arial"/>
                <w:sz w:val="10"/>
                <w:szCs w:val="10"/>
                <w:color w:val="auto"/>
              </w:rPr>
              <w:t>—</w:t>
            </w:r>
          </w:p>
        </w:tc>
        <w:tc>
          <w:tcPr>
            <w:tcW w:w="36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180"/>
              <w:spacing w:after="0" w:line="113" w:lineRule="exact"/>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89"/>
              <w:spacing w:after="0" w:line="113" w:lineRule="exact"/>
              <w:rPr>
                <w:sz w:val="20"/>
                <w:szCs w:val="20"/>
                <w:color w:val="auto"/>
              </w:rPr>
            </w:pPr>
            <w:r>
              <w:rPr>
                <w:rFonts w:ascii="Arial" w:cs="Arial" w:eastAsia="Arial" w:hAnsi="Arial"/>
                <w:sz w:val="10"/>
                <w:szCs w:val="10"/>
                <w:color w:val="auto"/>
              </w:rPr>
              <w:t>48</w:t>
            </w:r>
          </w:p>
        </w:tc>
        <w:tc>
          <w:tcPr>
            <w:tcW w:w="24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80" w:type="dxa"/>
            <w:vAlign w:val="bottom"/>
            <w:shd w:val="clear" w:color="auto" w:fill="CCEEFF"/>
          </w:tcPr>
          <w:p>
            <w:pPr>
              <w:jc w:val="right"/>
              <w:ind w:right="89"/>
              <w:spacing w:after="0" w:line="113"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940" w:type="dxa"/>
            <w:vAlign w:val="bottom"/>
            <w:shd w:val="clear" w:color="auto" w:fill="CCEEFF"/>
          </w:tcPr>
          <w:p>
            <w:pPr>
              <w:jc w:val="right"/>
              <w:ind w:right="9"/>
              <w:spacing w:after="0" w:line="113"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jc w:val="right"/>
              <w:ind w:right="109"/>
              <w:spacing w:after="0" w:line="113"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2</w:t>
            </w:r>
          </w:p>
        </w:tc>
      </w:tr>
      <w:tr>
        <w:trPr>
          <w:trHeight w:val="113"/>
        </w:trPr>
        <w:tc>
          <w:tcPr>
            <w:tcW w:w="3300" w:type="dxa"/>
            <w:vAlign w:val="bottom"/>
          </w:tcPr>
          <w:p>
            <w:pPr>
              <w:spacing w:after="0" w:line="113" w:lineRule="exact"/>
              <w:rPr>
                <w:sz w:val="20"/>
                <w:szCs w:val="20"/>
                <w:color w:val="auto"/>
              </w:rPr>
            </w:pPr>
            <w:r>
              <w:rPr>
                <w:rFonts w:ascii="Arial" w:cs="Arial" w:eastAsia="Arial" w:hAnsi="Arial"/>
                <w:sz w:val="10"/>
                <w:szCs w:val="10"/>
                <w:color w:val="auto"/>
              </w:rPr>
              <w:t>Retirement of treasury stock</w:t>
            </w:r>
          </w:p>
        </w:tc>
        <w:tc>
          <w:tcPr>
            <w:tcW w:w="640" w:type="dxa"/>
            <w:vAlign w:val="bottom"/>
          </w:tcPr>
          <w:p>
            <w:pPr>
              <w:jc w:val="right"/>
              <w:ind w:right="9"/>
              <w:spacing w:after="0" w:line="113" w:lineRule="exact"/>
              <w:rPr>
                <w:sz w:val="20"/>
                <w:szCs w:val="20"/>
                <w:color w:val="auto"/>
              </w:rPr>
            </w:pPr>
            <w:r>
              <w:rPr>
                <w:rFonts w:ascii="Arial" w:cs="Arial" w:eastAsia="Arial" w:hAnsi="Arial"/>
                <w:sz w:val="10"/>
                <w:szCs w:val="10"/>
                <w:color w:val="auto"/>
              </w:rPr>
              <w:t>(8,597)</w:t>
            </w:r>
          </w:p>
        </w:tc>
        <w:tc>
          <w:tcPr>
            <w:tcW w:w="360" w:type="dxa"/>
            <w:vAlign w:val="bottom"/>
          </w:tcPr>
          <w:p>
            <w:pPr>
              <w:spacing w:after="0"/>
              <w:rPr>
                <w:sz w:val="9"/>
                <w:szCs w:val="9"/>
                <w:color w:val="auto"/>
              </w:rPr>
            </w:pPr>
          </w:p>
        </w:tc>
        <w:tc>
          <w:tcPr>
            <w:tcW w:w="380" w:type="dxa"/>
            <w:vAlign w:val="bottom"/>
            <w:gridSpan w:val="2"/>
          </w:tcPr>
          <w:p>
            <w:pPr>
              <w:jc w:val="right"/>
              <w:ind w:right="140"/>
              <w:spacing w:after="0" w:line="113" w:lineRule="exact"/>
              <w:rPr>
                <w:sz w:val="20"/>
                <w:szCs w:val="20"/>
                <w:color w:val="auto"/>
              </w:rPr>
            </w:pPr>
            <w:r>
              <w:rPr>
                <w:rFonts w:ascii="Arial" w:cs="Arial" w:eastAsia="Arial" w:hAnsi="Arial"/>
                <w:sz w:val="10"/>
                <w:szCs w:val="10"/>
                <w:color w:val="auto"/>
              </w:rPr>
              <w:t>(61)</w:t>
            </w:r>
          </w:p>
        </w:tc>
        <w:tc>
          <w:tcPr>
            <w:tcW w:w="580" w:type="dxa"/>
            <w:vAlign w:val="bottom"/>
          </w:tcPr>
          <w:p>
            <w:pPr>
              <w:jc w:val="right"/>
              <w:ind w:right="89"/>
              <w:spacing w:after="0" w:line="113" w:lineRule="exact"/>
              <w:rPr>
                <w:sz w:val="20"/>
                <w:szCs w:val="20"/>
                <w:color w:val="auto"/>
              </w:rPr>
            </w:pPr>
            <w:r>
              <w:rPr>
                <w:rFonts w:ascii="Arial" w:cs="Arial" w:eastAsia="Arial" w:hAnsi="Arial"/>
                <w:sz w:val="10"/>
                <w:szCs w:val="10"/>
                <w:color w:val="auto"/>
              </w:rPr>
              <w:t>8,597</w:t>
            </w:r>
          </w:p>
        </w:tc>
        <w:tc>
          <w:tcPr>
            <w:tcW w:w="240" w:type="dxa"/>
            <w:vAlign w:val="bottom"/>
          </w:tcPr>
          <w:p>
            <w:pPr>
              <w:spacing w:after="0"/>
              <w:rPr>
                <w:sz w:val="9"/>
                <w:szCs w:val="9"/>
                <w:color w:val="auto"/>
              </w:rPr>
            </w:pPr>
          </w:p>
        </w:tc>
        <w:tc>
          <w:tcPr>
            <w:tcW w:w="320" w:type="dxa"/>
            <w:vAlign w:val="bottom"/>
          </w:tcPr>
          <w:p>
            <w:pPr>
              <w:jc w:val="right"/>
              <w:spacing w:after="0" w:line="113" w:lineRule="exact"/>
              <w:rPr>
                <w:sz w:val="20"/>
                <w:szCs w:val="20"/>
                <w:color w:val="auto"/>
              </w:rPr>
            </w:pPr>
            <w:r>
              <w:rPr>
                <w:rFonts w:ascii="Arial" w:cs="Arial" w:eastAsia="Arial" w:hAnsi="Arial"/>
                <w:sz w:val="10"/>
                <w:szCs w:val="10"/>
                <w:color w:val="auto"/>
              </w:rPr>
              <w:t>400</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jc w:val="right"/>
              <w:ind w:right="49"/>
              <w:spacing w:after="0" w:line="113" w:lineRule="exact"/>
              <w:rPr>
                <w:sz w:val="20"/>
                <w:szCs w:val="20"/>
                <w:color w:val="auto"/>
              </w:rPr>
            </w:pPr>
            <w:r>
              <w:rPr>
                <w:rFonts w:ascii="Arial" w:cs="Arial" w:eastAsia="Arial" w:hAnsi="Arial"/>
                <w:sz w:val="10"/>
                <w:szCs w:val="10"/>
                <w:color w:val="auto"/>
              </w:rPr>
              <w:t>(339)</w:t>
            </w:r>
          </w:p>
        </w:tc>
        <w:tc>
          <w:tcPr>
            <w:tcW w:w="180" w:type="dxa"/>
            <w:vAlign w:val="bottom"/>
          </w:tcPr>
          <w:p>
            <w:pPr>
              <w:spacing w:after="0"/>
              <w:rPr>
                <w:sz w:val="9"/>
                <w:szCs w:val="9"/>
                <w:color w:val="auto"/>
              </w:rPr>
            </w:pPr>
          </w:p>
        </w:tc>
        <w:tc>
          <w:tcPr>
            <w:tcW w:w="940" w:type="dxa"/>
            <w:vAlign w:val="bottom"/>
          </w:tcPr>
          <w:p>
            <w:pPr>
              <w:jc w:val="right"/>
              <w:ind w:right="9"/>
              <w:spacing w:after="0" w:line="113"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jc w:val="right"/>
              <w:ind w:right="109"/>
              <w:spacing w:after="0" w:line="113" w:lineRule="exact"/>
              <w:rPr>
                <w:sz w:val="20"/>
                <w:szCs w:val="20"/>
                <w:color w:val="auto"/>
              </w:rPr>
            </w:pPr>
            <w:r>
              <w:rPr>
                <w:rFonts w:ascii="Arial" w:cs="Arial" w:eastAsia="Arial" w:hAnsi="Arial"/>
                <w:sz w:val="10"/>
                <w:szCs w:val="10"/>
                <w:color w:val="auto"/>
              </w:rPr>
              <w:t>—</w:t>
            </w:r>
          </w:p>
        </w:tc>
        <w:tc>
          <w:tcPr>
            <w:tcW w:w="280" w:type="dxa"/>
            <w:vAlign w:val="bottom"/>
          </w:tcPr>
          <w:p>
            <w:pPr>
              <w:spacing w:after="0"/>
              <w:rPr>
                <w:sz w:val="9"/>
                <w:szCs w:val="9"/>
                <w:color w:val="auto"/>
              </w:rPr>
            </w:pPr>
          </w:p>
        </w:tc>
        <w:tc>
          <w:tcPr>
            <w:tcW w:w="68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r>
      <w:tr>
        <w:trPr>
          <w:trHeight w:val="113"/>
        </w:trPr>
        <w:tc>
          <w:tcPr>
            <w:tcW w:w="330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Net income</w:t>
            </w:r>
          </w:p>
        </w:tc>
        <w:tc>
          <w:tcPr>
            <w:tcW w:w="640" w:type="dxa"/>
            <w:vAlign w:val="bottom"/>
            <w:shd w:val="clear" w:color="auto" w:fill="CCEEFF"/>
          </w:tcPr>
          <w:p>
            <w:pPr>
              <w:jc w:val="right"/>
              <w:ind w:right="29"/>
              <w:spacing w:after="0" w:line="113" w:lineRule="exact"/>
              <w:rPr>
                <w:sz w:val="20"/>
                <w:szCs w:val="20"/>
                <w:color w:val="auto"/>
              </w:rPr>
            </w:pPr>
            <w:r>
              <w:rPr>
                <w:rFonts w:ascii="Arial" w:cs="Arial" w:eastAsia="Arial" w:hAnsi="Arial"/>
                <w:sz w:val="10"/>
                <w:szCs w:val="10"/>
                <w:color w:val="auto"/>
              </w:rPr>
              <w:t>—</w:t>
            </w:r>
          </w:p>
        </w:tc>
        <w:tc>
          <w:tcPr>
            <w:tcW w:w="36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180"/>
              <w:spacing w:after="0" w:line="113" w:lineRule="exact"/>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89"/>
              <w:spacing w:after="0" w:line="113" w:lineRule="exact"/>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9"/>
                <w:szCs w:val="9"/>
                <w:color w:val="auto"/>
              </w:rPr>
            </w:pPr>
          </w:p>
        </w:tc>
        <w:tc>
          <w:tcPr>
            <w:tcW w:w="480" w:type="dxa"/>
            <w:vAlign w:val="bottom"/>
            <w:shd w:val="clear" w:color="auto" w:fill="CCEEFF"/>
          </w:tcPr>
          <w:p>
            <w:pPr>
              <w:jc w:val="right"/>
              <w:ind w:right="89"/>
              <w:spacing w:after="0" w:line="113" w:lineRule="exact"/>
              <w:rPr>
                <w:sz w:val="20"/>
                <w:szCs w:val="20"/>
                <w:color w:val="auto"/>
              </w:rPr>
            </w:pPr>
            <w:r>
              <w:rPr>
                <w:rFonts w:ascii="Arial" w:cs="Arial" w:eastAsia="Arial" w:hAnsi="Arial"/>
                <w:sz w:val="10"/>
                <w:szCs w:val="10"/>
                <w:color w:val="auto"/>
              </w:rPr>
              <w:t>541</w:t>
            </w:r>
          </w:p>
        </w:tc>
        <w:tc>
          <w:tcPr>
            <w:tcW w:w="180" w:type="dxa"/>
            <w:vAlign w:val="bottom"/>
            <w:shd w:val="clear" w:color="auto" w:fill="CCEEFF"/>
          </w:tcPr>
          <w:p>
            <w:pPr>
              <w:spacing w:after="0"/>
              <w:rPr>
                <w:sz w:val="9"/>
                <w:szCs w:val="9"/>
                <w:color w:val="auto"/>
              </w:rPr>
            </w:pPr>
          </w:p>
        </w:tc>
        <w:tc>
          <w:tcPr>
            <w:tcW w:w="940" w:type="dxa"/>
            <w:vAlign w:val="bottom"/>
            <w:shd w:val="clear" w:color="auto" w:fill="CCEEFF"/>
          </w:tcPr>
          <w:p>
            <w:pPr>
              <w:jc w:val="right"/>
              <w:ind w:right="9"/>
              <w:spacing w:after="0" w:line="113"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jc w:val="right"/>
              <w:ind w:right="109"/>
              <w:spacing w:after="0" w:line="113"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541</w:t>
            </w:r>
          </w:p>
        </w:tc>
      </w:tr>
      <w:tr>
        <w:trPr>
          <w:trHeight w:val="113"/>
        </w:trPr>
        <w:tc>
          <w:tcPr>
            <w:tcW w:w="3300" w:type="dxa"/>
            <w:vAlign w:val="bottom"/>
          </w:tcPr>
          <w:p>
            <w:pPr>
              <w:spacing w:after="0" w:line="113" w:lineRule="exact"/>
              <w:rPr>
                <w:sz w:val="20"/>
                <w:szCs w:val="20"/>
                <w:color w:val="auto"/>
              </w:rPr>
            </w:pPr>
            <w:r>
              <w:rPr>
                <w:rFonts w:ascii="Arial" w:cs="Arial" w:eastAsia="Arial" w:hAnsi="Arial"/>
                <w:sz w:val="10"/>
                <w:szCs w:val="10"/>
                <w:color w:val="auto"/>
              </w:rPr>
              <w:t>Cash dividends declared on common stock ($1.38 per share)</w:t>
            </w:r>
          </w:p>
        </w:tc>
        <w:tc>
          <w:tcPr>
            <w:tcW w:w="640" w:type="dxa"/>
            <w:vAlign w:val="bottom"/>
          </w:tcPr>
          <w:p>
            <w:pPr>
              <w:jc w:val="right"/>
              <w:ind w:right="29"/>
              <w:spacing w:after="0" w:line="113" w:lineRule="exact"/>
              <w:rPr>
                <w:sz w:val="20"/>
                <w:szCs w:val="20"/>
                <w:color w:val="auto"/>
              </w:rPr>
            </w:pPr>
            <w:r>
              <w:rPr>
                <w:rFonts w:ascii="Arial" w:cs="Arial" w:eastAsia="Arial" w:hAnsi="Arial"/>
                <w:sz w:val="10"/>
                <w:szCs w:val="10"/>
                <w:color w:val="auto"/>
              </w:rPr>
              <w:t>—</w:t>
            </w:r>
          </w:p>
        </w:tc>
        <w:tc>
          <w:tcPr>
            <w:tcW w:w="360" w:type="dxa"/>
            <w:vAlign w:val="bottom"/>
          </w:tcPr>
          <w:p>
            <w:pPr>
              <w:spacing w:after="0"/>
              <w:rPr>
                <w:sz w:val="9"/>
                <w:szCs w:val="9"/>
                <w:color w:val="auto"/>
              </w:rPr>
            </w:pPr>
          </w:p>
        </w:tc>
        <w:tc>
          <w:tcPr>
            <w:tcW w:w="380" w:type="dxa"/>
            <w:vAlign w:val="bottom"/>
            <w:gridSpan w:val="2"/>
          </w:tcPr>
          <w:p>
            <w:pPr>
              <w:jc w:val="right"/>
              <w:ind w:right="180"/>
              <w:spacing w:after="0" w:line="113" w:lineRule="exact"/>
              <w:rPr>
                <w:sz w:val="20"/>
                <w:szCs w:val="20"/>
                <w:color w:val="auto"/>
              </w:rPr>
            </w:pPr>
            <w:r>
              <w:rPr>
                <w:rFonts w:ascii="Arial" w:cs="Arial" w:eastAsia="Arial" w:hAnsi="Arial"/>
                <w:sz w:val="10"/>
                <w:szCs w:val="10"/>
                <w:color w:val="auto"/>
              </w:rPr>
              <w:t>—</w:t>
            </w:r>
          </w:p>
        </w:tc>
        <w:tc>
          <w:tcPr>
            <w:tcW w:w="580" w:type="dxa"/>
            <w:vAlign w:val="bottom"/>
          </w:tcPr>
          <w:p>
            <w:pPr>
              <w:jc w:val="right"/>
              <w:ind w:right="89"/>
              <w:spacing w:after="0" w:line="113" w:lineRule="exact"/>
              <w:rPr>
                <w:sz w:val="20"/>
                <w:szCs w:val="20"/>
                <w:color w:val="auto"/>
              </w:rPr>
            </w:pPr>
            <w:r>
              <w:rPr>
                <w:rFonts w:ascii="Arial" w:cs="Arial" w:eastAsia="Arial" w:hAnsi="Arial"/>
                <w:sz w:val="10"/>
                <w:szCs w:val="10"/>
                <w:color w:val="auto"/>
              </w:rPr>
              <w:t>—</w:t>
            </w:r>
          </w:p>
        </w:tc>
        <w:tc>
          <w:tcPr>
            <w:tcW w:w="240" w:type="dxa"/>
            <w:vAlign w:val="bottom"/>
          </w:tcPr>
          <w:p>
            <w:pPr>
              <w:spacing w:after="0"/>
              <w:rPr>
                <w:sz w:val="9"/>
                <w:szCs w:val="9"/>
                <w:color w:val="auto"/>
              </w:rPr>
            </w:pPr>
          </w:p>
        </w:tc>
        <w:tc>
          <w:tcPr>
            <w:tcW w:w="420" w:type="dxa"/>
            <w:vAlign w:val="bottom"/>
            <w:gridSpan w:val="2"/>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260" w:type="dxa"/>
            <w:vAlign w:val="bottom"/>
          </w:tcPr>
          <w:p>
            <w:pPr>
              <w:spacing w:after="0"/>
              <w:rPr>
                <w:sz w:val="9"/>
                <w:szCs w:val="9"/>
                <w:color w:val="auto"/>
              </w:rPr>
            </w:pPr>
          </w:p>
        </w:tc>
        <w:tc>
          <w:tcPr>
            <w:tcW w:w="480" w:type="dxa"/>
            <w:vAlign w:val="bottom"/>
          </w:tcPr>
          <w:p>
            <w:pPr>
              <w:jc w:val="right"/>
              <w:ind w:right="49"/>
              <w:spacing w:after="0" w:line="113" w:lineRule="exact"/>
              <w:rPr>
                <w:sz w:val="20"/>
                <w:szCs w:val="20"/>
                <w:color w:val="auto"/>
              </w:rPr>
            </w:pPr>
            <w:r>
              <w:rPr>
                <w:rFonts w:ascii="Arial" w:cs="Arial" w:eastAsia="Arial" w:hAnsi="Arial"/>
                <w:sz w:val="10"/>
                <w:szCs w:val="10"/>
                <w:color w:val="auto"/>
              </w:rPr>
              <w:t>(158)</w:t>
            </w:r>
          </w:p>
        </w:tc>
        <w:tc>
          <w:tcPr>
            <w:tcW w:w="180" w:type="dxa"/>
            <w:vAlign w:val="bottom"/>
          </w:tcPr>
          <w:p>
            <w:pPr>
              <w:spacing w:after="0"/>
              <w:rPr>
                <w:sz w:val="9"/>
                <w:szCs w:val="9"/>
                <w:color w:val="auto"/>
              </w:rPr>
            </w:pPr>
          </w:p>
        </w:tc>
        <w:tc>
          <w:tcPr>
            <w:tcW w:w="940" w:type="dxa"/>
            <w:vAlign w:val="bottom"/>
          </w:tcPr>
          <w:p>
            <w:pPr>
              <w:jc w:val="right"/>
              <w:ind w:right="9"/>
              <w:spacing w:after="0" w:line="113"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jc w:val="right"/>
              <w:ind w:right="109"/>
              <w:spacing w:after="0" w:line="113" w:lineRule="exact"/>
              <w:rPr>
                <w:sz w:val="20"/>
                <w:szCs w:val="20"/>
                <w:color w:val="auto"/>
              </w:rPr>
            </w:pPr>
            <w:r>
              <w:rPr>
                <w:rFonts w:ascii="Arial" w:cs="Arial" w:eastAsia="Arial" w:hAnsi="Arial"/>
                <w:sz w:val="10"/>
                <w:szCs w:val="10"/>
                <w:color w:val="auto"/>
              </w:rPr>
              <w:t>—</w:t>
            </w:r>
          </w:p>
        </w:tc>
        <w:tc>
          <w:tcPr>
            <w:tcW w:w="280" w:type="dxa"/>
            <w:vAlign w:val="bottom"/>
          </w:tcPr>
          <w:p>
            <w:pPr>
              <w:spacing w:after="0"/>
              <w:rPr>
                <w:sz w:val="9"/>
                <w:szCs w:val="9"/>
                <w:color w:val="auto"/>
              </w:rPr>
            </w:pPr>
          </w:p>
        </w:tc>
        <w:tc>
          <w:tcPr>
            <w:tcW w:w="680" w:type="dxa"/>
            <w:vAlign w:val="bottom"/>
          </w:tcPr>
          <w:p>
            <w:pPr>
              <w:jc w:val="right"/>
              <w:spacing w:after="0" w:line="113" w:lineRule="exact"/>
              <w:rPr>
                <w:sz w:val="20"/>
                <w:szCs w:val="20"/>
                <w:color w:val="auto"/>
              </w:rPr>
            </w:pPr>
            <w:r>
              <w:rPr>
                <w:rFonts w:ascii="Arial" w:cs="Arial" w:eastAsia="Arial" w:hAnsi="Arial"/>
                <w:sz w:val="10"/>
                <w:szCs w:val="10"/>
                <w:color w:val="auto"/>
              </w:rPr>
              <w:t>(158)</w:t>
            </w:r>
          </w:p>
        </w:tc>
      </w:tr>
      <w:tr>
        <w:trPr>
          <w:trHeight w:val="113"/>
        </w:trPr>
        <w:tc>
          <w:tcPr>
            <w:tcW w:w="330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Translation adjustment, net of tax</w:t>
            </w:r>
          </w:p>
        </w:tc>
        <w:tc>
          <w:tcPr>
            <w:tcW w:w="640" w:type="dxa"/>
            <w:vAlign w:val="bottom"/>
            <w:shd w:val="clear" w:color="auto" w:fill="CCEEFF"/>
          </w:tcPr>
          <w:p>
            <w:pPr>
              <w:jc w:val="right"/>
              <w:ind w:right="29"/>
              <w:spacing w:after="0" w:line="113" w:lineRule="exact"/>
              <w:rPr>
                <w:sz w:val="20"/>
                <w:szCs w:val="20"/>
                <w:color w:val="auto"/>
              </w:rPr>
            </w:pPr>
            <w:r>
              <w:rPr>
                <w:rFonts w:ascii="Arial" w:cs="Arial" w:eastAsia="Arial" w:hAnsi="Arial"/>
                <w:sz w:val="10"/>
                <w:szCs w:val="10"/>
                <w:color w:val="auto"/>
              </w:rPr>
              <w:t>—</w:t>
            </w:r>
          </w:p>
        </w:tc>
        <w:tc>
          <w:tcPr>
            <w:tcW w:w="36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180"/>
              <w:spacing w:after="0" w:line="113" w:lineRule="exact"/>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89"/>
              <w:spacing w:after="0" w:line="113" w:lineRule="exact"/>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9"/>
                <w:szCs w:val="9"/>
                <w:color w:val="auto"/>
              </w:rPr>
            </w:pPr>
          </w:p>
        </w:tc>
        <w:tc>
          <w:tcPr>
            <w:tcW w:w="480" w:type="dxa"/>
            <w:vAlign w:val="bottom"/>
            <w:shd w:val="clear" w:color="auto" w:fill="CCEEFF"/>
          </w:tcPr>
          <w:p>
            <w:pPr>
              <w:jc w:val="right"/>
              <w:ind w:right="89"/>
              <w:spacing w:after="0" w:line="113"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94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(75)</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jc w:val="right"/>
              <w:ind w:right="109"/>
              <w:spacing w:after="0" w:line="113"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(75)</w:t>
            </w:r>
          </w:p>
        </w:tc>
      </w:tr>
      <w:tr>
        <w:trPr>
          <w:trHeight w:val="113"/>
        </w:trPr>
        <w:tc>
          <w:tcPr>
            <w:tcW w:w="3300" w:type="dxa"/>
            <w:vAlign w:val="bottom"/>
          </w:tcPr>
          <w:p>
            <w:pPr>
              <w:spacing w:after="0" w:line="113" w:lineRule="exact"/>
              <w:rPr>
                <w:sz w:val="20"/>
                <w:szCs w:val="20"/>
                <w:color w:val="auto"/>
              </w:rPr>
            </w:pPr>
            <w:r>
              <w:rPr>
                <w:rFonts w:ascii="Arial" w:cs="Arial" w:eastAsia="Arial" w:hAnsi="Arial"/>
                <w:sz w:val="10"/>
                <w:szCs w:val="10"/>
                <w:color w:val="auto"/>
              </w:rPr>
              <w:t>Pension and postretirement adjustments, net of tax</w:t>
            </w:r>
          </w:p>
        </w:tc>
        <w:tc>
          <w:tcPr>
            <w:tcW w:w="640" w:type="dxa"/>
            <w:vAlign w:val="bottom"/>
          </w:tcPr>
          <w:p>
            <w:pPr>
              <w:jc w:val="right"/>
              <w:ind w:right="29"/>
              <w:spacing w:after="0" w:line="113" w:lineRule="exact"/>
              <w:rPr>
                <w:sz w:val="20"/>
                <w:szCs w:val="20"/>
                <w:color w:val="auto"/>
              </w:rPr>
            </w:pPr>
            <w:r>
              <w:rPr>
                <w:rFonts w:ascii="Arial" w:cs="Arial" w:eastAsia="Arial" w:hAnsi="Arial"/>
                <w:sz w:val="10"/>
                <w:szCs w:val="10"/>
                <w:color w:val="auto"/>
              </w:rPr>
              <w:t>—</w:t>
            </w:r>
          </w:p>
        </w:tc>
        <w:tc>
          <w:tcPr>
            <w:tcW w:w="360" w:type="dxa"/>
            <w:vAlign w:val="bottom"/>
          </w:tcPr>
          <w:p>
            <w:pPr>
              <w:spacing w:after="0"/>
              <w:rPr>
                <w:sz w:val="9"/>
                <w:szCs w:val="9"/>
                <w:color w:val="auto"/>
              </w:rPr>
            </w:pPr>
          </w:p>
        </w:tc>
        <w:tc>
          <w:tcPr>
            <w:tcW w:w="380" w:type="dxa"/>
            <w:vAlign w:val="bottom"/>
            <w:gridSpan w:val="2"/>
          </w:tcPr>
          <w:p>
            <w:pPr>
              <w:jc w:val="right"/>
              <w:ind w:right="180"/>
              <w:spacing w:after="0" w:line="113" w:lineRule="exact"/>
              <w:rPr>
                <w:sz w:val="20"/>
                <w:szCs w:val="20"/>
                <w:color w:val="auto"/>
              </w:rPr>
            </w:pPr>
            <w:r>
              <w:rPr>
                <w:rFonts w:ascii="Arial" w:cs="Arial" w:eastAsia="Arial" w:hAnsi="Arial"/>
                <w:sz w:val="10"/>
                <w:szCs w:val="10"/>
                <w:color w:val="auto"/>
              </w:rPr>
              <w:t>—</w:t>
            </w:r>
          </w:p>
        </w:tc>
        <w:tc>
          <w:tcPr>
            <w:tcW w:w="580" w:type="dxa"/>
            <w:vAlign w:val="bottom"/>
          </w:tcPr>
          <w:p>
            <w:pPr>
              <w:jc w:val="right"/>
              <w:ind w:right="89"/>
              <w:spacing w:after="0" w:line="113" w:lineRule="exact"/>
              <w:rPr>
                <w:sz w:val="20"/>
                <w:szCs w:val="20"/>
                <w:color w:val="auto"/>
              </w:rPr>
            </w:pPr>
            <w:r>
              <w:rPr>
                <w:rFonts w:ascii="Arial" w:cs="Arial" w:eastAsia="Arial" w:hAnsi="Arial"/>
                <w:sz w:val="10"/>
                <w:szCs w:val="10"/>
                <w:color w:val="auto"/>
              </w:rPr>
              <w:t>—</w:t>
            </w:r>
          </w:p>
        </w:tc>
        <w:tc>
          <w:tcPr>
            <w:tcW w:w="240" w:type="dxa"/>
            <w:vAlign w:val="bottom"/>
          </w:tcPr>
          <w:p>
            <w:pPr>
              <w:spacing w:after="0"/>
              <w:rPr>
                <w:sz w:val="9"/>
                <w:szCs w:val="9"/>
                <w:color w:val="auto"/>
              </w:rPr>
            </w:pPr>
          </w:p>
        </w:tc>
        <w:tc>
          <w:tcPr>
            <w:tcW w:w="420" w:type="dxa"/>
            <w:vAlign w:val="bottom"/>
            <w:gridSpan w:val="2"/>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260" w:type="dxa"/>
            <w:vAlign w:val="bottom"/>
          </w:tcPr>
          <w:p>
            <w:pPr>
              <w:spacing w:after="0"/>
              <w:rPr>
                <w:sz w:val="9"/>
                <w:szCs w:val="9"/>
                <w:color w:val="auto"/>
              </w:rPr>
            </w:pPr>
          </w:p>
        </w:tc>
        <w:tc>
          <w:tcPr>
            <w:tcW w:w="480" w:type="dxa"/>
            <w:vAlign w:val="bottom"/>
          </w:tcPr>
          <w:p>
            <w:pPr>
              <w:jc w:val="right"/>
              <w:ind w:right="89"/>
              <w:spacing w:after="0" w:line="113"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940" w:type="dxa"/>
            <w:vAlign w:val="bottom"/>
          </w:tcPr>
          <w:p>
            <w:pPr>
              <w:jc w:val="right"/>
              <w:spacing w:after="0" w:line="113" w:lineRule="exact"/>
              <w:rPr>
                <w:sz w:val="20"/>
                <w:szCs w:val="20"/>
                <w:color w:val="auto"/>
              </w:rPr>
            </w:pPr>
            <w:r>
              <w:rPr>
                <w:rFonts w:ascii="Arial" w:cs="Arial" w:eastAsia="Arial" w:hAnsi="Arial"/>
                <w:sz w:val="10"/>
                <w:szCs w:val="10"/>
                <w:color w:val="auto"/>
              </w:rPr>
              <w:t>(16)</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jc w:val="right"/>
              <w:ind w:right="109"/>
              <w:spacing w:after="0" w:line="113" w:lineRule="exact"/>
              <w:rPr>
                <w:sz w:val="20"/>
                <w:szCs w:val="20"/>
                <w:color w:val="auto"/>
              </w:rPr>
            </w:pPr>
            <w:r>
              <w:rPr>
                <w:rFonts w:ascii="Arial" w:cs="Arial" w:eastAsia="Arial" w:hAnsi="Arial"/>
                <w:sz w:val="10"/>
                <w:szCs w:val="10"/>
                <w:color w:val="auto"/>
              </w:rPr>
              <w:t>—</w:t>
            </w:r>
          </w:p>
        </w:tc>
        <w:tc>
          <w:tcPr>
            <w:tcW w:w="280" w:type="dxa"/>
            <w:vAlign w:val="bottom"/>
          </w:tcPr>
          <w:p>
            <w:pPr>
              <w:spacing w:after="0"/>
              <w:rPr>
                <w:sz w:val="9"/>
                <w:szCs w:val="9"/>
                <w:color w:val="auto"/>
              </w:rPr>
            </w:pPr>
          </w:p>
        </w:tc>
        <w:tc>
          <w:tcPr>
            <w:tcW w:w="680" w:type="dxa"/>
            <w:vAlign w:val="bottom"/>
          </w:tcPr>
          <w:p>
            <w:pPr>
              <w:jc w:val="right"/>
              <w:spacing w:after="0" w:line="113" w:lineRule="exact"/>
              <w:rPr>
                <w:sz w:val="20"/>
                <w:szCs w:val="20"/>
                <w:color w:val="auto"/>
              </w:rPr>
            </w:pPr>
            <w:r>
              <w:rPr>
                <w:rFonts w:ascii="Arial" w:cs="Arial" w:eastAsia="Arial" w:hAnsi="Arial"/>
                <w:sz w:val="10"/>
                <w:szCs w:val="10"/>
                <w:color w:val="auto"/>
              </w:rPr>
              <w:t>(16)</w:t>
            </w:r>
          </w:p>
        </w:tc>
      </w:tr>
      <w:tr>
        <w:trPr>
          <w:trHeight w:val="113"/>
        </w:trPr>
        <w:tc>
          <w:tcPr>
            <w:tcW w:w="330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Cumulative effect of the adoption of ASU 2014-09</w:t>
            </w:r>
          </w:p>
        </w:tc>
        <w:tc>
          <w:tcPr>
            <w:tcW w:w="640" w:type="dxa"/>
            <w:vAlign w:val="bottom"/>
            <w:shd w:val="clear" w:color="auto" w:fill="CCEEFF"/>
          </w:tcPr>
          <w:p>
            <w:pPr>
              <w:jc w:val="right"/>
              <w:ind w:right="29"/>
              <w:spacing w:after="0" w:line="113" w:lineRule="exact"/>
              <w:rPr>
                <w:sz w:val="20"/>
                <w:szCs w:val="20"/>
                <w:color w:val="auto"/>
              </w:rPr>
            </w:pPr>
            <w:r>
              <w:rPr>
                <w:rFonts w:ascii="Arial" w:cs="Arial" w:eastAsia="Arial" w:hAnsi="Arial"/>
                <w:sz w:val="10"/>
                <w:szCs w:val="10"/>
                <w:color w:val="auto"/>
              </w:rPr>
              <w:t>—</w:t>
            </w:r>
          </w:p>
        </w:tc>
        <w:tc>
          <w:tcPr>
            <w:tcW w:w="36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180"/>
              <w:spacing w:after="0" w:line="113" w:lineRule="exact"/>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89"/>
              <w:spacing w:after="0" w:line="113" w:lineRule="exact"/>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9"/>
                <w:szCs w:val="9"/>
                <w:color w:val="auto"/>
              </w:rPr>
            </w:pPr>
          </w:p>
        </w:tc>
        <w:tc>
          <w:tcPr>
            <w:tcW w:w="480" w:type="dxa"/>
            <w:vAlign w:val="bottom"/>
            <w:shd w:val="clear" w:color="auto" w:fill="CCEEFF"/>
          </w:tcPr>
          <w:p>
            <w:pPr>
              <w:jc w:val="right"/>
              <w:ind w:right="89"/>
              <w:spacing w:after="0" w:line="113" w:lineRule="exact"/>
              <w:rPr>
                <w:sz w:val="20"/>
                <w:szCs w:val="20"/>
                <w:color w:val="auto"/>
              </w:rPr>
            </w:pPr>
            <w:r>
              <w:rPr>
                <w:rFonts w:ascii="Arial" w:cs="Arial" w:eastAsia="Arial" w:hAnsi="Arial"/>
                <w:sz w:val="10"/>
                <w:szCs w:val="10"/>
                <w:color w:val="auto"/>
              </w:rPr>
              <w:t>4</w:t>
            </w:r>
          </w:p>
        </w:tc>
        <w:tc>
          <w:tcPr>
            <w:tcW w:w="180" w:type="dxa"/>
            <w:vAlign w:val="bottom"/>
            <w:shd w:val="clear" w:color="auto" w:fill="CCEEFF"/>
          </w:tcPr>
          <w:p>
            <w:pPr>
              <w:spacing w:after="0"/>
              <w:rPr>
                <w:sz w:val="9"/>
                <w:szCs w:val="9"/>
                <w:color w:val="auto"/>
              </w:rPr>
            </w:pPr>
          </w:p>
        </w:tc>
        <w:tc>
          <w:tcPr>
            <w:tcW w:w="940" w:type="dxa"/>
            <w:vAlign w:val="bottom"/>
            <w:shd w:val="clear" w:color="auto" w:fill="CCEEFF"/>
          </w:tcPr>
          <w:p>
            <w:pPr>
              <w:jc w:val="right"/>
              <w:ind w:right="9"/>
              <w:spacing w:after="0" w:line="113"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jc w:val="right"/>
              <w:ind w:right="109"/>
              <w:spacing w:after="0" w:line="113"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4</w:t>
            </w:r>
          </w:p>
        </w:tc>
      </w:tr>
      <w:tr>
        <w:trPr>
          <w:trHeight w:val="113"/>
        </w:trPr>
        <w:tc>
          <w:tcPr>
            <w:tcW w:w="3300" w:type="dxa"/>
            <w:vAlign w:val="bottom"/>
            <w:tcBorders>
              <w:bottom w:val="single" w:sz="8" w:color="auto"/>
            </w:tcBorders>
          </w:tcPr>
          <w:p>
            <w:pPr>
              <w:spacing w:after="0" w:line="113" w:lineRule="exact"/>
              <w:rPr>
                <w:sz w:val="20"/>
                <w:szCs w:val="20"/>
                <w:color w:val="auto"/>
              </w:rPr>
            </w:pPr>
            <w:r>
              <w:rPr>
                <w:rFonts w:ascii="Arial" w:cs="Arial" w:eastAsia="Arial" w:hAnsi="Arial"/>
                <w:sz w:val="10"/>
                <w:szCs w:val="10"/>
                <w:color w:val="auto"/>
              </w:rPr>
              <w:t>Cumulative effect of the adoption of ASU 2016-16</w:t>
            </w:r>
          </w:p>
        </w:tc>
        <w:tc>
          <w:tcPr>
            <w:tcW w:w="640" w:type="dxa"/>
            <w:vAlign w:val="bottom"/>
            <w:tcBorders>
              <w:bottom w:val="single" w:sz="8" w:color="auto"/>
            </w:tcBorders>
          </w:tcPr>
          <w:p>
            <w:pPr>
              <w:jc w:val="right"/>
              <w:ind w:right="29"/>
              <w:spacing w:after="0" w:line="113" w:lineRule="exact"/>
              <w:rPr>
                <w:sz w:val="20"/>
                <w:szCs w:val="20"/>
                <w:color w:val="auto"/>
              </w:rPr>
            </w:pPr>
            <w:r>
              <w:rPr>
                <w:rFonts w:ascii="Arial" w:cs="Arial" w:eastAsia="Arial" w:hAnsi="Arial"/>
                <w:sz w:val="10"/>
                <w:szCs w:val="10"/>
                <w:color w:val="auto"/>
              </w:rPr>
              <w:t>—</w:t>
            </w:r>
          </w:p>
        </w:tc>
        <w:tc>
          <w:tcPr>
            <w:tcW w:w="3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gridSpan w:val="2"/>
          </w:tcPr>
          <w:p>
            <w:pPr>
              <w:jc w:val="right"/>
              <w:ind w:right="180"/>
              <w:spacing w:after="0" w:line="113" w:lineRule="exact"/>
              <w:rPr>
                <w:sz w:val="20"/>
                <w:szCs w:val="20"/>
                <w:color w:val="auto"/>
              </w:rPr>
            </w:pPr>
            <w:r>
              <w:rPr>
                <w:rFonts w:ascii="Arial" w:cs="Arial" w:eastAsia="Arial" w:hAnsi="Arial"/>
                <w:sz w:val="10"/>
                <w:szCs w:val="10"/>
                <w:color w:val="auto"/>
              </w:rPr>
              <w:t>—</w:t>
            </w:r>
          </w:p>
        </w:tc>
        <w:tc>
          <w:tcPr>
            <w:tcW w:w="580" w:type="dxa"/>
            <w:vAlign w:val="bottom"/>
            <w:tcBorders>
              <w:bottom w:val="single" w:sz="8" w:color="auto"/>
            </w:tcBorders>
          </w:tcPr>
          <w:p>
            <w:pPr>
              <w:jc w:val="right"/>
              <w:ind w:right="89"/>
              <w:spacing w:after="0" w:line="113" w:lineRule="exact"/>
              <w:rPr>
                <w:sz w:val="20"/>
                <w:szCs w:val="20"/>
                <w:color w:val="auto"/>
              </w:rPr>
            </w:pPr>
            <w:r>
              <w:rPr>
                <w:rFonts w:ascii="Arial" w:cs="Arial" w:eastAsia="Arial" w:hAnsi="Arial"/>
                <w:sz w:val="10"/>
                <w:szCs w:val="10"/>
                <w:color w:val="auto"/>
              </w:rPr>
              <w:t>—</w:t>
            </w:r>
          </w:p>
        </w:tc>
        <w:tc>
          <w:tcPr>
            <w:tcW w:w="2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gridSpan w:val="2"/>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2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ind w:right="89"/>
              <w:spacing w:after="0" w:line="113" w:lineRule="exact"/>
              <w:rPr>
                <w:sz w:val="20"/>
                <w:szCs w:val="20"/>
                <w:color w:val="auto"/>
              </w:rPr>
            </w:pPr>
            <w:r>
              <w:rPr>
                <w:rFonts w:ascii="Arial" w:cs="Arial" w:eastAsia="Arial" w:hAnsi="Arial"/>
                <w:sz w:val="10"/>
                <w:szCs w:val="10"/>
                <w:color w:val="auto"/>
              </w:rPr>
              <w:t>37</w:t>
            </w: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right"/>
              <w:ind w:right="9"/>
              <w:spacing w:after="0" w:line="113" w:lineRule="exact"/>
              <w:rPr>
                <w:sz w:val="20"/>
                <w:szCs w:val="20"/>
                <w:color w:val="auto"/>
              </w:rPr>
            </w:pPr>
            <w:r>
              <w:rPr>
                <w:rFonts w:ascii="Arial" w:cs="Arial" w:eastAsia="Arial" w:hAnsi="Arial"/>
                <w:sz w:val="10"/>
                <w:szCs w:val="10"/>
                <w:color w:val="auto"/>
              </w:rPr>
              <w:t>—</w:t>
            </w: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jc w:val="right"/>
              <w:ind w:right="109"/>
              <w:spacing w:after="0" w:line="113" w:lineRule="exact"/>
              <w:rPr>
                <w:sz w:val="20"/>
                <w:szCs w:val="20"/>
                <w:color w:val="auto"/>
              </w:rPr>
            </w:pPr>
            <w:r>
              <w:rPr>
                <w:rFonts w:ascii="Arial" w:cs="Arial" w:eastAsia="Arial" w:hAnsi="Arial"/>
                <w:sz w:val="10"/>
                <w:szCs w:val="10"/>
                <w:color w:val="auto"/>
              </w:rPr>
              <w:t>—</w:t>
            </w:r>
          </w:p>
        </w:tc>
        <w:tc>
          <w:tcPr>
            <w:tcW w:w="2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37</w:t>
            </w:r>
          </w:p>
        </w:tc>
      </w:tr>
      <w:tr>
        <w:trPr>
          <w:trHeight w:val="103"/>
        </w:trPr>
        <w:tc>
          <w:tcPr>
            <w:tcW w:w="3300" w:type="dxa"/>
            <w:vAlign w:val="bottom"/>
            <w:shd w:val="clear" w:color="auto" w:fill="CCEEFF"/>
          </w:tcPr>
          <w:p>
            <w:pPr>
              <w:spacing w:after="0" w:line="104" w:lineRule="exact"/>
              <w:rPr>
                <w:sz w:val="20"/>
                <w:szCs w:val="20"/>
                <w:color w:val="auto"/>
              </w:rPr>
            </w:pPr>
            <w:r>
              <w:rPr>
                <w:rFonts w:ascii="Arial" w:cs="Arial" w:eastAsia="Arial" w:hAnsi="Arial"/>
                <w:sz w:val="10"/>
                <w:szCs w:val="10"/>
                <w:b w:val="1"/>
                <w:bCs w:val="1"/>
                <w:color w:val="auto"/>
              </w:rPr>
              <w:t>Balance at February 2, 2019</w:t>
            </w:r>
          </w:p>
        </w:tc>
        <w:tc>
          <w:tcPr>
            <w:tcW w:w="640" w:type="dxa"/>
            <w:vAlign w:val="bottom"/>
            <w:shd w:val="clear" w:color="auto" w:fill="CCEEFF"/>
          </w:tcPr>
          <w:p>
            <w:pPr>
              <w:jc w:val="right"/>
              <w:ind w:right="29"/>
              <w:spacing w:after="0" w:line="104" w:lineRule="exact"/>
              <w:rPr>
                <w:sz w:val="20"/>
                <w:szCs w:val="20"/>
                <w:color w:val="auto"/>
              </w:rPr>
            </w:pPr>
            <w:r>
              <w:rPr>
                <w:rFonts w:ascii="Arial" w:cs="Arial" w:eastAsia="Arial" w:hAnsi="Arial"/>
                <w:sz w:val="10"/>
                <w:szCs w:val="10"/>
                <w:b w:val="1"/>
                <w:bCs w:val="1"/>
                <w:color w:val="auto"/>
              </w:rPr>
              <w:t>112,933</w:t>
            </w:r>
          </w:p>
        </w:tc>
        <w:tc>
          <w:tcPr>
            <w:tcW w:w="360" w:type="dxa"/>
            <w:vAlign w:val="bottom"/>
            <w:shd w:val="clear" w:color="auto" w:fill="CCEEFF"/>
          </w:tcPr>
          <w:p>
            <w:pPr>
              <w:jc w:val="right"/>
              <w:ind w:right="209"/>
              <w:spacing w:after="0" w:line="104" w:lineRule="exact"/>
              <w:rPr>
                <w:sz w:val="20"/>
                <w:szCs w:val="20"/>
                <w:color w:val="auto"/>
              </w:rPr>
            </w:pPr>
            <w:r>
              <w:rPr>
                <w:rFonts w:ascii="Arial" w:cs="Arial" w:eastAsia="Arial" w:hAnsi="Arial"/>
                <w:sz w:val="10"/>
                <w:szCs w:val="10"/>
                <w:b w:val="1"/>
                <w:bCs w:val="1"/>
                <w:color w:val="auto"/>
              </w:rPr>
              <w:t>$</w:t>
            </w:r>
          </w:p>
        </w:tc>
        <w:tc>
          <w:tcPr>
            <w:tcW w:w="24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809</w:t>
            </w: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jc w:val="right"/>
              <w:ind w:right="49"/>
              <w:spacing w:after="0" w:line="104" w:lineRule="exact"/>
              <w:rPr>
                <w:sz w:val="20"/>
                <w:szCs w:val="20"/>
                <w:color w:val="auto"/>
              </w:rPr>
            </w:pPr>
            <w:r>
              <w:rPr>
                <w:rFonts w:ascii="Arial" w:cs="Arial" w:eastAsia="Arial" w:hAnsi="Arial"/>
                <w:sz w:val="10"/>
                <w:szCs w:val="10"/>
                <w:b w:val="1"/>
                <w:bCs w:val="1"/>
                <w:color w:val="auto"/>
              </w:rPr>
              <w:t>(711)</w:t>
            </w:r>
          </w:p>
        </w:tc>
        <w:tc>
          <w:tcPr>
            <w:tcW w:w="240" w:type="dxa"/>
            <w:vAlign w:val="bottom"/>
            <w:shd w:val="clear" w:color="auto" w:fill="CCEEFF"/>
          </w:tcPr>
          <w:p>
            <w:pPr>
              <w:jc w:val="right"/>
              <w:ind w:right="49"/>
              <w:spacing w:after="0" w:line="104" w:lineRule="exact"/>
              <w:rPr>
                <w:sz w:val="20"/>
                <w:szCs w:val="20"/>
                <w:color w:val="auto"/>
              </w:rPr>
            </w:pPr>
            <w:r>
              <w:rPr>
                <w:rFonts w:ascii="Arial" w:cs="Arial" w:eastAsia="Arial" w:hAnsi="Arial"/>
                <w:sz w:val="10"/>
                <w:szCs w:val="10"/>
                <w:b w:val="1"/>
                <w:bCs w:val="1"/>
                <w:color w:val="auto"/>
              </w:rPr>
              <w:t>$</w:t>
            </w:r>
          </w:p>
        </w:tc>
        <w:tc>
          <w:tcPr>
            <w:tcW w:w="420" w:type="dxa"/>
            <w:vAlign w:val="bottom"/>
            <w:gridSpan w:val="2"/>
            <w:shd w:val="clear" w:color="auto" w:fill="CCEEFF"/>
          </w:tcPr>
          <w:p>
            <w:pPr>
              <w:jc w:val="right"/>
              <w:ind w:right="100"/>
              <w:spacing w:after="0" w:line="104" w:lineRule="exact"/>
              <w:rPr>
                <w:sz w:val="20"/>
                <w:szCs w:val="20"/>
                <w:color w:val="auto"/>
              </w:rPr>
            </w:pPr>
            <w:r>
              <w:rPr>
                <w:rFonts w:ascii="Arial" w:cs="Arial" w:eastAsia="Arial" w:hAnsi="Arial"/>
                <w:sz w:val="10"/>
                <w:szCs w:val="10"/>
                <w:b w:val="1"/>
                <w:bCs w:val="1"/>
                <w:color w:val="auto"/>
              </w:rPr>
              <w:t>(37)</w:t>
            </w:r>
          </w:p>
        </w:tc>
        <w:tc>
          <w:tcPr>
            <w:tcW w:w="260" w:type="dxa"/>
            <w:vAlign w:val="bottom"/>
            <w:shd w:val="clear" w:color="auto" w:fill="CCEEFF"/>
          </w:tcPr>
          <w:p>
            <w:pPr>
              <w:jc w:val="right"/>
              <w:ind w:right="49"/>
              <w:spacing w:after="0" w:line="104" w:lineRule="exact"/>
              <w:rPr>
                <w:sz w:val="20"/>
                <w:szCs w:val="20"/>
                <w:color w:val="auto"/>
              </w:rPr>
            </w:pPr>
            <w:r>
              <w:rPr>
                <w:rFonts w:ascii="Arial" w:cs="Arial" w:eastAsia="Arial" w:hAnsi="Arial"/>
                <w:sz w:val="10"/>
                <w:szCs w:val="10"/>
                <w:b w:val="1"/>
                <w:bCs w:val="1"/>
                <w:color w:val="auto"/>
              </w:rPr>
              <w:t>$</w:t>
            </w:r>
          </w:p>
        </w:tc>
        <w:tc>
          <w:tcPr>
            <w:tcW w:w="480" w:type="dxa"/>
            <w:vAlign w:val="bottom"/>
            <w:shd w:val="clear" w:color="auto" w:fill="CCEEFF"/>
          </w:tcPr>
          <w:p>
            <w:pPr>
              <w:jc w:val="right"/>
              <w:ind w:right="89"/>
              <w:spacing w:after="0" w:line="104" w:lineRule="exact"/>
              <w:rPr>
                <w:sz w:val="20"/>
                <w:szCs w:val="20"/>
                <w:color w:val="auto"/>
              </w:rPr>
            </w:pPr>
            <w:r>
              <w:rPr>
                <w:rFonts w:ascii="Arial" w:cs="Arial" w:eastAsia="Arial" w:hAnsi="Arial"/>
                <w:sz w:val="10"/>
                <w:szCs w:val="10"/>
                <w:b w:val="1"/>
                <w:bCs w:val="1"/>
                <w:color w:val="auto"/>
              </w:rPr>
              <w:t>2,104</w:t>
            </w:r>
          </w:p>
        </w:tc>
        <w:tc>
          <w:tcPr>
            <w:tcW w:w="18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w:t>
            </w:r>
          </w:p>
        </w:tc>
        <w:tc>
          <w:tcPr>
            <w:tcW w:w="94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(370)</w:t>
            </w:r>
          </w:p>
        </w:tc>
        <w:tc>
          <w:tcPr>
            <w:tcW w:w="140" w:type="dxa"/>
            <w:vAlign w:val="bottom"/>
            <w:gridSpan w:val="2"/>
            <w:shd w:val="clear" w:color="auto" w:fill="CCEEFF"/>
          </w:tcPr>
          <w:p>
            <w:pPr>
              <w:jc w:val="right"/>
              <w:ind w:right="80"/>
              <w:spacing w:after="0" w:line="104" w:lineRule="exact"/>
              <w:rPr>
                <w:sz w:val="20"/>
                <w:szCs w:val="20"/>
                <w:color w:val="auto"/>
              </w:rPr>
            </w:pPr>
            <w:r>
              <w:rPr>
                <w:rFonts w:ascii="Arial" w:cs="Arial" w:eastAsia="Arial" w:hAnsi="Arial"/>
                <w:sz w:val="10"/>
                <w:szCs w:val="10"/>
                <w:b w:val="1"/>
                <w:bCs w:val="1"/>
                <w:color w:val="auto"/>
                <w:w w:val="71"/>
              </w:rPr>
              <w:t>$</w:t>
            </w:r>
          </w:p>
        </w:tc>
        <w:tc>
          <w:tcPr>
            <w:tcW w:w="1040" w:type="dxa"/>
            <w:vAlign w:val="bottom"/>
            <w:shd w:val="clear" w:color="auto" w:fill="CCEEFF"/>
          </w:tcPr>
          <w:p>
            <w:pPr>
              <w:jc w:val="right"/>
              <w:ind w:right="109"/>
              <w:spacing w:after="0" w:line="104" w:lineRule="exact"/>
              <w:rPr>
                <w:sz w:val="20"/>
                <w:szCs w:val="20"/>
                <w:color w:val="auto"/>
              </w:rPr>
            </w:pPr>
            <w:r>
              <w:rPr>
                <w:rFonts w:ascii="Arial" w:cs="Arial" w:eastAsia="Arial" w:hAnsi="Arial"/>
                <w:sz w:val="10"/>
                <w:szCs w:val="10"/>
                <w:b w:val="1"/>
                <w:bCs w:val="1"/>
                <w:color w:val="auto"/>
              </w:rPr>
              <w:t>—</w:t>
            </w:r>
          </w:p>
        </w:tc>
        <w:tc>
          <w:tcPr>
            <w:tcW w:w="280" w:type="dxa"/>
            <w:vAlign w:val="bottom"/>
            <w:shd w:val="clear" w:color="auto" w:fill="CCEEFF"/>
          </w:tcPr>
          <w:p>
            <w:pPr>
              <w:ind w:left="140"/>
              <w:spacing w:after="0" w:line="104" w:lineRule="exact"/>
              <w:rPr>
                <w:sz w:val="20"/>
                <w:szCs w:val="20"/>
                <w:color w:val="auto"/>
              </w:rPr>
            </w:pPr>
            <w:r>
              <w:rPr>
                <w:rFonts w:ascii="Arial" w:cs="Arial" w:eastAsia="Arial" w:hAnsi="Arial"/>
                <w:sz w:val="10"/>
                <w:szCs w:val="10"/>
                <w:b w:val="1"/>
                <w:bCs w:val="1"/>
                <w:color w:val="auto"/>
              </w:rPr>
              <w:t>$</w:t>
            </w:r>
          </w:p>
        </w:tc>
        <w:tc>
          <w:tcPr>
            <w:tcW w:w="68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2,506</w:t>
            </w:r>
          </w:p>
        </w:tc>
      </w:tr>
      <w:tr>
        <w:trPr>
          <w:trHeight w:val="103"/>
        </w:trPr>
        <w:tc>
          <w:tcPr>
            <w:tcW w:w="3300" w:type="dxa"/>
            <w:vAlign w:val="bottom"/>
          </w:tcPr>
          <w:p>
            <w:pPr>
              <w:spacing w:after="0" w:line="104" w:lineRule="exact"/>
              <w:rPr>
                <w:sz w:val="20"/>
                <w:szCs w:val="20"/>
                <w:color w:val="auto"/>
              </w:rPr>
            </w:pPr>
            <w:r>
              <w:rPr>
                <w:rFonts w:ascii="Arial" w:cs="Arial" w:eastAsia="Arial" w:hAnsi="Arial"/>
                <w:sz w:val="10"/>
                <w:szCs w:val="10"/>
                <w:color w:val="auto"/>
              </w:rPr>
              <w:t>Restricted stock issued</w:t>
            </w:r>
          </w:p>
        </w:tc>
        <w:tc>
          <w:tcPr>
            <w:tcW w:w="640" w:type="dxa"/>
            <w:vAlign w:val="bottom"/>
          </w:tcPr>
          <w:p>
            <w:pPr>
              <w:jc w:val="right"/>
              <w:ind w:right="29"/>
              <w:spacing w:after="0" w:line="104" w:lineRule="exact"/>
              <w:rPr>
                <w:sz w:val="20"/>
                <w:szCs w:val="20"/>
                <w:color w:val="auto"/>
              </w:rPr>
            </w:pPr>
            <w:r>
              <w:rPr>
                <w:rFonts w:ascii="Arial" w:cs="Arial" w:eastAsia="Arial" w:hAnsi="Arial"/>
                <w:sz w:val="10"/>
                <w:szCs w:val="10"/>
                <w:color w:val="auto"/>
              </w:rPr>
              <w:t>89</w:t>
            </w:r>
          </w:p>
        </w:tc>
        <w:tc>
          <w:tcPr>
            <w:tcW w:w="360" w:type="dxa"/>
            <w:vAlign w:val="bottom"/>
          </w:tcPr>
          <w:p>
            <w:pPr>
              <w:spacing w:after="0"/>
              <w:rPr>
                <w:sz w:val="8"/>
                <w:szCs w:val="8"/>
                <w:color w:val="auto"/>
              </w:rPr>
            </w:pPr>
          </w:p>
        </w:tc>
        <w:tc>
          <w:tcPr>
            <w:tcW w:w="380" w:type="dxa"/>
            <w:vAlign w:val="bottom"/>
            <w:gridSpan w:val="2"/>
          </w:tcPr>
          <w:p>
            <w:pPr>
              <w:jc w:val="right"/>
              <w:ind w:right="180"/>
              <w:spacing w:after="0" w:line="104" w:lineRule="exact"/>
              <w:rPr>
                <w:sz w:val="20"/>
                <w:szCs w:val="20"/>
                <w:color w:val="auto"/>
              </w:rPr>
            </w:pPr>
            <w:r>
              <w:rPr>
                <w:rFonts w:ascii="Arial" w:cs="Arial" w:eastAsia="Arial" w:hAnsi="Arial"/>
                <w:sz w:val="10"/>
                <w:szCs w:val="10"/>
                <w:color w:val="auto"/>
              </w:rPr>
              <w:t>—</w:t>
            </w:r>
          </w:p>
        </w:tc>
        <w:tc>
          <w:tcPr>
            <w:tcW w:w="580" w:type="dxa"/>
            <w:vAlign w:val="bottom"/>
          </w:tcPr>
          <w:p>
            <w:pPr>
              <w:jc w:val="right"/>
              <w:ind w:right="89"/>
              <w:spacing w:after="0" w:line="104" w:lineRule="exact"/>
              <w:rPr>
                <w:sz w:val="20"/>
                <w:szCs w:val="20"/>
                <w:color w:val="auto"/>
              </w:rPr>
            </w:pPr>
            <w:r>
              <w:rPr>
                <w:rFonts w:ascii="Arial" w:cs="Arial" w:eastAsia="Arial" w:hAnsi="Arial"/>
                <w:sz w:val="10"/>
                <w:szCs w:val="10"/>
                <w:color w:val="auto"/>
              </w:rPr>
              <w:t>—</w:t>
            </w:r>
          </w:p>
        </w:tc>
        <w:tc>
          <w:tcPr>
            <w:tcW w:w="240" w:type="dxa"/>
            <w:vAlign w:val="bottom"/>
          </w:tcPr>
          <w:p>
            <w:pPr>
              <w:spacing w:after="0"/>
              <w:rPr>
                <w:sz w:val="8"/>
                <w:szCs w:val="8"/>
                <w:color w:val="auto"/>
              </w:rPr>
            </w:pPr>
          </w:p>
        </w:tc>
        <w:tc>
          <w:tcPr>
            <w:tcW w:w="420" w:type="dxa"/>
            <w:vAlign w:val="bottom"/>
            <w:gridSpan w:val="2"/>
          </w:tcPr>
          <w:p>
            <w:pPr>
              <w:jc w:val="right"/>
              <w:ind w:right="140"/>
              <w:spacing w:after="0" w:line="104" w:lineRule="exact"/>
              <w:rPr>
                <w:sz w:val="20"/>
                <w:szCs w:val="20"/>
                <w:color w:val="auto"/>
              </w:rPr>
            </w:pPr>
            <w:r>
              <w:rPr>
                <w:rFonts w:ascii="Arial" w:cs="Arial" w:eastAsia="Arial" w:hAnsi="Arial"/>
                <w:sz w:val="10"/>
                <w:szCs w:val="10"/>
                <w:color w:val="auto"/>
              </w:rPr>
              <w:t>—</w:t>
            </w:r>
          </w:p>
        </w:tc>
        <w:tc>
          <w:tcPr>
            <w:tcW w:w="260" w:type="dxa"/>
            <w:vAlign w:val="bottom"/>
          </w:tcPr>
          <w:p>
            <w:pPr>
              <w:spacing w:after="0"/>
              <w:rPr>
                <w:sz w:val="8"/>
                <w:szCs w:val="8"/>
                <w:color w:val="auto"/>
              </w:rPr>
            </w:pPr>
          </w:p>
        </w:tc>
        <w:tc>
          <w:tcPr>
            <w:tcW w:w="480" w:type="dxa"/>
            <w:vAlign w:val="bottom"/>
          </w:tcPr>
          <w:p>
            <w:pPr>
              <w:jc w:val="right"/>
              <w:ind w:right="89"/>
              <w:spacing w:after="0" w:line="104"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940" w:type="dxa"/>
            <w:vAlign w:val="bottom"/>
          </w:tcPr>
          <w:p>
            <w:pPr>
              <w:jc w:val="right"/>
              <w:ind w:right="9"/>
              <w:spacing w:after="0" w:line="104" w:lineRule="exact"/>
              <w:rPr>
                <w:sz w:val="20"/>
                <w:szCs w:val="20"/>
                <w:color w:val="auto"/>
              </w:rPr>
            </w:pPr>
            <w:r>
              <w:rPr>
                <w:rFonts w:ascii="Arial" w:cs="Arial" w:eastAsia="Arial" w:hAnsi="Arial"/>
                <w:sz w:val="10"/>
                <w:szCs w:val="10"/>
                <w:color w:val="auto"/>
              </w:rPr>
              <w:t>—</w:t>
            </w:r>
          </w:p>
        </w:tc>
        <w:tc>
          <w:tcPr>
            <w:tcW w:w="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jc w:val="right"/>
              <w:ind w:right="109"/>
              <w:spacing w:after="0" w:line="104" w:lineRule="exact"/>
              <w:rPr>
                <w:sz w:val="20"/>
                <w:szCs w:val="20"/>
                <w:color w:val="auto"/>
              </w:rPr>
            </w:pPr>
            <w:r>
              <w:rPr>
                <w:rFonts w:ascii="Arial" w:cs="Arial" w:eastAsia="Arial" w:hAnsi="Arial"/>
                <w:sz w:val="10"/>
                <w:szCs w:val="10"/>
                <w:color w:val="auto"/>
              </w:rPr>
              <w:t>—</w:t>
            </w:r>
          </w:p>
        </w:tc>
        <w:tc>
          <w:tcPr>
            <w:tcW w:w="280" w:type="dxa"/>
            <w:vAlign w:val="bottom"/>
          </w:tcPr>
          <w:p>
            <w:pPr>
              <w:spacing w:after="0"/>
              <w:rPr>
                <w:sz w:val="8"/>
                <w:szCs w:val="8"/>
                <w:color w:val="auto"/>
              </w:rPr>
            </w:pPr>
          </w:p>
        </w:tc>
        <w:tc>
          <w:tcPr>
            <w:tcW w:w="68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r>
      <w:tr>
        <w:trPr>
          <w:trHeight w:val="113"/>
        </w:trPr>
        <w:tc>
          <w:tcPr>
            <w:tcW w:w="330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Issued under director and stock plans</w:t>
            </w:r>
          </w:p>
        </w:tc>
        <w:tc>
          <w:tcPr>
            <w:tcW w:w="640" w:type="dxa"/>
            <w:vAlign w:val="bottom"/>
            <w:shd w:val="clear" w:color="auto" w:fill="CCEEFF"/>
          </w:tcPr>
          <w:p>
            <w:pPr>
              <w:jc w:val="right"/>
              <w:ind w:right="29"/>
              <w:spacing w:after="0" w:line="113" w:lineRule="exact"/>
              <w:rPr>
                <w:sz w:val="20"/>
                <w:szCs w:val="20"/>
                <w:color w:val="auto"/>
              </w:rPr>
            </w:pPr>
            <w:r>
              <w:rPr>
                <w:rFonts w:ascii="Arial" w:cs="Arial" w:eastAsia="Arial" w:hAnsi="Arial"/>
                <w:sz w:val="10"/>
                <w:szCs w:val="10"/>
                <w:color w:val="auto"/>
              </w:rPr>
              <w:t>187</w:t>
            </w:r>
          </w:p>
        </w:tc>
        <w:tc>
          <w:tcPr>
            <w:tcW w:w="360" w:type="dxa"/>
            <w:vAlign w:val="bottom"/>
            <w:shd w:val="clear" w:color="auto" w:fill="CCEEFF"/>
          </w:tcPr>
          <w:p>
            <w:pPr>
              <w:spacing w:after="0"/>
              <w:rPr>
                <w:sz w:val="9"/>
                <w:szCs w:val="9"/>
                <w:color w:val="auto"/>
              </w:rPr>
            </w:pPr>
          </w:p>
        </w:tc>
        <w:tc>
          <w:tcPr>
            <w:tcW w:w="24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3</w:t>
            </w: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jc w:val="right"/>
              <w:ind w:right="89"/>
              <w:spacing w:after="0" w:line="113" w:lineRule="exact"/>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9"/>
                <w:szCs w:val="9"/>
                <w:color w:val="auto"/>
              </w:rPr>
            </w:pPr>
          </w:p>
        </w:tc>
        <w:tc>
          <w:tcPr>
            <w:tcW w:w="480" w:type="dxa"/>
            <w:vAlign w:val="bottom"/>
            <w:shd w:val="clear" w:color="auto" w:fill="CCEEFF"/>
          </w:tcPr>
          <w:p>
            <w:pPr>
              <w:jc w:val="right"/>
              <w:ind w:right="89"/>
              <w:spacing w:after="0" w:line="113"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940" w:type="dxa"/>
            <w:vAlign w:val="bottom"/>
            <w:shd w:val="clear" w:color="auto" w:fill="CCEEFF"/>
          </w:tcPr>
          <w:p>
            <w:pPr>
              <w:jc w:val="right"/>
              <w:ind w:right="9"/>
              <w:spacing w:after="0" w:line="113"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jc w:val="right"/>
              <w:ind w:right="109"/>
              <w:spacing w:after="0" w:line="113"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3</w:t>
            </w:r>
          </w:p>
        </w:tc>
      </w:tr>
      <w:tr>
        <w:trPr>
          <w:trHeight w:val="113"/>
        </w:trPr>
        <w:tc>
          <w:tcPr>
            <w:tcW w:w="3300" w:type="dxa"/>
            <w:vAlign w:val="bottom"/>
          </w:tcPr>
          <w:p>
            <w:pPr>
              <w:spacing w:after="0" w:line="113" w:lineRule="exact"/>
              <w:rPr>
                <w:sz w:val="20"/>
                <w:szCs w:val="20"/>
                <w:color w:val="auto"/>
              </w:rPr>
            </w:pPr>
            <w:r>
              <w:rPr>
                <w:rFonts w:ascii="Arial" w:cs="Arial" w:eastAsia="Arial" w:hAnsi="Arial"/>
                <w:sz w:val="10"/>
                <w:szCs w:val="10"/>
                <w:color w:val="auto"/>
              </w:rPr>
              <w:t>Share-based compensation expense</w:t>
            </w:r>
          </w:p>
        </w:tc>
        <w:tc>
          <w:tcPr>
            <w:tcW w:w="640" w:type="dxa"/>
            <w:vAlign w:val="bottom"/>
          </w:tcPr>
          <w:p>
            <w:pPr>
              <w:jc w:val="right"/>
              <w:ind w:right="29"/>
              <w:spacing w:after="0" w:line="113" w:lineRule="exact"/>
              <w:rPr>
                <w:sz w:val="20"/>
                <w:szCs w:val="20"/>
                <w:color w:val="auto"/>
              </w:rPr>
            </w:pPr>
            <w:r>
              <w:rPr>
                <w:rFonts w:ascii="Arial" w:cs="Arial" w:eastAsia="Arial" w:hAnsi="Arial"/>
                <w:sz w:val="10"/>
                <w:szCs w:val="10"/>
                <w:color w:val="auto"/>
              </w:rPr>
              <w:t>—</w:t>
            </w:r>
          </w:p>
        </w:tc>
        <w:tc>
          <w:tcPr>
            <w:tcW w:w="360" w:type="dxa"/>
            <w:vAlign w:val="bottom"/>
          </w:tcPr>
          <w:p>
            <w:pPr>
              <w:spacing w:after="0"/>
              <w:rPr>
                <w:sz w:val="9"/>
                <w:szCs w:val="9"/>
                <w:color w:val="auto"/>
              </w:rPr>
            </w:pPr>
          </w:p>
        </w:tc>
        <w:tc>
          <w:tcPr>
            <w:tcW w:w="240" w:type="dxa"/>
            <w:vAlign w:val="bottom"/>
          </w:tcPr>
          <w:p>
            <w:pPr>
              <w:jc w:val="right"/>
              <w:spacing w:after="0" w:line="113" w:lineRule="exact"/>
              <w:rPr>
                <w:sz w:val="20"/>
                <w:szCs w:val="20"/>
                <w:color w:val="auto"/>
              </w:rPr>
            </w:pPr>
            <w:r>
              <w:rPr>
                <w:rFonts w:ascii="Arial" w:cs="Arial" w:eastAsia="Arial" w:hAnsi="Arial"/>
                <w:sz w:val="10"/>
                <w:szCs w:val="10"/>
                <w:color w:val="auto"/>
              </w:rPr>
              <w:t>18</w:t>
            </w:r>
          </w:p>
        </w:tc>
        <w:tc>
          <w:tcPr>
            <w:tcW w:w="140" w:type="dxa"/>
            <w:vAlign w:val="bottom"/>
          </w:tcPr>
          <w:p>
            <w:pPr>
              <w:spacing w:after="0"/>
              <w:rPr>
                <w:sz w:val="9"/>
                <w:szCs w:val="9"/>
                <w:color w:val="auto"/>
              </w:rPr>
            </w:pPr>
          </w:p>
        </w:tc>
        <w:tc>
          <w:tcPr>
            <w:tcW w:w="580" w:type="dxa"/>
            <w:vAlign w:val="bottom"/>
          </w:tcPr>
          <w:p>
            <w:pPr>
              <w:jc w:val="right"/>
              <w:ind w:right="89"/>
              <w:spacing w:after="0" w:line="113" w:lineRule="exact"/>
              <w:rPr>
                <w:sz w:val="20"/>
                <w:szCs w:val="20"/>
                <w:color w:val="auto"/>
              </w:rPr>
            </w:pPr>
            <w:r>
              <w:rPr>
                <w:rFonts w:ascii="Arial" w:cs="Arial" w:eastAsia="Arial" w:hAnsi="Arial"/>
                <w:sz w:val="10"/>
                <w:szCs w:val="10"/>
                <w:color w:val="auto"/>
              </w:rPr>
              <w:t>—</w:t>
            </w:r>
          </w:p>
        </w:tc>
        <w:tc>
          <w:tcPr>
            <w:tcW w:w="240" w:type="dxa"/>
            <w:vAlign w:val="bottom"/>
          </w:tcPr>
          <w:p>
            <w:pPr>
              <w:spacing w:after="0"/>
              <w:rPr>
                <w:sz w:val="9"/>
                <w:szCs w:val="9"/>
                <w:color w:val="auto"/>
              </w:rPr>
            </w:pPr>
          </w:p>
        </w:tc>
        <w:tc>
          <w:tcPr>
            <w:tcW w:w="420" w:type="dxa"/>
            <w:vAlign w:val="bottom"/>
            <w:gridSpan w:val="2"/>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260" w:type="dxa"/>
            <w:vAlign w:val="bottom"/>
          </w:tcPr>
          <w:p>
            <w:pPr>
              <w:spacing w:after="0"/>
              <w:rPr>
                <w:sz w:val="9"/>
                <w:szCs w:val="9"/>
                <w:color w:val="auto"/>
              </w:rPr>
            </w:pPr>
          </w:p>
        </w:tc>
        <w:tc>
          <w:tcPr>
            <w:tcW w:w="480" w:type="dxa"/>
            <w:vAlign w:val="bottom"/>
          </w:tcPr>
          <w:p>
            <w:pPr>
              <w:jc w:val="right"/>
              <w:ind w:right="89"/>
              <w:spacing w:after="0" w:line="113"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940" w:type="dxa"/>
            <w:vAlign w:val="bottom"/>
          </w:tcPr>
          <w:p>
            <w:pPr>
              <w:jc w:val="right"/>
              <w:ind w:right="9"/>
              <w:spacing w:after="0" w:line="113"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jc w:val="right"/>
              <w:ind w:right="109"/>
              <w:spacing w:after="0" w:line="113" w:lineRule="exact"/>
              <w:rPr>
                <w:sz w:val="20"/>
                <w:szCs w:val="20"/>
                <w:color w:val="auto"/>
              </w:rPr>
            </w:pPr>
            <w:r>
              <w:rPr>
                <w:rFonts w:ascii="Arial" w:cs="Arial" w:eastAsia="Arial" w:hAnsi="Arial"/>
                <w:sz w:val="10"/>
                <w:szCs w:val="10"/>
                <w:color w:val="auto"/>
              </w:rPr>
              <w:t>—</w:t>
            </w:r>
          </w:p>
        </w:tc>
        <w:tc>
          <w:tcPr>
            <w:tcW w:w="280" w:type="dxa"/>
            <w:vAlign w:val="bottom"/>
          </w:tcPr>
          <w:p>
            <w:pPr>
              <w:spacing w:after="0"/>
              <w:rPr>
                <w:sz w:val="9"/>
                <w:szCs w:val="9"/>
                <w:color w:val="auto"/>
              </w:rPr>
            </w:pPr>
          </w:p>
        </w:tc>
        <w:tc>
          <w:tcPr>
            <w:tcW w:w="680" w:type="dxa"/>
            <w:vAlign w:val="bottom"/>
          </w:tcPr>
          <w:p>
            <w:pPr>
              <w:jc w:val="right"/>
              <w:spacing w:after="0" w:line="113" w:lineRule="exact"/>
              <w:rPr>
                <w:sz w:val="20"/>
                <w:szCs w:val="20"/>
                <w:color w:val="auto"/>
              </w:rPr>
            </w:pPr>
            <w:r>
              <w:rPr>
                <w:rFonts w:ascii="Arial" w:cs="Arial" w:eastAsia="Arial" w:hAnsi="Arial"/>
                <w:sz w:val="10"/>
                <w:szCs w:val="10"/>
                <w:color w:val="auto"/>
              </w:rPr>
              <w:t>18</w:t>
            </w:r>
          </w:p>
        </w:tc>
      </w:tr>
      <w:tr>
        <w:trPr>
          <w:trHeight w:val="113"/>
        </w:trPr>
        <w:tc>
          <w:tcPr>
            <w:tcW w:w="330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Shares of common stock used to satisfy tax withholding obligations</w:t>
            </w:r>
          </w:p>
        </w:tc>
        <w:tc>
          <w:tcPr>
            <w:tcW w:w="640" w:type="dxa"/>
            <w:vAlign w:val="bottom"/>
            <w:shd w:val="clear" w:color="auto" w:fill="CCEEFF"/>
          </w:tcPr>
          <w:p>
            <w:pPr>
              <w:jc w:val="right"/>
              <w:ind w:right="29"/>
              <w:spacing w:after="0" w:line="113" w:lineRule="exact"/>
              <w:rPr>
                <w:sz w:val="20"/>
                <w:szCs w:val="20"/>
                <w:color w:val="auto"/>
              </w:rPr>
            </w:pPr>
            <w:r>
              <w:rPr>
                <w:rFonts w:ascii="Arial" w:cs="Arial" w:eastAsia="Arial" w:hAnsi="Arial"/>
                <w:sz w:val="10"/>
                <w:szCs w:val="10"/>
                <w:color w:val="auto"/>
              </w:rPr>
              <w:t>—</w:t>
            </w:r>
          </w:p>
        </w:tc>
        <w:tc>
          <w:tcPr>
            <w:tcW w:w="36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180"/>
              <w:spacing w:after="0" w:line="113" w:lineRule="exact"/>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49"/>
              <w:spacing w:after="0" w:line="113" w:lineRule="exact"/>
              <w:rPr>
                <w:sz w:val="20"/>
                <w:szCs w:val="20"/>
                <w:color w:val="auto"/>
              </w:rPr>
            </w:pPr>
            <w:r>
              <w:rPr>
                <w:rFonts w:ascii="Arial" w:cs="Arial" w:eastAsia="Arial" w:hAnsi="Arial"/>
                <w:sz w:val="10"/>
                <w:szCs w:val="10"/>
                <w:color w:val="auto"/>
              </w:rPr>
              <w:t>(32)</w:t>
            </w:r>
          </w:p>
        </w:tc>
        <w:tc>
          <w:tcPr>
            <w:tcW w:w="24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line="113" w:lineRule="exact"/>
              <w:rPr>
                <w:sz w:val="20"/>
                <w:szCs w:val="20"/>
                <w:color w:val="auto"/>
              </w:rPr>
            </w:pPr>
            <w:r>
              <w:rPr>
                <w:rFonts w:ascii="Arial" w:cs="Arial" w:eastAsia="Arial" w:hAnsi="Arial"/>
                <w:sz w:val="10"/>
                <w:szCs w:val="10"/>
                <w:color w:val="auto"/>
              </w:rPr>
              <w:t>(2)</w:t>
            </w:r>
          </w:p>
        </w:tc>
        <w:tc>
          <w:tcPr>
            <w:tcW w:w="260" w:type="dxa"/>
            <w:vAlign w:val="bottom"/>
            <w:shd w:val="clear" w:color="auto" w:fill="CCEEFF"/>
          </w:tcPr>
          <w:p>
            <w:pPr>
              <w:spacing w:after="0"/>
              <w:rPr>
                <w:sz w:val="9"/>
                <w:szCs w:val="9"/>
                <w:color w:val="auto"/>
              </w:rPr>
            </w:pPr>
          </w:p>
        </w:tc>
        <w:tc>
          <w:tcPr>
            <w:tcW w:w="480" w:type="dxa"/>
            <w:vAlign w:val="bottom"/>
            <w:shd w:val="clear" w:color="auto" w:fill="CCEEFF"/>
          </w:tcPr>
          <w:p>
            <w:pPr>
              <w:jc w:val="right"/>
              <w:ind w:right="89"/>
              <w:spacing w:after="0" w:line="113"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940" w:type="dxa"/>
            <w:vAlign w:val="bottom"/>
            <w:shd w:val="clear" w:color="auto" w:fill="CCEEFF"/>
          </w:tcPr>
          <w:p>
            <w:pPr>
              <w:jc w:val="right"/>
              <w:ind w:right="9"/>
              <w:spacing w:after="0" w:line="113"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jc w:val="right"/>
              <w:ind w:right="109"/>
              <w:spacing w:after="0" w:line="113"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(2)</w:t>
            </w:r>
          </w:p>
        </w:tc>
      </w:tr>
      <w:tr>
        <w:trPr>
          <w:trHeight w:val="113"/>
        </w:trPr>
        <w:tc>
          <w:tcPr>
            <w:tcW w:w="3300" w:type="dxa"/>
            <w:vAlign w:val="bottom"/>
          </w:tcPr>
          <w:p>
            <w:pPr>
              <w:spacing w:after="0" w:line="113" w:lineRule="exact"/>
              <w:rPr>
                <w:sz w:val="20"/>
                <w:szCs w:val="20"/>
                <w:color w:val="auto"/>
              </w:rPr>
            </w:pPr>
            <w:r>
              <w:rPr>
                <w:rFonts w:ascii="Arial" w:cs="Arial" w:eastAsia="Arial" w:hAnsi="Arial"/>
                <w:sz w:val="10"/>
                <w:szCs w:val="10"/>
                <w:color w:val="auto"/>
              </w:rPr>
              <w:t>Share repurchases</w:t>
            </w:r>
          </w:p>
        </w:tc>
        <w:tc>
          <w:tcPr>
            <w:tcW w:w="640" w:type="dxa"/>
            <w:vAlign w:val="bottom"/>
          </w:tcPr>
          <w:p>
            <w:pPr>
              <w:jc w:val="right"/>
              <w:ind w:right="29"/>
              <w:spacing w:after="0" w:line="113" w:lineRule="exact"/>
              <w:rPr>
                <w:sz w:val="20"/>
                <w:szCs w:val="20"/>
                <w:color w:val="auto"/>
              </w:rPr>
            </w:pPr>
            <w:r>
              <w:rPr>
                <w:rFonts w:ascii="Arial" w:cs="Arial" w:eastAsia="Arial" w:hAnsi="Arial"/>
                <w:sz w:val="10"/>
                <w:szCs w:val="10"/>
                <w:color w:val="auto"/>
              </w:rPr>
              <w:t>—</w:t>
            </w:r>
          </w:p>
        </w:tc>
        <w:tc>
          <w:tcPr>
            <w:tcW w:w="360" w:type="dxa"/>
            <w:vAlign w:val="bottom"/>
          </w:tcPr>
          <w:p>
            <w:pPr>
              <w:spacing w:after="0"/>
              <w:rPr>
                <w:sz w:val="9"/>
                <w:szCs w:val="9"/>
                <w:color w:val="auto"/>
              </w:rPr>
            </w:pPr>
          </w:p>
        </w:tc>
        <w:tc>
          <w:tcPr>
            <w:tcW w:w="380" w:type="dxa"/>
            <w:vAlign w:val="bottom"/>
            <w:gridSpan w:val="2"/>
          </w:tcPr>
          <w:p>
            <w:pPr>
              <w:jc w:val="right"/>
              <w:ind w:right="180"/>
              <w:spacing w:after="0" w:line="113" w:lineRule="exact"/>
              <w:rPr>
                <w:sz w:val="20"/>
                <w:szCs w:val="20"/>
                <w:color w:val="auto"/>
              </w:rPr>
            </w:pPr>
            <w:r>
              <w:rPr>
                <w:rFonts w:ascii="Arial" w:cs="Arial" w:eastAsia="Arial" w:hAnsi="Arial"/>
                <w:sz w:val="10"/>
                <w:szCs w:val="10"/>
                <w:color w:val="auto"/>
              </w:rPr>
              <w:t>—</w:t>
            </w:r>
          </w:p>
        </w:tc>
        <w:tc>
          <w:tcPr>
            <w:tcW w:w="580" w:type="dxa"/>
            <w:vAlign w:val="bottom"/>
          </w:tcPr>
          <w:p>
            <w:pPr>
              <w:jc w:val="right"/>
              <w:ind w:right="49"/>
              <w:spacing w:after="0" w:line="113" w:lineRule="exact"/>
              <w:rPr>
                <w:sz w:val="20"/>
                <w:szCs w:val="20"/>
                <w:color w:val="auto"/>
              </w:rPr>
            </w:pPr>
            <w:r>
              <w:rPr>
                <w:rFonts w:ascii="Arial" w:cs="Arial" w:eastAsia="Arial" w:hAnsi="Arial"/>
                <w:sz w:val="10"/>
                <w:szCs w:val="10"/>
                <w:color w:val="auto"/>
              </w:rPr>
              <w:t>(8,375)</w:t>
            </w:r>
          </w:p>
        </w:tc>
        <w:tc>
          <w:tcPr>
            <w:tcW w:w="240" w:type="dxa"/>
            <w:vAlign w:val="bottom"/>
          </w:tcPr>
          <w:p>
            <w:pPr>
              <w:spacing w:after="0"/>
              <w:rPr>
                <w:sz w:val="9"/>
                <w:szCs w:val="9"/>
                <w:color w:val="auto"/>
              </w:rPr>
            </w:pPr>
          </w:p>
        </w:tc>
        <w:tc>
          <w:tcPr>
            <w:tcW w:w="420" w:type="dxa"/>
            <w:vAlign w:val="bottom"/>
            <w:gridSpan w:val="2"/>
          </w:tcPr>
          <w:p>
            <w:pPr>
              <w:jc w:val="right"/>
              <w:ind w:right="100"/>
              <w:spacing w:after="0" w:line="113" w:lineRule="exact"/>
              <w:rPr>
                <w:sz w:val="20"/>
                <w:szCs w:val="20"/>
                <w:color w:val="auto"/>
              </w:rPr>
            </w:pPr>
            <w:r>
              <w:rPr>
                <w:rFonts w:ascii="Arial" w:cs="Arial" w:eastAsia="Arial" w:hAnsi="Arial"/>
                <w:sz w:val="10"/>
                <w:szCs w:val="10"/>
                <w:color w:val="auto"/>
              </w:rPr>
              <w:t>(335)</w:t>
            </w:r>
          </w:p>
        </w:tc>
        <w:tc>
          <w:tcPr>
            <w:tcW w:w="260" w:type="dxa"/>
            <w:vAlign w:val="bottom"/>
          </w:tcPr>
          <w:p>
            <w:pPr>
              <w:spacing w:after="0"/>
              <w:rPr>
                <w:sz w:val="9"/>
                <w:szCs w:val="9"/>
                <w:color w:val="auto"/>
              </w:rPr>
            </w:pPr>
          </w:p>
        </w:tc>
        <w:tc>
          <w:tcPr>
            <w:tcW w:w="480" w:type="dxa"/>
            <w:vAlign w:val="bottom"/>
          </w:tcPr>
          <w:p>
            <w:pPr>
              <w:jc w:val="right"/>
              <w:ind w:right="89"/>
              <w:spacing w:after="0" w:line="113"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940" w:type="dxa"/>
            <w:vAlign w:val="bottom"/>
          </w:tcPr>
          <w:p>
            <w:pPr>
              <w:jc w:val="right"/>
              <w:ind w:right="9"/>
              <w:spacing w:after="0" w:line="113"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jc w:val="right"/>
              <w:ind w:right="109"/>
              <w:spacing w:after="0" w:line="113" w:lineRule="exact"/>
              <w:rPr>
                <w:sz w:val="20"/>
                <w:szCs w:val="20"/>
                <w:color w:val="auto"/>
              </w:rPr>
            </w:pPr>
            <w:r>
              <w:rPr>
                <w:rFonts w:ascii="Arial" w:cs="Arial" w:eastAsia="Arial" w:hAnsi="Arial"/>
                <w:sz w:val="10"/>
                <w:szCs w:val="10"/>
                <w:color w:val="auto"/>
              </w:rPr>
              <w:t>—</w:t>
            </w:r>
          </w:p>
        </w:tc>
        <w:tc>
          <w:tcPr>
            <w:tcW w:w="280" w:type="dxa"/>
            <w:vAlign w:val="bottom"/>
          </w:tcPr>
          <w:p>
            <w:pPr>
              <w:spacing w:after="0"/>
              <w:rPr>
                <w:sz w:val="9"/>
                <w:szCs w:val="9"/>
                <w:color w:val="auto"/>
              </w:rPr>
            </w:pPr>
          </w:p>
        </w:tc>
        <w:tc>
          <w:tcPr>
            <w:tcW w:w="680" w:type="dxa"/>
            <w:vAlign w:val="bottom"/>
          </w:tcPr>
          <w:p>
            <w:pPr>
              <w:jc w:val="right"/>
              <w:spacing w:after="0" w:line="113" w:lineRule="exact"/>
              <w:rPr>
                <w:sz w:val="20"/>
                <w:szCs w:val="20"/>
                <w:color w:val="auto"/>
              </w:rPr>
            </w:pPr>
            <w:r>
              <w:rPr>
                <w:rFonts w:ascii="Arial" w:cs="Arial" w:eastAsia="Arial" w:hAnsi="Arial"/>
                <w:sz w:val="10"/>
                <w:szCs w:val="10"/>
                <w:color w:val="auto"/>
              </w:rPr>
              <w:t>(335)</w:t>
            </w:r>
          </w:p>
        </w:tc>
      </w:tr>
      <w:tr>
        <w:trPr>
          <w:trHeight w:val="113"/>
        </w:trPr>
        <w:tc>
          <w:tcPr>
            <w:tcW w:w="330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Reissued - ESPP</w:t>
            </w:r>
          </w:p>
        </w:tc>
        <w:tc>
          <w:tcPr>
            <w:tcW w:w="640" w:type="dxa"/>
            <w:vAlign w:val="bottom"/>
            <w:shd w:val="clear" w:color="auto" w:fill="CCEEFF"/>
          </w:tcPr>
          <w:p>
            <w:pPr>
              <w:jc w:val="right"/>
              <w:ind w:right="29"/>
              <w:spacing w:after="0" w:line="113" w:lineRule="exact"/>
              <w:rPr>
                <w:sz w:val="20"/>
                <w:szCs w:val="20"/>
                <w:color w:val="auto"/>
              </w:rPr>
            </w:pPr>
            <w:r>
              <w:rPr>
                <w:rFonts w:ascii="Arial" w:cs="Arial" w:eastAsia="Arial" w:hAnsi="Arial"/>
                <w:sz w:val="10"/>
                <w:szCs w:val="10"/>
                <w:color w:val="auto"/>
              </w:rPr>
              <w:t>—</w:t>
            </w:r>
          </w:p>
        </w:tc>
        <w:tc>
          <w:tcPr>
            <w:tcW w:w="36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180"/>
              <w:spacing w:after="0" w:line="113" w:lineRule="exact"/>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89"/>
              <w:spacing w:after="0" w:line="113" w:lineRule="exact"/>
              <w:rPr>
                <w:sz w:val="20"/>
                <w:szCs w:val="20"/>
                <w:color w:val="auto"/>
              </w:rPr>
            </w:pPr>
            <w:r>
              <w:rPr>
                <w:rFonts w:ascii="Arial" w:cs="Arial" w:eastAsia="Arial" w:hAnsi="Arial"/>
                <w:sz w:val="10"/>
                <w:szCs w:val="10"/>
                <w:color w:val="auto"/>
              </w:rPr>
              <w:t>97</w:t>
            </w:r>
          </w:p>
        </w:tc>
        <w:tc>
          <w:tcPr>
            <w:tcW w:w="24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6</w:t>
            </w: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80" w:type="dxa"/>
            <w:vAlign w:val="bottom"/>
            <w:shd w:val="clear" w:color="auto" w:fill="CCEEFF"/>
          </w:tcPr>
          <w:p>
            <w:pPr>
              <w:jc w:val="right"/>
              <w:ind w:right="89"/>
              <w:spacing w:after="0" w:line="113"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940" w:type="dxa"/>
            <w:vAlign w:val="bottom"/>
            <w:shd w:val="clear" w:color="auto" w:fill="CCEEFF"/>
          </w:tcPr>
          <w:p>
            <w:pPr>
              <w:jc w:val="right"/>
              <w:ind w:right="9"/>
              <w:spacing w:after="0" w:line="113"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jc w:val="right"/>
              <w:ind w:right="109"/>
              <w:spacing w:after="0" w:line="113"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6</w:t>
            </w:r>
          </w:p>
        </w:tc>
      </w:tr>
      <w:tr>
        <w:trPr>
          <w:trHeight w:val="113"/>
        </w:trPr>
        <w:tc>
          <w:tcPr>
            <w:tcW w:w="3300" w:type="dxa"/>
            <w:vAlign w:val="bottom"/>
          </w:tcPr>
          <w:p>
            <w:pPr>
              <w:spacing w:after="0" w:line="113" w:lineRule="exact"/>
              <w:rPr>
                <w:sz w:val="20"/>
                <w:szCs w:val="20"/>
                <w:color w:val="auto"/>
              </w:rPr>
            </w:pPr>
            <w:r>
              <w:rPr>
                <w:rFonts w:ascii="Arial" w:cs="Arial" w:eastAsia="Arial" w:hAnsi="Arial"/>
                <w:sz w:val="10"/>
                <w:szCs w:val="10"/>
                <w:color w:val="auto"/>
              </w:rPr>
              <w:t>Retirement of treasury stock</w:t>
            </w:r>
          </w:p>
        </w:tc>
        <w:tc>
          <w:tcPr>
            <w:tcW w:w="640" w:type="dxa"/>
            <w:vAlign w:val="bottom"/>
          </w:tcPr>
          <w:p>
            <w:pPr>
              <w:jc w:val="right"/>
              <w:ind w:right="9"/>
              <w:spacing w:after="0" w:line="113" w:lineRule="exact"/>
              <w:rPr>
                <w:sz w:val="20"/>
                <w:szCs w:val="20"/>
                <w:color w:val="auto"/>
              </w:rPr>
            </w:pPr>
            <w:r>
              <w:rPr>
                <w:rFonts w:ascii="Arial" w:cs="Arial" w:eastAsia="Arial" w:hAnsi="Arial"/>
                <w:sz w:val="10"/>
                <w:szCs w:val="10"/>
                <w:color w:val="auto"/>
              </w:rPr>
              <w:t>(9,021)</w:t>
            </w:r>
          </w:p>
        </w:tc>
        <w:tc>
          <w:tcPr>
            <w:tcW w:w="360" w:type="dxa"/>
            <w:vAlign w:val="bottom"/>
          </w:tcPr>
          <w:p>
            <w:pPr>
              <w:spacing w:after="0"/>
              <w:rPr>
                <w:sz w:val="9"/>
                <w:szCs w:val="9"/>
                <w:color w:val="auto"/>
              </w:rPr>
            </w:pPr>
          </w:p>
        </w:tc>
        <w:tc>
          <w:tcPr>
            <w:tcW w:w="380" w:type="dxa"/>
            <w:vAlign w:val="bottom"/>
            <w:gridSpan w:val="2"/>
          </w:tcPr>
          <w:p>
            <w:pPr>
              <w:jc w:val="right"/>
              <w:ind w:right="140"/>
              <w:spacing w:after="0" w:line="113" w:lineRule="exact"/>
              <w:rPr>
                <w:sz w:val="20"/>
                <w:szCs w:val="20"/>
                <w:color w:val="auto"/>
              </w:rPr>
            </w:pPr>
            <w:r>
              <w:rPr>
                <w:rFonts w:ascii="Arial" w:cs="Arial" w:eastAsia="Arial" w:hAnsi="Arial"/>
                <w:sz w:val="10"/>
                <w:szCs w:val="10"/>
                <w:color w:val="auto"/>
              </w:rPr>
              <w:t>(66)</w:t>
            </w:r>
          </w:p>
        </w:tc>
        <w:tc>
          <w:tcPr>
            <w:tcW w:w="580" w:type="dxa"/>
            <w:vAlign w:val="bottom"/>
          </w:tcPr>
          <w:p>
            <w:pPr>
              <w:jc w:val="right"/>
              <w:ind w:right="89"/>
              <w:spacing w:after="0" w:line="113" w:lineRule="exact"/>
              <w:rPr>
                <w:sz w:val="20"/>
                <w:szCs w:val="20"/>
                <w:color w:val="auto"/>
              </w:rPr>
            </w:pPr>
            <w:r>
              <w:rPr>
                <w:rFonts w:ascii="Arial" w:cs="Arial" w:eastAsia="Arial" w:hAnsi="Arial"/>
                <w:sz w:val="10"/>
                <w:szCs w:val="10"/>
                <w:color w:val="auto"/>
              </w:rPr>
              <w:t>9,021</w:t>
            </w:r>
          </w:p>
        </w:tc>
        <w:tc>
          <w:tcPr>
            <w:tcW w:w="240" w:type="dxa"/>
            <w:vAlign w:val="bottom"/>
          </w:tcPr>
          <w:p>
            <w:pPr>
              <w:spacing w:after="0"/>
              <w:rPr>
                <w:sz w:val="9"/>
                <w:szCs w:val="9"/>
                <w:color w:val="auto"/>
              </w:rPr>
            </w:pPr>
          </w:p>
        </w:tc>
        <w:tc>
          <w:tcPr>
            <w:tcW w:w="320" w:type="dxa"/>
            <w:vAlign w:val="bottom"/>
          </w:tcPr>
          <w:p>
            <w:pPr>
              <w:jc w:val="right"/>
              <w:spacing w:after="0" w:line="113" w:lineRule="exact"/>
              <w:rPr>
                <w:sz w:val="20"/>
                <w:szCs w:val="20"/>
                <w:color w:val="auto"/>
              </w:rPr>
            </w:pPr>
            <w:r>
              <w:rPr>
                <w:rFonts w:ascii="Arial" w:cs="Arial" w:eastAsia="Arial" w:hAnsi="Arial"/>
                <w:sz w:val="10"/>
                <w:szCs w:val="10"/>
                <w:color w:val="auto"/>
              </w:rPr>
              <w:t>368</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jc w:val="right"/>
              <w:ind w:right="49"/>
              <w:spacing w:after="0" w:line="113" w:lineRule="exact"/>
              <w:rPr>
                <w:sz w:val="20"/>
                <w:szCs w:val="20"/>
                <w:color w:val="auto"/>
              </w:rPr>
            </w:pPr>
            <w:r>
              <w:rPr>
                <w:rFonts w:ascii="Arial" w:cs="Arial" w:eastAsia="Arial" w:hAnsi="Arial"/>
                <w:sz w:val="10"/>
                <w:szCs w:val="10"/>
                <w:color w:val="auto"/>
              </w:rPr>
              <w:t>(302)</w:t>
            </w:r>
          </w:p>
        </w:tc>
        <w:tc>
          <w:tcPr>
            <w:tcW w:w="180" w:type="dxa"/>
            <w:vAlign w:val="bottom"/>
          </w:tcPr>
          <w:p>
            <w:pPr>
              <w:spacing w:after="0"/>
              <w:rPr>
                <w:sz w:val="9"/>
                <w:szCs w:val="9"/>
                <w:color w:val="auto"/>
              </w:rPr>
            </w:pPr>
          </w:p>
        </w:tc>
        <w:tc>
          <w:tcPr>
            <w:tcW w:w="940" w:type="dxa"/>
            <w:vAlign w:val="bottom"/>
          </w:tcPr>
          <w:p>
            <w:pPr>
              <w:jc w:val="right"/>
              <w:ind w:right="9"/>
              <w:spacing w:after="0" w:line="113"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jc w:val="right"/>
              <w:ind w:right="109"/>
              <w:spacing w:after="0" w:line="113" w:lineRule="exact"/>
              <w:rPr>
                <w:sz w:val="20"/>
                <w:szCs w:val="20"/>
                <w:color w:val="auto"/>
              </w:rPr>
            </w:pPr>
            <w:r>
              <w:rPr>
                <w:rFonts w:ascii="Arial" w:cs="Arial" w:eastAsia="Arial" w:hAnsi="Arial"/>
                <w:sz w:val="10"/>
                <w:szCs w:val="10"/>
                <w:color w:val="auto"/>
              </w:rPr>
              <w:t>—</w:t>
            </w:r>
          </w:p>
        </w:tc>
        <w:tc>
          <w:tcPr>
            <w:tcW w:w="280" w:type="dxa"/>
            <w:vAlign w:val="bottom"/>
          </w:tcPr>
          <w:p>
            <w:pPr>
              <w:spacing w:after="0"/>
              <w:rPr>
                <w:sz w:val="9"/>
                <w:szCs w:val="9"/>
                <w:color w:val="auto"/>
              </w:rPr>
            </w:pPr>
          </w:p>
        </w:tc>
        <w:tc>
          <w:tcPr>
            <w:tcW w:w="68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r>
      <w:tr>
        <w:trPr>
          <w:trHeight w:val="113"/>
        </w:trPr>
        <w:tc>
          <w:tcPr>
            <w:tcW w:w="330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Net income</w:t>
            </w:r>
          </w:p>
        </w:tc>
        <w:tc>
          <w:tcPr>
            <w:tcW w:w="640" w:type="dxa"/>
            <w:vAlign w:val="bottom"/>
            <w:shd w:val="clear" w:color="auto" w:fill="CCEEFF"/>
          </w:tcPr>
          <w:p>
            <w:pPr>
              <w:jc w:val="right"/>
              <w:ind w:right="29"/>
              <w:spacing w:after="0" w:line="113" w:lineRule="exact"/>
              <w:rPr>
                <w:sz w:val="20"/>
                <w:szCs w:val="20"/>
                <w:color w:val="auto"/>
              </w:rPr>
            </w:pPr>
            <w:r>
              <w:rPr>
                <w:rFonts w:ascii="Arial" w:cs="Arial" w:eastAsia="Arial" w:hAnsi="Arial"/>
                <w:sz w:val="10"/>
                <w:szCs w:val="10"/>
                <w:color w:val="auto"/>
              </w:rPr>
              <w:t>—</w:t>
            </w:r>
          </w:p>
        </w:tc>
        <w:tc>
          <w:tcPr>
            <w:tcW w:w="36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180"/>
              <w:spacing w:after="0" w:line="113" w:lineRule="exact"/>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89"/>
              <w:spacing w:after="0" w:line="113" w:lineRule="exact"/>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9"/>
                <w:szCs w:val="9"/>
                <w:color w:val="auto"/>
              </w:rPr>
            </w:pPr>
          </w:p>
        </w:tc>
        <w:tc>
          <w:tcPr>
            <w:tcW w:w="480" w:type="dxa"/>
            <w:vAlign w:val="bottom"/>
            <w:shd w:val="clear" w:color="auto" w:fill="CCEEFF"/>
          </w:tcPr>
          <w:p>
            <w:pPr>
              <w:jc w:val="right"/>
              <w:ind w:right="89"/>
              <w:spacing w:after="0" w:line="113" w:lineRule="exact"/>
              <w:rPr>
                <w:sz w:val="20"/>
                <w:szCs w:val="20"/>
                <w:color w:val="auto"/>
              </w:rPr>
            </w:pPr>
            <w:r>
              <w:rPr>
                <w:rFonts w:ascii="Arial" w:cs="Arial" w:eastAsia="Arial" w:hAnsi="Arial"/>
                <w:sz w:val="10"/>
                <w:szCs w:val="10"/>
                <w:color w:val="auto"/>
              </w:rPr>
              <w:t>491</w:t>
            </w:r>
          </w:p>
        </w:tc>
        <w:tc>
          <w:tcPr>
            <w:tcW w:w="180" w:type="dxa"/>
            <w:vAlign w:val="bottom"/>
            <w:shd w:val="clear" w:color="auto" w:fill="CCEEFF"/>
          </w:tcPr>
          <w:p>
            <w:pPr>
              <w:spacing w:after="0"/>
              <w:rPr>
                <w:sz w:val="9"/>
                <w:szCs w:val="9"/>
                <w:color w:val="auto"/>
              </w:rPr>
            </w:pPr>
          </w:p>
        </w:tc>
        <w:tc>
          <w:tcPr>
            <w:tcW w:w="940" w:type="dxa"/>
            <w:vAlign w:val="bottom"/>
            <w:shd w:val="clear" w:color="auto" w:fill="CCEEFF"/>
          </w:tcPr>
          <w:p>
            <w:pPr>
              <w:jc w:val="right"/>
              <w:ind w:right="9"/>
              <w:spacing w:after="0" w:line="113"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jc w:val="right"/>
              <w:ind w:right="109"/>
              <w:spacing w:after="0" w:line="113"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491</w:t>
            </w:r>
          </w:p>
        </w:tc>
      </w:tr>
      <w:tr>
        <w:trPr>
          <w:trHeight w:val="113"/>
        </w:trPr>
        <w:tc>
          <w:tcPr>
            <w:tcW w:w="3300" w:type="dxa"/>
            <w:vAlign w:val="bottom"/>
          </w:tcPr>
          <w:p>
            <w:pPr>
              <w:spacing w:after="0" w:line="113" w:lineRule="exact"/>
              <w:rPr>
                <w:sz w:val="20"/>
                <w:szCs w:val="20"/>
                <w:color w:val="auto"/>
              </w:rPr>
            </w:pPr>
            <w:r>
              <w:rPr>
                <w:rFonts w:ascii="Arial" w:cs="Arial" w:eastAsia="Arial" w:hAnsi="Arial"/>
                <w:sz w:val="10"/>
                <w:szCs w:val="10"/>
                <w:color w:val="auto"/>
              </w:rPr>
              <w:t>Cash dividends declared on common stock ($1.52 per share)</w:t>
            </w:r>
          </w:p>
        </w:tc>
        <w:tc>
          <w:tcPr>
            <w:tcW w:w="640" w:type="dxa"/>
            <w:vAlign w:val="bottom"/>
          </w:tcPr>
          <w:p>
            <w:pPr>
              <w:jc w:val="right"/>
              <w:ind w:right="29"/>
              <w:spacing w:after="0" w:line="113" w:lineRule="exact"/>
              <w:rPr>
                <w:sz w:val="20"/>
                <w:szCs w:val="20"/>
                <w:color w:val="auto"/>
              </w:rPr>
            </w:pPr>
            <w:r>
              <w:rPr>
                <w:rFonts w:ascii="Arial" w:cs="Arial" w:eastAsia="Arial" w:hAnsi="Arial"/>
                <w:sz w:val="10"/>
                <w:szCs w:val="10"/>
                <w:color w:val="auto"/>
              </w:rPr>
              <w:t>—</w:t>
            </w:r>
          </w:p>
        </w:tc>
        <w:tc>
          <w:tcPr>
            <w:tcW w:w="360" w:type="dxa"/>
            <w:vAlign w:val="bottom"/>
          </w:tcPr>
          <w:p>
            <w:pPr>
              <w:spacing w:after="0"/>
              <w:rPr>
                <w:sz w:val="9"/>
                <w:szCs w:val="9"/>
                <w:color w:val="auto"/>
              </w:rPr>
            </w:pPr>
          </w:p>
        </w:tc>
        <w:tc>
          <w:tcPr>
            <w:tcW w:w="380" w:type="dxa"/>
            <w:vAlign w:val="bottom"/>
            <w:gridSpan w:val="2"/>
          </w:tcPr>
          <w:p>
            <w:pPr>
              <w:jc w:val="right"/>
              <w:ind w:right="180"/>
              <w:spacing w:after="0" w:line="113" w:lineRule="exact"/>
              <w:rPr>
                <w:sz w:val="20"/>
                <w:szCs w:val="20"/>
                <w:color w:val="auto"/>
              </w:rPr>
            </w:pPr>
            <w:r>
              <w:rPr>
                <w:rFonts w:ascii="Arial" w:cs="Arial" w:eastAsia="Arial" w:hAnsi="Arial"/>
                <w:sz w:val="10"/>
                <w:szCs w:val="10"/>
                <w:color w:val="auto"/>
              </w:rPr>
              <w:t>—</w:t>
            </w:r>
          </w:p>
        </w:tc>
        <w:tc>
          <w:tcPr>
            <w:tcW w:w="580" w:type="dxa"/>
            <w:vAlign w:val="bottom"/>
          </w:tcPr>
          <w:p>
            <w:pPr>
              <w:jc w:val="right"/>
              <w:ind w:right="89"/>
              <w:spacing w:after="0" w:line="113" w:lineRule="exact"/>
              <w:rPr>
                <w:sz w:val="20"/>
                <w:szCs w:val="20"/>
                <w:color w:val="auto"/>
              </w:rPr>
            </w:pPr>
            <w:r>
              <w:rPr>
                <w:rFonts w:ascii="Arial" w:cs="Arial" w:eastAsia="Arial" w:hAnsi="Arial"/>
                <w:sz w:val="10"/>
                <w:szCs w:val="10"/>
                <w:color w:val="auto"/>
              </w:rPr>
              <w:t>—</w:t>
            </w:r>
          </w:p>
        </w:tc>
        <w:tc>
          <w:tcPr>
            <w:tcW w:w="240" w:type="dxa"/>
            <w:vAlign w:val="bottom"/>
          </w:tcPr>
          <w:p>
            <w:pPr>
              <w:spacing w:after="0"/>
              <w:rPr>
                <w:sz w:val="9"/>
                <w:szCs w:val="9"/>
                <w:color w:val="auto"/>
              </w:rPr>
            </w:pPr>
          </w:p>
        </w:tc>
        <w:tc>
          <w:tcPr>
            <w:tcW w:w="420" w:type="dxa"/>
            <w:vAlign w:val="bottom"/>
            <w:gridSpan w:val="2"/>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260" w:type="dxa"/>
            <w:vAlign w:val="bottom"/>
          </w:tcPr>
          <w:p>
            <w:pPr>
              <w:spacing w:after="0"/>
              <w:rPr>
                <w:sz w:val="9"/>
                <w:szCs w:val="9"/>
                <w:color w:val="auto"/>
              </w:rPr>
            </w:pPr>
          </w:p>
        </w:tc>
        <w:tc>
          <w:tcPr>
            <w:tcW w:w="480" w:type="dxa"/>
            <w:vAlign w:val="bottom"/>
          </w:tcPr>
          <w:p>
            <w:pPr>
              <w:jc w:val="right"/>
              <w:ind w:right="49"/>
              <w:spacing w:after="0" w:line="113" w:lineRule="exact"/>
              <w:rPr>
                <w:sz w:val="20"/>
                <w:szCs w:val="20"/>
                <w:color w:val="auto"/>
              </w:rPr>
            </w:pPr>
            <w:r>
              <w:rPr>
                <w:rFonts w:ascii="Arial" w:cs="Arial" w:eastAsia="Arial" w:hAnsi="Arial"/>
                <w:sz w:val="10"/>
                <w:szCs w:val="10"/>
                <w:color w:val="auto"/>
              </w:rPr>
              <w:t>(164)</w:t>
            </w:r>
          </w:p>
        </w:tc>
        <w:tc>
          <w:tcPr>
            <w:tcW w:w="180" w:type="dxa"/>
            <w:vAlign w:val="bottom"/>
          </w:tcPr>
          <w:p>
            <w:pPr>
              <w:spacing w:after="0"/>
              <w:rPr>
                <w:sz w:val="9"/>
                <w:szCs w:val="9"/>
                <w:color w:val="auto"/>
              </w:rPr>
            </w:pPr>
          </w:p>
        </w:tc>
        <w:tc>
          <w:tcPr>
            <w:tcW w:w="940" w:type="dxa"/>
            <w:vAlign w:val="bottom"/>
          </w:tcPr>
          <w:p>
            <w:pPr>
              <w:jc w:val="right"/>
              <w:ind w:right="9"/>
              <w:spacing w:after="0" w:line="113"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jc w:val="right"/>
              <w:ind w:right="109"/>
              <w:spacing w:after="0" w:line="113" w:lineRule="exact"/>
              <w:rPr>
                <w:sz w:val="20"/>
                <w:szCs w:val="20"/>
                <w:color w:val="auto"/>
              </w:rPr>
            </w:pPr>
            <w:r>
              <w:rPr>
                <w:rFonts w:ascii="Arial" w:cs="Arial" w:eastAsia="Arial" w:hAnsi="Arial"/>
                <w:sz w:val="10"/>
                <w:szCs w:val="10"/>
                <w:color w:val="auto"/>
              </w:rPr>
              <w:t>—</w:t>
            </w:r>
          </w:p>
        </w:tc>
        <w:tc>
          <w:tcPr>
            <w:tcW w:w="280" w:type="dxa"/>
            <w:vAlign w:val="bottom"/>
          </w:tcPr>
          <w:p>
            <w:pPr>
              <w:spacing w:after="0"/>
              <w:rPr>
                <w:sz w:val="9"/>
                <w:szCs w:val="9"/>
                <w:color w:val="auto"/>
              </w:rPr>
            </w:pPr>
          </w:p>
        </w:tc>
        <w:tc>
          <w:tcPr>
            <w:tcW w:w="680" w:type="dxa"/>
            <w:vAlign w:val="bottom"/>
          </w:tcPr>
          <w:p>
            <w:pPr>
              <w:jc w:val="right"/>
              <w:spacing w:after="0" w:line="113" w:lineRule="exact"/>
              <w:rPr>
                <w:sz w:val="20"/>
                <w:szCs w:val="20"/>
                <w:color w:val="auto"/>
              </w:rPr>
            </w:pPr>
            <w:r>
              <w:rPr>
                <w:rFonts w:ascii="Arial" w:cs="Arial" w:eastAsia="Arial" w:hAnsi="Arial"/>
                <w:sz w:val="10"/>
                <w:szCs w:val="10"/>
                <w:color w:val="auto"/>
              </w:rPr>
              <w:t>(164)</w:t>
            </w:r>
          </w:p>
        </w:tc>
      </w:tr>
      <w:tr>
        <w:trPr>
          <w:trHeight w:val="113"/>
        </w:trPr>
        <w:tc>
          <w:tcPr>
            <w:tcW w:w="330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Translation adjustment, net of tax</w:t>
            </w:r>
          </w:p>
        </w:tc>
        <w:tc>
          <w:tcPr>
            <w:tcW w:w="640" w:type="dxa"/>
            <w:vAlign w:val="bottom"/>
            <w:shd w:val="clear" w:color="auto" w:fill="CCEEFF"/>
          </w:tcPr>
          <w:p>
            <w:pPr>
              <w:jc w:val="right"/>
              <w:ind w:right="29"/>
              <w:spacing w:after="0" w:line="113" w:lineRule="exact"/>
              <w:rPr>
                <w:sz w:val="20"/>
                <w:szCs w:val="20"/>
                <w:color w:val="auto"/>
              </w:rPr>
            </w:pPr>
            <w:r>
              <w:rPr>
                <w:rFonts w:ascii="Arial" w:cs="Arial" w:eastAsia="Arial" w:hAnsi="Arial"/>
                <w:sz w:val="10"/>
                <w:szCs w:val="10"/>
                <w:color w:val="auto"/>
              </w:rPr>
              <w:t>—</w:t>
            </w:r>
          </w:p>
        </w:tc>
        <w:tc>
          <w:tcPr>
            <w:tcW w:w="36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180"/>
              <w:spacing w:after="0" w:line="113" w:lineRule="exact"/>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89"/>
              <w:spacing w:after="0" w:line="113" w:lineRule="exact"/>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9"/>
                <w:szCs w:val="9"/>
                <w:color w:val="auto"/>
              </w:rPr>
            </w:pPr>
          </w:p>
        </w:tc>
        <w:tc>
          <w:tcPr>
            <w:tcW w:w="480" w:type="dxa"/>
            <w:vAlign w:val="bottom"/>
            <w:shd w:val="clear" w:color="auto" w:fill="CCEEFF"/>
          </w:tcPr>
          <w:p>
            <w:pPr>
              <w:jc w:val="right"/>
              <w:ind w:right="89"/>
              <w:spacing w:after="0" w:line="113"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94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(20)</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jc w:val="right"/>
              <w:ind w:right="109"/>
              <w:spacing w:after="0" w:line="113"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(20)</w:t>
            </w:r>
          </w:p>
        </w:tc>
      </w:tr>
      <w:tr>
        <w:trPr>
          <w:trHeight w:val="113"/>
        </w:trPr>
        <w:tc>
          <w:tcPr>
            <w:tcW w:w="3300" w:type="dxa"/>
            <w:vAlign w:val="bottom"/>
          </w:tcPr>
          <w:p>
            <w:pPr>
              <w:spacing w:after="0" w:line="113" w:lineRule="exact"/>
              <w:rPr>
                <w:sz w:val="20"/>
                <w:szCs w:val="20"/>
                <w:color w:val="auto"/>
              </w:rPr>
            </w:pPr>
            <w:r>
              <w:rPr>
                <w:rFonts w:ascii="Arial" w:cs="Arial" w:eastAsia="Arial" w:hAnsi="Arial"/>
                <w:sz w:val="10"/>
                <w:szCs w:val="10"/>
                <w:color w:val="auto"/>
              </w:rPr>
              <w:t>Change in cash flow hedges, net of tax</w:t>
            </w:r>
          </w:p>
        </w:tc>
        <w:tc>
          <w:tcPr>
            <w:tcW w:w="640" w:type="dxa"/>
            <w:vAlign w:val="bottom"/>
          </w:tcPr>
          <w:p>
            <w:pPr>
              <w:jc w:val="right"/>
              <w:ind w:right="29"/>
              <w:spacing w:after="0" w:line="113" w:lineRule="exact"/>
              <w:rPr>
                <w:sz w:val="20"/>
                <w:szCs w:val="20"/>
                <w:color w:val="auto"/>
              </w:rPr>
            </w:pPr>
            <w:r>
              <w:rPr>
                <w:rFonts w:ascii="Arial" w:cs="Arial" w:eastAsia="Arial" w:hAnsi="Arial"/>
                <w:sz w:val="10"/>
                <w:szCs w:val="10"/>
                <w:color w:val="auto"/>
              </w:rPr>
              <w:t>—</w:t>
            </w:r>
          </w:p>
        </w:tc>
        <w:tc>
          <w:tcPr>
            <w:tcW w:w="360" w:type="dxa"/>
            <w:vAlign w:val="bottom"/>
          </w:tcPr>
          <w:p>
            <w:pPr>
              <w:spacing w:after="0"/>
              <w:rPr>
                <w:sz w:val="9"/>
                <w:szCs w:val="9"/>
                <w:color w:val="auto"/>
              </w:rPr>
            </w:pPr>
          </w:p>
        </w:tc>
        <w:tc>
          <w:tcPr>
            <w:tcW w:w="380" w:type="dxa"/>
            <w:vAlign w:val="bottom"/>
            <w:gridSpan w:val="2"/>
          </w:tcPr>
          <w:p>
            <w:pPr>
              <w:jc w:val="right"/>
              <w:ind w:right="180"/>
              <w:spacing w:after="0" w:line="113" w:lineRule="exact"/>
              <w:rPr>
                <w:sz w:val="20"/>
                <w:szCs w:val="20"/>
                <w:color w:val="auto"/>
              </w:rPr>
            </w:pPr>
            <w:r>
              <w:rPr>
                <w:rFonts w:ascii="Arial" w:cs="Arial" w:eastAsia="Arial" w:hAnsi="Arial"/>
                <w:sz w:val="10"/>
                <w:szCs w:val="10"/>
                <w:color w:val="auto"/>
              </w:rPr>
              <w:t>—</w:t>
            </w:r>
          </w:p>
        </w:tc>
        <w:tc>
          <w:tcPr>
            <w:tcW w:w="580" w:type="dxa"/>
            <w:vAlign w:val="bottom"/>
          </w:tcPr>
          <w:p>
            <w:pPr>
              <w:jc w:val="right"/>
              <w:ind w:right="89"/>
              <w:spacing w:after="0" w:line="113" w:lineRule="exact"/>
              <w:rPr>
                <w:sz w:val="20"/>
                <w:szCs w:val="20"/>
                <w:color w:val="auto"/>
              </w:rPr>
            </w:pPr>
            <w:r>
              <w:rPr>
                <w:rFonts w:ascii="Arial" w:cs="Arial" w:eastAsia="Arial" w:hAnsi="Arial"/>
                <w:sz w:val="10"/>
                <w:szCs w:val="10"/>
                <w:color w:val="auto"/>
              </w:rPr>
              <w:t>—</w:t>
            </w:r>
          </w:p>
        </w:tc>
        <w:tc>
          <w:tcPr>
            <w:tcW w:w="240" w:type="dxa"/>
            <w:vAlign w:val="bottom"/>
          </w:tcPr>
          <w:p>
            <w:pPr>
              <w:spacing w:after="0"/>
              <w:rPr>
                <w:sz w:val="9"/>
                <w:szCs w:val="9"/>
                <w:color w:val="auto"/>
              </w:rPr>
            </w:pPr>
          </w:p>
        </w:tc>
        <w:tc>
          <w:tcPr>
            <w:tcW w:w="420" w:type="dxa"/>
            <w:vAlign w:val="bottom"/>
            <w:gridSpan w:val="2"/>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260" w:type="dxa"/>
            <w:vAlign w:val="bottom"/>
          </w:tcPr>
          <w:p>
            <w:pPr>
              <w:spacing w:after="0"/>
              <w:rPr>
                <w:sz w:val="9"/>
                <w:szCs w:val="9"/>
                <w:color w:val="auto"/>
              </w:rPr>
            </w:pPr>
          </w:p>
        </w:tc>
        <w:tc>
          <w:tcPr>
            <w:tcW w:w="480" w:type="dxa"/>
            <w:vAlign w:val="bottom"/>
          </w:tcPr>
          <w:p>
            <w:pPr>
              <w:jc w:val="right"/>
              <w:ind w:right="89"/>
              <w:spacing w:after="0" w:line="113"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940" w:type="dxa"/>
            <w:vAlign w:val="bottom"/>
          </w:tcPr>
          <w:p>
            <w:pPr>
              <w:jc w:val="right"/>
              <w:spacing w:after="0" w:line="113" w:lineRule="exact"/>
              <w:rPr>
                <w:sz w:val="20"/>
                <w:szCs w:val="20"/>
                <w:color w:val="auto"/>
              </w:rPr>
            </w:pPr>
            <w:r>
              <w:rPr>
                <w:rFonts w:ascii="Arial" w:cs="Arial" w:eastAsia="Arial" w:hAnsi="Arial"/>
                <w:sz w:val="10"/>
                <w:szCs w:val="10"/>
                <w:color w:val="auto"/>
              </w:rPr>
              <w:t>(3)</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jc w:val="right"/>
              <w:ind w:right="109"/>
              <w:spacing w:after="0" w:line="113" w:lineRule="exact"/>
              <w:rPr>
                <w:sz w:val="20"/>
                <w:szCs w:val="20"/>
                <w:color w:val="auto"/>
              </w:rPr>
            </w:pPr>
            <w:r>
              <w:rPr>
                <w:rFonts w:ascii="Arial" w:cs="Arial" w:eastAsia="Arial" w:hAnsi="Arial"/>
                <w:sz w:val="10"/>
                <w:szCs w:val="10"/>
                <w:color w:val="auto"/>
              </w:rPr>
              <w:t>—</w:t>
            </w:r>
          </w:p>
        </w:tc>
        <w:tc>
          <w:tcPr>
            <w:tcW w:w="280" w:type="dxa"/>
            <w:vAlign w:val="bottom"/>
          </w:tcPr>
          <w:p>
            <w:pPr>
              <w:spacing w:after="0"/>
              <w:rPr>
                <w:sz w:val="9"/>
                <w:szCs w:val="9"/>
                <w:color w:val="auto"/>
              </w:rPr>
            </w:pPr>
          </w:p>
        </w:tc>
        <w:tc>
          <w:tcPr>
            <w:tcW w:w="680" w:type="dxa"/>
            <w:vAlign w:val="bottom"/>
          </w:tcPr>
          <w:p>
            <w:pPr>
              <w:jc w:val="right"/>
              <w:spacing w:after="0" w:line="113" w:lineRule="exact"/>
              <w:rPr>
                <w:sz w:val="20"/>
                <w:szCs w:val="20"/>
                <w:color w:val="auto"/>
              </w:rPr>
            </w:pPr>
            <w:r>
              <w:rPr>
                <w:rFonts w:ascii="Arial" w:cs="Arial" w:eastAsia="Arial" w:hAnsi="Arial"/>
                <w:sz w:val="10"/>
                <w:szCs w:val="10"/>
                <w:color w:val="auto"/>
              </w:rPr>
              <w:t>(3)</w:t>
            </w:r>
          </w:p>
        </w:tc>
      </w:tr>
      <w:tr>
        <w:trPr>
          <w:trHeight w:val="113"/>
        </w:trPr>
        <w:tc>
          <w:tcPr>
            <w:tcW w:w="330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Pension and postretirement adjustments, net of tax</w:t>
            </w:r>
          </w:p>
        </w:tc>
        <w:tc>
          <w:tcPr>
            <w:tcW w:w="640" w:type="dxa"/>
            <w:vAlign w:val="bottom"/>
            <w:shd w:val="clear" w:color="auto" w:fill="CCEEFF"/>
          </w:tcPr>
          <w:p>
            <w:pPr>
              <w:jc w:val="right"/>
              <w:ind w:right="29"/>
              <w:spacing w:after="0" w:line="113" w:lineRule="exact"/>
              <w:rPr>
                <w:sz w:val="20"/>
                <w:szCs w:val="20"/>
                <w:color w:val="auto"/>
              </w:rPr>
            </w:pPr>
            <w:r>
              <w:rPr>
                <w:rFonts w:ascii="Arial" w:cs="Arial" w:eastAsia="Arial" w:hAnsi="Arial"/>
                <w:sz w:val="10"/>
                <w:szCs w:val="10"/>
                <w:color w:val="auto"/>
              </w:rPr>
              <w:t>—</w:t>
            </w:r>
          </w:p>
        </w:tc>
        <w:tc>
          <w:tcPr>
            <w:tcW w:w="36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180"/>
              <w:spacing w:after="0" w:line="113" w:lineRule="exact"/>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89"/>
              <w:spacing w:after="0" w:line="113" w:lineRule="exact"/>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9"/>
                <w:szCs w:val="9"/>
                <w:color w:val="auto"/>
              </w:rPr>
            </w:pPr>
          </w:p>
        </w:tc>
        <w:tc>
          <w:tcPr>
            <w:tcW w:w="480" w:type="dxa"/>
            <w:vAlign w:val="bottom"/>
            <w:shd w:val="clear" w:color="auto" w:fill="CCEEFF"/>
          </w:tcPr>
          <w:p>
            <w:pPr>
              <w:jc w:val="right"/>
              <w:ind w:right="89"/>
              <w:spacing w:after="0" w:line="113"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94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(1)</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jc w:val="right"/>
              <w:ind w:right="109"/>
              <w:spacing w:after="0" w:line="113"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(1)</w:t>
            </w:r>
          </w:p>
        </w:tc>
      </w:tr>
      <w:tr>
        <w:trPr>
          <w:trHeight w:val="113"/>
        </w:trPr>
        <w:tc>
          <w:tcPr>
            <w:tcW w:w="3300" w:type="dxa"/>
            <w:vAlign w:val="bottom"/>
            <w:tcBorders>
              <w:bottom w:val="single" w:sz="8" w:color="auto"/>
            </w:tcBorders>
          </w:tcPr>
          <w:p>
            <w:pPr>
              <w:spacing w:after="0" w:line="113" w:lineRule="exact"/>
              <w:rPr>
                <w:sz w:val="20"/>
                <w:szCs w:val="20"/>
                <w:color w:val="auto"/>
              </w:rPr>
            </w:pPr>
            <w:r>
              <w:rPr>
                <w:rFonts w:ascii="Arial" w:cs="Arial" w:eastAsia="Arial" w:hAnsi="Arial"/>
                <w:sz w:val="10"/>
                <w:szCs w:val="10"/>
                <w:color w:val="auto"/>
              </w:rPr>
              <w:t>Cumulative effect of the adoption of Topic 842</w:t>
            </w:r>
          </w:p>
        </w:tc>
        <w:tc>
          <w:tcPr>
            <w:tcW w:w="640" w:type="dxa"/>
            <w:vAlign w:val="bottom"/>
            <w:tcBorders>
              <w:bottom w:val="single" w:sz="8" w:color="auto"/>
            </w:tcBorders>
          </w:tcPr>
          <w:p>
            <w:pPr>
              <w:jc w:val="right"/>
              <w:ind w:right="29"/>
              <w:spacing w:after="0" w:line="113" w:lineRule="exact"/>
              <w:rPr>
                <w:sz w:val="20"/>
                <w:szCs w:val="20"/>
                <w:color w:val="auto"/>
              </w:rPr>
            </w:pPr>
            <w:r>
              <w:rPr>
                <w:rFonts w:ascii="Arial" w:cs="Arial" w:eastAsia="Arial" w:hAnsi="Arial"/>
                <w:sz w:val="10"/>
                <w:szCs w:val="10"/>
                <w:color w:val="auto"/>
              </w:rPr>
              <w:t>—</w:t>
            </w:r>
          </w:p>
        </w:tc>
        <w:tc>
          <w:tcPr>
            <w:tcW w:w="3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gridSpan w:val="2"/>
          </w:tcPr>
          <w:p>
            <w:pPr>
              <w:jc w:val="right"/>
              <w:ind w:right="180"/>
              <w:spacing w:after="0" w:line="113" w:lineRule="exact"/>
              <w:rPr>
                <w:sz w:val="20"/>
                <w:szCs w:val="20"/>
                <w:color w:val="auto"/>
              </w:rPr>
            </w:pPr>
            <w:r>
              <w:rPr>
                <w:rFonts w:ascii="Arial" w:cs="Arial" w:eastAsia="Arial" w:hAnsi="Arial"/>
                <w:sz w:val="10"/>
                <w:szCs w:val="10"/>
                <w:color w:val="auto"/>
              </w:rPr>
              <w:t>—</w:t>
            </w:r>
          </w:p>
        </w:tc>
        <w:tc>
          <w:tcPr>
            <w:tcW w:w="580" w:type="dxa"/>
            <w:vAlign w:val="bottom"/>
            <w:tcBorders>
              <w:bottom w:val="single" w:sz="8" w:color="auto"/>
            </w:tcBorders>
          </w:tcPr>
          <w:p>
            <w:pPr>
              <w:jc w:val="right"/>
              <w:ind w:right="89"/>
              <w:spacing w:after="0" w:line="113" w:lineRule="exact"/>
              <w:rPr>
                <w:sz w:val="20"/>
                <w:szCs w:val="20"/>
                <w:color w:val="auto"/>
              </w:rPr>
            </w:pPr>
            <w:r>
              <w:rPr>
                <w:rFonts w:ascii="Arial" w:cs="Arial" w:eastAsia="Arial" w:hAnsi="Arial"/>
                <w:sz w:val="10"/>
                <w:szCs w:val="10"/>
                <w:color w:val="auto"/>
              </w:rPr>
              <w:t>—</w:t>
            </w:r>
          </w:p>
        </w:tc>
        <w:tc>
          <w:tcPr>
            <w:tcW w:w="2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gridSpan w:val="2"/>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2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ind w:right="49"/>
              <w:spacing w:after="0" w:line="113" w:lineRule="exact"/>
              <w:rPr>
                <w:sz w:val="20"/>
                <w:szCs w:val="20"/>
                <w:color w:val="auto"/>
              </w:rPr>
            </w:pPr>
            <w:r>
              <w:rPr>
                <w:rFonts w:ascii="Arial" w:cs="Arial" w:eastAsia="Arial" w:hAnsi="Arial"/>
                <w:sz w:val="10"/>
                <w:szCs w:val="10"/>
                <w:color w:val="auto"/>
              </w:rPr>
              <w:t>(26)</w:t>
            </w: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right"/>
              <w:ind w:right="9"/>
              <w:spacing w:after="0" w:line="113" w:lineRule="exact"/>
              <w:rPr>
                <w:sz w:val="20"/>
                <w:szCs w:val="20"/>
                <w:color w:val="auto"/>
              </w:rPr>
            </w:pPr>
            <w:r>
              <w:rPr>
                <w:rFonts w:ascii="Arial" w:cs="Arial" w:eastAsia="Arial" w:hAnsi="Arial"/>
                <w:sz w:val="10"/>
                <w:szCs w:val="10"/>
                <w:color w:val="auto"/>
              </w:rPr>
              <w:t>—</w:t>
            </w: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jc w:val="right"/>
              <w:ind w:right="109"/>
              <w:spacing w:after="0" w:line="113" w:lineRule="exact"/>
              <w:rPr>
                <w:sz w:val="20"/>
                <w:szCs w:val="20"/>
                <w:color w:val="auto"/>
              </w:rPr>
            </w:pPr>
            <w:r>
              <w:rPr>
                <w:rFonts w:ascii="Arial" w:cs="Arial" w:eastAsia="Arial" w:hAnsi="Arial"/>
                <w:sz w:val="10"/>
                <w:szCs w:val="10"/>
                <w:color w:val="auto"/>
              </w:rPr>
              <w:t>—</w:t>
            </w:r>
          </w:p>
        </w:tc>
        <w:tc>
          <w:tcPr>
            <w:tcW w:w="2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(26)</w:t>
            </w:r>
          </w:p>
        </w:tc>
      </w:tr>
      <w:tr>
        <w:trPr>
          <w:trHeight w:val="103"/>
        </w:trPr>
        <w:tc>
          <w:tcPr>
            <w:tcW w:w="3300" w:type="dxa"/>
            <w:vAlign w:val="bottom"/>
            <w:shd w:val="clear" w:color="auto" w:fill="CCEEFF"/>
          </w:tcPr>
          <w:p>
            <w:pPr>
              <w:spacing w:after="0" w:line="104" w:lineRule="exact"/>
              <w:rPr>
                <w:sz w:val="20"/>
                <w:szCs w:val="20"/>
                <w:color w:val="auto"/>
              </w:rPr>
            </w:pPr>
            <w:r>
              <w:rPr>
                <w:rFonts w:ascii="Arial" w:cs="Arial" w:eastAsia="Arial" w:hAnsi="Arial"/>
                <w:sz w:val="10"/>
                <w:szCs w:val="10"/>
                <w:b w:val="1"/>
                <w:bCs w:val="1"/>
                <w:color w:val="auto"/>
              </w:rPr>
              <w:t>Balance at February 1, 2020</w:t>
            </w:r>
          </w:p>
        </w:tc>
        <w:tc>
          <w:tcPr>
            <w:tcW w:w="640" w:type="dxa"/>
            <w:vAlign w:val="bottom"/>
            <w:shd w:val="clear" w:color="auto" w:fill="CCEEFF"/>
          </w:tcPr>
          <w:p>
            <w:pPr>
              <w:jc w:val="right"/>
              <w:ind w:right="29"/>
              <w:spacing w:after="0" w:line="104" w:lineRule="exact"/>
              <w:rPr>
                <w:sz w:val="20"/>
                <w:szCs w:val="20"/>
                <w:color w:val="auto"/>
              </w:rPr>
            </w:pPr>
            <w:r>
              <w:rPr>
                <w:rFonts w:ascii="Arial" w:cs="Arial" w:eastAsia="Arial" w:hAnsi="Arial"/>
                <w:sz w:val="10"/>
                <w:szCs w:val="10"/>
                <w:b w:val="1"/>
                <w:bCs w:val="1"/>
                <w:color w:val="auto"/>
              </w:rPr>
              <w:t>104,188</w:t>
            </w:r>
          </w:p>
        </w:tc>
        <w:tc>
          <w:tcPr>
            <w:tcW w:w="360" w:type="dxa"/>
            <w:vAlign w:val="bottom"/>
            <w:shd w:val="clear" w:color="auto" w:fill="CCEEFF"/>
          </w:tcPr>
          <w:p>
            <w:pPr>
              <w:jc w:val="right"/>
              <w:ind w:right="209"/>
              <w:spacing w:after="0" w:line="104" w:lineRule="exact"/>
              <w:rPr>
                <w:sz w:val="20"/>
                <w:szCs w:val="20"/>
                <w:color w:val="auto"/>
              </w:rPr>
            </w:pPr>
            <w:r>
              <w:rPr>
                <w:rFonts w:ascii="Arial" w:cs="Arial" w:eastAsia="Arial" w:hAnsi="Arial"/>
                <w:sz w:val="10"/>
                <w:szCs w:val="10"/>
                <w:b w:val="1"/>
                <w:bCs w:val="1"/>
                <w:color w:val="auto"/>
              </w:rPr>
              <w:t>$</w:t>
            </w:r>
          </w:p>
        </w:tc>
        <w:tc>
          <w:tcPr>
            <w:tcW w:w="24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764</w:t>
            </w:r>
          </w:p>
        </w:tc>
        <w:tc>
          <w:tcPr>
            <w:tcW w:w="140" w:type="dxa"/>
            <w:vAlign w:val="bottom"/>
            <w:shd w:val="clear" w:color="auto" w:fill="CCEEFF"/>
          </w:tcPr>
          <w:p>
            <w:pPr>
              <w:spacing w:after="0"/>
              <w:rPr>
                <w:sz w:val="8"/>
                <w:szCs w:val="8"/>
                <w:color w:val="auto"/>
              </w:rPr>
            </w:pPr>
          </w:p>
        </w:tc>
        <w:tc>
          <w:tcPr>
            <w:tcW w:w="580" w:type="dxa"/>
            <w:vAlign w:val="bottom"/>
            <w:shd w:val="clear" w:color="auto" w:fill="CCEEFF"/>
          </w:tcPr>
          <w:p>
            <w:pPr>
              <w:jc w:val="right"/>
              <w:ind w:right="89"/>
              <w:spacing w:after="0" w:line="104" w:lineRule="exact"/>
              <w:rPr>
                <w:sz w:val="20"/>
                <w:szCs w:val="20"/>
                <w:color w:val="auto"/>
              </w:rPr>
            </w:pPr>
            <w:r>
              <w:rPr>
                <w:rFonts w:ascii="Arial" w:cs="Arial" w:eastAsia="Arial" w:hAnsi="Arial"/>
                <w:sz w:val="10"/>
                <w:szCs w:val="10"/>
                <w:b w:val="1"/>
                <w:bCs w:val="1"/>
                <w:color w:val="auto"/>
              </w:rPr>
              <w:t>—</w:t>
            </w:r>
          </w:p>
        </w:tc>
        <w:tc>
          <w:tcPr>
            <w:tcW w:w="240" w:type="dxa"/>
            <w:vAlign w:val="bottom"/>
            <w:shd w:val="clear" w:color="auto" w:fill="CCEEFF"/>
          </w:tcPr>
          <w:p>
            <w:pPr>
              <w:jc w:val="right"/>
              <w:ind w:right="49"/>
              <w:spacing w:after="0" w:line="104" w:lineRule="exact"/>
              <w:rPr>
                <w:sz w:val="20"/>
                <w:szCs w:val="20"/>
                <w:color w:val="auto"/>
              </w:rPr>
            </w:pPr>
            <w:r>
              <w:rPr>
                <w:rFonts w:ascii="Arial" w:cs="Arial" w:eastAsia="Arial" w:hAnsi="Arial"/>
                <w:sz w:val="10"/>
                <w:szCs w:val="10"/>
                <w:b w:val="1"/>
                <w:bCs w:val="1"/>
                <w:color w:val="auto"/>
              </w:rPr>
              <w:t>$</w:t>
            </w:r>
          </w:p>
        </w:tc>
        <w:tc>
          <w:tcPr>
            <w:tcW w:w="420" w:type="dxa"/>
            <w:vAlign w:val="bottom"/>
            <w:gridSpan w:val="2"/>
            <w:shd w:val="clear" w:color="auto" w:fill="CCEEFF"/>
          </w:tcPr>
          <w:p>
            <w:pPr>
              <w:jc w:val="right"/>
              <w:ind w:right="140"/>
              <w:spacing w:after="0" w:line="104" w:lineRule="exact"/>
              <w:rPr>
                <w:sz w:val="20"/>
                <w:szCs w:val="20"/>
                <w:color w:val="auto"/>
              </w:rPr>
            </w:pPr>
            <w:r>
              <w:rPr>
                <w:rFonts w:ascii="Arial" w:cs="Arial" w:eastAsia="Arial" w:hAnsi="Arial"/>
                <w:sz w:val="10"/>
                <w:szCs w:val="10"/>
                <w:b w:val="1"/>
                <w:bCs w:val="1"/>
                <w:color w:val="auto"/>
              </w:rPr>
              <w:t>—</w:t>
            </w:r>
          </w:p>
        </w:tc>
        <w:tc>
          <w:tcPr>
            <w:tcW w:w="260" w:type="dxa"/>
            <w:vAlign w:val="bottom"/>
            <w:shd w:val="clear" w:color="auto" w:fill="CCEEFF"/>
          </w:tcPr>
          <w:p>
            <w:pPr>
              <w:jc w:val="right"/>
              <w:ind w:right="49"/>
              <w:spacing w:after="0" w:line="104" w:lineRule="exact"/>
              <w:rPr>
                <w:sz w:val="20"/>
                <w:szCs w:val="20"/>
                <w:color w:val="auto"/>
              </w:rPr>
            </w:pPr>
            <w:r>
              <w:rPr>
                <w:rFonts w:ascii="Arial" w:cs="Arial" w:eastAsia="Arial" w:hAnsi="Arial"/>
                <w:sz w:val="10"/>
                <w:szCs w:val="10"/>
                <w:b w:val="1"/>
                <w:bCs w:val="1"/>
                <w:color w:val="auto"/>
              </w:rPr>
              <w:t>$</w:t>
            </w:r>
          </w:p>
        </w:tc>
        <w:tc>
          <w:tcPr>
            <w:tcW w:w="480" w:type="dxa"/>
            <w:vAlign w:val="bottom"/>
            <w:shd w:val="clear" w:color="auto" w:fill="CCEEFF"/>
          </w:tcPr>
          <w:p>
            <w:pPr>
              <w:jc w:val="right"/>
              <w:ind w:right="89"/>
              <w:spacing w:after="0" w:line="104" w:lineRule="exact"/>
              <w:rPr>
                <w:sz w:val="20"/>
                <w:szCs w:val="20"/>
                <w:color w:val="auto"/>
              </w:rPr>
            </w:pPr>
            <w:r>
              <w:rPr>
                <w:rFonts w:ascii="Arial" w:cs="Arial" w:eastAsia="Arial" w:hAnsi="Arial"/>
                <w:sz w:val="10"/>
                <w:szCs w:val="10"/>
                <w:b w:val="1"/>
                <w:bCs w:val="1"/>
                <w:color w:val="auto"/>
              </w:rPr>
              <w:t>2,103</w:t>
            </w:r>
          </w:p>
        </w:tc>
        <w:tc>
          <w:tcPr>
            <w:tcW w:w="18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w:t>
            </w:r>
          </w:p>
        </w:tc>
        <w:tc>
          <w:tcPr>
            <w:tcW w:w="94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(394)</w:t>
            </w:r>
          </w:p>
        </w:tc>
        <w:tc>
          <w:tcPr>
            <w:tcW w:w="140" w:type="dxa"/>
            <w:vAlign w:val="bottom"/>
            <w:gridSpan w:val="2"/>
            <w:shd w:val="clear" w:color="auto" w:fill="CCEEFF"/>
          </w:tcPr>
          <w:p>
            <w:pPr>
              <w:jc w:val="right"/>
              <w:ind w:right="80"/>
              <w:spacing w:after="0" w:line="104" w:lineRule="exact"/>
              <w:rPr>
                <w:sz w:val="20"/>
                <w:szCs w:val="20"/>
                <w:color w:val="auto"/>
              </w:rPr>
            </w:pPr>
            <w:r>
              <w:rPr>
                <w:rFonts w:ascii="Arial" w:cs="Arial" w:eastAsia="Arial" w:hAnsi="Arial"/>
                <w:sz w:val="10"/>
                <w:szCs w:val="10"/>
                <w:b w:val="1"/>
                <w:bCs w:val="1"/>
                <w:color w:val="auto"/>
                <w:w w:val="71"/>
              </w:rPr>
              <w:t>$</w:t>
            </w:r>
          </w:p>
        </w:tc>
        <w:tc>
          <w:tcPr>
            <w:tcW w:w="1040" w:type="dxa"/>
            <w:vAlign w:val="bottom"/>
            <w:shd w:val="clear" w:color="auto" w:fill="CCEEFF"/>
          </w:tcPr>
          <w:p>
            <w:pPr>
              <w:jc w:val="right"/>
              <w:ind w:right="109"/>
              <w:spacing w:after="0" w:line="104" w:lineRule="exact"/>
              <w:rPr>
                <w:sz w:val="20"/>
                <w:szCs w:val="20"/>
                <w:color w:val="auto"/>
              </w:rPr>
            </w:pPr>
            <w:r>
              <w:rPr>
                <w:rFonts w:ascii="Arial" w:cs="Arial" w:eastAsia="Arial" w:hAnsi="Arial"/>
                <w:sz w:val="10"/>
                <w:szCs w:val="10"/>
                <w:b w:val="1"/>
                <w:bCs w:val="1"/>
                <w:color w:val="auto"/>
              </w:rPr>
              <w:t>—</w:t>
            </w:r>
          </w:p>
        </w:tc>
        <w:tc>
          <w:tcPr>
            <w:tcW w:w="280" w:type="dxa"/>
            <w:vAlign w:val="bottom"/>
            <w:shd w:val="clear" w:color="auto" w:fill="CCEEFF"/>
          </w:tcPr>
          <w:p>
            <w:pPr>
              <w:ind w:left="140"/>
              <w:spacing w:after="0" w:line="104" w:lineRule="exact"/>
              <w:rPr>
                <w:sz w:val="20"/>
                <w:szCs w:val="20"/>
                <w:color w:val="auto"/>
              </w:rPr>
            </w:pPr>
            <w:r>
              <w:rPr>
                <w:rFonts w:ascii="Arial" w:cs="Arial" w:eastAsia="Arial" w:hAnsi="Arial"/>
                <w:sz w:val="10"/>
                <w:szCs w:val="10"/>
                <w:b w:val="1"/>
                <w:bCs w:val="1"/>
                <w:color w:val="auto"/>
              </w:rPr>
              <w:t>$</w:t>
            </w:r>
          </w:p>
        </w:tc>
        <w:tc>
          <w:tcPr>
            <w:tcW w:w="680" w:type="dxa"/>
            <w:vAlign w:val="bottom"/>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2,473</w:t>
            </w:r>
          </w:p>
        </w:tc>
      </w:tr>
      <w:tr>
        <w:trPr>
          <w:trHeight w:val="103"/>
        </w:trPr>
        <w:tc>
          <w:tcPr>
            <w:tcW w:w="3300" w:type="dxa"/>
            <w:vAlign w:val="bottom"/>
          </w:tcPr>
          <w:p>
            <w:pPr>
              <w:spacing w:after="0" w:line="104" w:lineRule="exact"/>
              <w:rPr>
                <w:sz w:val="20"/>
                <w:szCs w:val="20"/>
                <w:color w:val="auto"/>
              </w:rPr>
            </w:pPr>
            <w:r>
              <w:rPr>
                <w:rFonts w:ascii="Arial" w:cs="Arial" w:eastAsia="Arial" w:hAnsi="Arial"/>
                <w:sz w:val="10"/>
                <w:szCs w:val="10"/>
                <w:color w:val="auto"/>
              </w:rPr>
              <w:t>Restricted stock issued</w:t>
            </w:r>
          </w:p>
        </w:tc>
        <w:tc>
          <w:tcPr>
            <w:tcW w:w="640" w:type="dxa"/>
            <w:vAlign w:val="bottom"/>
          </w:tcPr>
          <w:p>
            <w:pPr>
              <w:jc w:val="right"/>
              <w:ind w:right="29"/>
              <w:spacing w:after="0" w:line="104" w:lineRule="exact"/>
              <w:rPr>
                <w:sz w:val="20"/>
                <w:szCs w:val="20"/>
                <w:color w:val="auto"/>
              </w:rPr>
            </w:pPr>
            <w:r>
              <w:rPr>
                <w:rFonts w:ascii="Arial" w:cs="Arial" w:eastAsia="Arial" w:hAnsi="Arial"/>
                <w:sz w:val="10"/>
                <w:szCs w:val="10"/>
                <w:color w:val="auto"/>
              </w:rPr>
              <w:t>121</w:t>
            </w:r>
          </w:p>
        </w:tc>
        <w:tc>
          <w:tcPr>
            <w:tcW w:w="360" w:type="dxa"/>
            <w:vAlign w:val="bottom"/>
          </w:tcPr>
          <w:p>
            <w:pPr>
              <w:spacing w:after="0"/>
              <w:rPr>
                <w:sz w:val="8"/>
                <w:szCs w:val="8"/>
                <w:color w:val="auto"/>
              </w:rPr>
            </w:pPr>
          </w:p>
        </w:tc>
        <w:tc>
          <w:tcPr>
            <w:tcW w:w="380" w:type="dxa"/>
            <w:vAlign w:val="bottom"/>
            <w:gridSpan w:val="2"/>
          </w:tcPr>
          <w:p>
            <w:pPr>
              <w:jc w:val="right"/>
              <w:ind w:right="180"/>
              <w:spacing w:after="0" w:line="104" w:lineRule="exact"/>
              <w:rPr>
                <w:sz w:val="20"/>
                <w:szCs w:val="20"/>
                <w:color w:val="auto"/>
              </w:rPr>
            </w:pPr>
            <w:r>
              <w:rPr>
                <w:rFonts w:ascii="Arial" w:cs="Arial" w:eastAsia="Arial" w:hAnsi="Arial"/>
                <w:sz w:val="10"/>
                <w:szCs w:val="10"/>
                <w:color w:val="auto"/>
              </w:rPr>
              <w:t>—</w:t>
            </w:r>
          </w:p>
        </w:tc>
        <w:tc>
          <w:tcPr>
            <w:tcW w:w="580" w:type="dxa"/>
            <w:vAlign w:val="bottom"/>
          </w:tcPr>
          <w:p>
            <w:pPr>
              <w:jc w:val="right"/>
              <w:ind w:right="89"/>
              <w:spacing w:after="0" w:line="104" w:lineRule="exact"/>
              <w:rPr>
                <w:sz w:val="20"/>
                <w:szCs w:val="20"/>
                <w:color w:val="auto"/>
              </w:rPr>
            </w:pPr>
            <w:r>
              <w:rPr>
                <w:rFonts w:ascii="Arial" w:cs="Arial" w:eastAsia="Arial" w:hAnsi="Arial"/>
                <w:sz w:val="10"/>
                <w:szCs w:val="10"/>
                <w:color w:val="auto"/>
              </w:rPr>
              <w:t>—</w:t>
            </w:r>
          </w:p>
        </w:tc>
        <w:tc>
          <w:tcPr>
            <w:tcW w:w="240" w:type="dxa"/>
            <w:vAlign w:val="bottom"/>
          </w:tcPr>
          <w:p>
            <w:pPr>
              <w:spacing w:after="0"/>
              <w:rPr>
                <w:sz w:val="8"/>
                <w:szCs w:val="8"/>
                <w:color w:val="auto"/>
              </w:rPr>
            </w:pPr>
          </w:p>
        </w:tc>
        <w:tc>
          <w:tcPr>
            <w:tcW w:w="420" w:type="dxa"/>
            <w:vAlign w:val="bottom"/>
            <w:gridSpan w:val="2"/>
          </w:tcPr>
          <w:p>
            <w:pPr>
              <w:jc w:val="right"/>
              <w:ind w:right="140"/>
              <w:spacing w:after="0" w:line="104" w:lineRule="exact"/>
              <w:rPr>
                <w:sz w:val="20"/>
                <w:szCs w:val="20"/>
                <w:color w:val="auto"/>
              </w:rPr>
            </w:pPr>
            <w:r>
              <w:rPr>
                <w:rFonts w:ascii="Arial" w:cs="Arial" w:eastAsia="Arial" w:hAnsi="Arial"/>
                <w:sz w:val="10"/>
                <w:szCs w:val="10"/>
                <w:color w:val="auto"/>
              </w:rPr>
              <w:t>—</w:t>
            </w:r>
          </w:p>
        </w:tc>
        <w:tc>
          <w:tcPr>
            <w:tcW w:w="260" w:type="dxa"/>
            <w:vAlign w:val="bottom"/>
          </w:tcPr>
          <w:p>
            <w:pPr>
              <w:spacing w:after="0"/>
              <w:rPr>
                <w:sz w:val="8"/>
                <w:szCs w:val="8"/>
                <w:color w:val="auto"/>
              </w:rPr>
            </w:pPr>
          </w:p>
        </w:tc>
        <w:tc>
          <w:tcPr>
            <w:tcW w:w="480" w:type="dxa"/>
            <w:vAlign w:val="bottom"/>
          </w:tcPr>
          <w:p>
            <w:pPr>
              <w:jc w:val="right"/>
              <w:ind w:right="89"/>
              <w:spacing w:after="0" w:line="104"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8"/>
                <w:szCs w:val="8"/>
                <w:color w:val="auto"/>
              </w:rPr>
            </w:pPr>
          </w:p>
        </w:tc>
        <w:tc>
          <w:tcPr>
            <w:tcW w:w="940" w:type="dxa"/>
            <w:vAlign w:val="bottom"/>
          </w:tcPr>
          <w:p>
            <w:pPr>
              <w:jc w:val="right"/>
              <w:ind w:right="9"/>
              <w:spacing w:after="0" w:line="104" w:lineRule="exact"/>
              <w:rPr>
                <w:sz w:val="20"/>
                <w:szCs w:val="20"/>
                <w:color w:val="auto"/>
              </w:rPr>
            </w:pPr>
            <w:r>
              <w:rPr>
                <w:rFonts w:ascii="Arial" w:cs="Arial" w:eastAsia="Arial" w:hAnsi="Arial"/>
                <w:sz w:val="10"/>
                <w:szCs w:val="10"/>
                <w:color w:val="auto"/>
              </w:rPr>
              <w:t>—</w:t>
            </w:r>
          </w:p>
        </w:tc>
        <w:tc>
          <w:tcPr>
            <w:tcW w:w="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jc w:val="right"/>
              <w:ind w:right="109"/>
              <w:spacing w:after="0" w:line="104" w:lineRule="exact"/>
              <w:rPr>
                <w:sz w:val="20"/>
                <w:szCs w:val="20"/>
                <w:color w:val="auto"/>
              </w:rPr>
            </w:pPr>
            <w:r>
              <w:rPr>
                <w:rFonts w:ascii="Arial" w:cs="Arial" w:eastAsia="Arial" w:hAnsi="Arial"/>
                <w:sz w:val="10"/>
                <w:szCs w:val="10"/>
                <w:color w:val="auto"/>
              </w:rPr>
              <w:t>—</w:t>
            </w:r>
          </w:p>
        </w:tc>
        <w:tc>
          <w:tcPr>
            <w:tcW w:w="280" w:type="dxa"/>
            <w:vAlign w:val="bottom"/>
          </w:tcPr>
          <w:p>
            <w:pPr>
              <w:spacing w:after="0"/>
              <w:rPr>
                <w:sz w:val="8"/>
                <w:szCs w:val="8"/>
                <w:color w:val="auto"/>
              </w:rPr>
            </w:pPr>
          </w:p>
        </w:tc>
        <w:tc>
          <w:tcPr>
            <w:tcW w:w="680" w:type="dxa"/>
            <w:vAlign w:val="bottom"/>
          </w:tcPr>
          <w:p>
            <w:pPr>
              <w:jc w:val="right"/>
              <w:spacing w:after="0" w:line="104" w:lineRule="exact"/>
              <w:rPr>
                <w:sz w:val="20"/>
                <w:szCs w:val="20"/>
                <w:color w:val="auto"/>
              </w:rPr>
            </w:pPr>
            <w:r>
              <w:rPr>
                <w:rFonts w:ascii="Arial" w:cs="Arial" w:eastAsia="Arial" w:hAnsi="Arial"/>
                <w:sz w:val="10"/>
                <w:szCs w:val="10"/>
                <w:color w:val="auto"/>
              </w:rPr>
              <w:t>—</w:t>
            </w:r>
          </w:p>
        </w:tc>
      </w:tr>
      <w:tr>
        <w:trPr>
          <w:trHeight w:val="113"/>
        </w:trPr>
        <w:tc>
          <w:tcPr>
            <w:tcW w:w="330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Issued under director and stock plans</w:t>
            </w:r>
          </w:p>
        </w:tc>
        <w:tc>
          <w:tcPr>
            <w:tcW w:w="640" w:type="dxa"/>
            <w:vAlign w:val="bottom"/>
            <w:shd w:val="clear" w:color="auto" w:fill="CCEEFF"/>
          </w:tcPr>
          <w:p>
            <w:pPr>
              <w:jc w:val="right"/>
              <w:ind w:right="29"/>
              <w:spacing w:after="0" w:line="113" w:lineRule="exact"/>
              <w:rPr>
                <w:sz w:val="20"/>
                <w:szCs w:val="20"/>
                <w:color w:val="auto"/>
              </w:rPr>
            </w:pPr>
            <w:r>
              <w:rPr>
                <w:rFonts w:ascii="Arial" w:cs="Arial" w:eastAsia="Arial" w:hAnsi="Arial"/>
                <w:sz w:val="10"/>
                <w:szCs w:val="10"/>
                <w:color w:val="auto"/>
              </w:rPr>
              <w:t>297</w:t>
            </w:r>
          </w:p>
        </w:tc>
        <w:tc>
          <w:tcPr>
            <w:tcW w:w="360" w:type="dxa"/>
            <w:vAlign w:val="bottom"/>
            <w:shd w:val="clear" w:color="auto" w:fill="CCEEFF"/>
          </w:tcPr>
          <w:p>
            <w:pPr>
              <w:spacing w:after="0"/>
              <w:rPr>
                <w:sz w:val="9"/>
                <w:szCs w:val="9"/>
                <w:color w:val="auto"/>
              </w:rPr>
            </w:pPr>
          </w:p>
        </w:tc>
        <w:tc>
          <w:tcPr>
            <w:tcW w:w="24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7</w:t>
            </w:r>
          </w:p>
        </w:tc>
        <w:tc>
          <w:tcPr>
            <w:tcW w:w="140" w:type="dxa"/>
            <w:vAlign w:val="bottom"/>
            <w:shd w:val="clear" w:color="auto" w:fill="CCEEFF"/>
          </w:tcPr>
          <w:p>
            <w:pPr>
              <w:spacing w:after="0"/>
              <w:rPr>
                <w:sz w:val="9"/>
                <w:szCs w:val="9"/>
                <w:color w:val="auto"/>
              </w:rPr>
            </w:pPr>
          </w:p>
        </w:tc>
        <w:tc>
          <w:tcPr>
            <w:tcW w:w="580" w:type="dxa"/>
            <w:vAlign w:val="bottom"/>
            <w:shd w:val="clear" w:color="auto" w:fill="CCEEFF"/>
          </w:tcPr>
          <w:p>
            <w:pPr>
              <w:jc w:val="right"/>
              <w:ind w:right="89"/>
              <w:spacing w:after="0" w:line="113" w:lineRule="exact"/>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9"/>
                <w:szCs w:val="9"/>
                <w:color w:val="auto"/>
              </w:rPr>
            </w:pPr>
          </w:p>
        </w:tc>
        <w:tc>
          <w:tcPr>
            <w:tcW w:w="480" w:type="dxa"/>
            <w:vAlign w:val="bottom"/>
            <w:shd w:val="clear" w:color="auto" w:fill="CCEEFF"/>
          </w:tcPr>
          <w:p>
            <w:pPr>
              <w:jc w:val="right"/>
              <w:ind w:right="89"/>
              <w:spacing w:after="0" w:line="113"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940" w:type="dxa"/>
            <w:vAlign w:val="bottom"/>
            <w:shd w:val="clear" w:color="auto" w:fill="CCEEFF"/>
          </w:tcPr>
          <w:p>
            <w:pPr>
              <w:jc w:val="right"/>
              <w:ind w:right="9"/>
              <w:spacing w:after="0" w:line="113"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jc w:val="right"/>
              <w:ind w:right="109"/>
              <w:spacing w:after="0" w:line="113"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7</w:t>
            </w:r>
          </w:p>
        </w:tc>
      </w:tr>
      <w:tr>
        <w:trPr>
          <w:trHeight w:val="113"/>
        </w:trPr>
        <w:tc>
          <w:tcPr>
            <w:tcW w:w="3300" w:type="dxa"/>
            <w:vAlign w:val="bottom"/>
          </w:tcPr>
          <w:p>
            <w:pPr>
              <w:spacing w:after="0" w:line="113" w:lineRule="exact"/>
              <w:rPr>
                <w:sz w:val="20"/>
                <w:szCs w:val="20"/>
                <w:color w:val="auto"/>
              </w:rPr>
            </w:pPr>
            <w:r>
              <w:rPr>
                <w:rFonts w:ascii="Arial" w:cs="Arial" w:eastAsia="Arial" w:hAnsi="Arial"/>
                <w:sz w:val="10"/>
                <w:szCs w:val="10"/>
                <w:color w:val="auto"/>
              </w:rPr>
              <w:t>Share-based compensation expense</w:t>
            </w:r>
          </w:p>
        </w:tc>
        <w:tc>
          <w:tcPr>
            <w:tcW w:w="640" w:type="dxa"/>
            <w:vAlign w:val="bottom"/>
          </w:tcPr>
          <w:p>
            <w:pPr>
              <w:jc w:val="right"/>
              <w:ind w:right="29"/>
              <w:spacing w:after="0" w:line="113" w:lineRule="exact"/>
              <w:rPr>
                <w:sz w:val="20"/>
                <w:szCs w:val="20"/>
                <w:color w:val="auto"/>
              </w:rPr>
            </w:pPr>
            <w:r>
              <w:rPr>
                <w:rFonts w:ascii="Arial" w:cs="Arial" w:eastAsia="Arial" w:hAnsi="Arial"/>
                <w:sz w:val="10"/>
                <w:szCs w:val="10"/>
                <w:color w:val="auto"/>
              </w:rPr>
              <w:t>—</w:t>
            </w:r>
          </w:p>
        </w:tc>
        <w:tc>
          <w:tcPr>
            <w:tcW w:w="360" w:type="dxa"/>
            <w:vAlign w:val="bottom"/>
          </w:tcPr>
          <w:p>
            <w:pPr>
              <w:spacing w:after="0"/>
              <w:rPr>
                <w:sz w:val="9"/>
                <w:szCs w:val="9"/>
                <w:color w:val="auto"/>
              </w:rPr>
            </w:pPr>
          </w:p>
        </w:tc>
        <w:tc>
          <w:tcPr>
            <w:tcW w:w="240" w:type="dxa"/>
            <w:vAlign w:val="bottom"/>
          </w:tcPr>
          <w:p>
            <w:pPr>
              <w:jc w:val="right"/>
              <w:spacing w:after="0" w:line="113" w:lineRule="exact"/>
              <w:rPr>
                <w:sz w:val="20"/>
                <w:szCs w:val="20"/>
                <w:color w:val="auto"/>
              </w:rPr>
            </w:pPr>
            <w:r>
              <w:rPr>
                <w:rFonts w:ascii="Arial" w:cs="Arial" w:eastAsia="Arial" w:hAnsi="Arial"/>
                <w:sz w:val="10"/>
                <w:szCs w:val="10"/>
                <w:color w:val="auto"/>
              </w:rPr>
              <w:t>15</w:t>
            </w:r>
          </w:p>
        </w:tc>
        <w:tc>
          <w:tcPr>
            <w:tcW w:w="140" w:type="dxa"/>
            <w:vAlign w:val="bottom"/>
          </w:tcPr>
          <w:p>
            <w:pPr>
              <w:spacing w:after="0"/>
              <w:rPr>
                <w:sz w:val="9"/>
                <w:szCs w:val="9"/>
                <w:color w:val="auto"/>
              </w:rPr>
            </w:pPr>
          </w:p>
        </w:tc>
        <w:tc>
          <w:tcPr>
            <w:tcW w:w="580" w:type="dxa"/>
            <w:vAlign w:val="bottom"/>
          </w:tcPr>
          <w:p>
            <w:pPr>
              <w:jc w:val="right"/>
              <w:ind w:right="89"/>
              <w:spacing w:after="0" w:line="113" w:lineRule="exact"/>
              <w:rPr>
                <w:sz w:val="20"/>
                <w:szCs w:val="20"/>
                <w:color w:val="auto"/>
              </w:rPr>
            </w:pPr>
            <w:r>
              <w:rPr>
                <w:rFonts w:ascii="Arial" w:cs="Arial" w:eastAsia="Arial" w:hAnsi="Arial"/>
                <w:sz w:val="10"/>
                <w:szCs w:val="10"/>
                <w:color w:val="auto"/>
              </w:rPr>
              <w:t>—</w:t>
            </w:r>
          </w:p>
        </w:tc>
        <w:tc>
          <w:tcPr>
            <w:tcW w:w="240" w:type="dxa"/>
            <w:vAlign w:val="bottom"/>
          </w:tcPr>
          <w:p>
            <w:pPr>
              <w:spacing w:after="0"/>
              <w:rPr>
                <w:sz w:val="9"/>
                <w:szCs w:val="9"/>
                <w:color w:val="auto"/>
              </w:rPr>
            </w:pPr>
          </w:p>
        </w:tc>
        <w:tc>
          <w:tcPr>
            <w:tcW w:w="420" w:type="dxa"/>
            <w:vAlign w:val="bottom"/>
            <w:gridSpan w:val="2"/>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260" w:type="dxa"/>
            <w:vAlign w:val="bottom"/>
          </w:tcPr>
          <w:p>
            <w:pPr>
              <w:spacing w:after="0"/>
              <w:rPr>
                <w:sz w:val="9"/>
                <w:szCs w:val="9"/>
                <w:color w:val="auto"/>
              </w:rPr>
            </w:pPr>
          </w:p>
        </w:tc>
        <w:tc>
          <w:tcPr>
            <w:tcW w:w="480" w:type="dxa"/>
            <w:vAlign w:val="bottom"/>
          </w:tcPr>
          <w:p>
            <w:pPr>
              <w:jc w:val="right"/>
              <w:ind w:right="89"/>
              <w:spacing w:after="0" w:line="113"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940" w:type="dxa"/>
            <w:vAlign w:val="bottom"/>
          </w:tcPr>
          <w:p>
            <w:pPr>
              <w:jc w:val="right"/>
              <w:ind w:right="9"/>
              <w:spacing w:after="0" w:line="113"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jc w:val="right"/>
              <w:ind w:right="109"/>
              <w:spacing w:after="0" w:line="113" w:lineRule="exact"/>
              <w:rPr>
                <w:sz w:val="20"/>
                <w:szCs w:val="20"/>
                <w:color w:val="auto"/>
              </w:rPr>
            </w:pPr>
            <w:r>
              <w:rPr>
                <w:rFonts w:ascii="Arial" w:cs="Arial" w:eastAsia="Arial" w:hAnsi="Arial"/>
                <w:sz w:val="10"/>
                <w:szCs w:val="10"/>
                <w:color w:val="auto"/>
              </w:rPr>
              <w:t>—</w:t>
            </w:r>
          </w:p>
        </w:tc>
        <w:tc>
          <w:tcPr>
            <w:tcW w:w="280" w:type="dxa"/>
            <w:vAlign w:val="bottom"/>
          </w:tcPr>
          <w:p>
            <w:pPr>
              <w:spacing w:after="0"/>
              <w:rPr>
                <w:sz w:val="9"/>
                <w:szCs w:val="9"/>
                <w:color w:val="auto"/>
              </w:rPr>
            </w:pPr>
          </w:p>
        </w:tc>
        <w:tc>
          <w:tcPr>
            <w:tcW w:w="680" w:type="dxa"/>
            <w:vAlign w:val="bottom"/>
          </w:tcPr>
          <w:p>
            <w:pPr>
              <w:jc w:val="right"/>
              <w:spacing w:after="0" w:line="113" w:lineRule="exact"/>
              <w:rPr>
                <w:sz w:val="20"/>
                <w:szCs w:val="20"/>
                <w:color w:val="auto"/>
              </w:rPr>
            </w:pPr>
            <w:r>
              <w:rPr>
                <w:rFonts w:ascii="Arial" w:cs="Arial" w:eastAsia="Arial" w:hAnsi="Arial"/>
                <w:sz w:val="10"/>
                <w:szCs w:val="10"/>
                <w:color w:val="auto"/>
              </w:rPr>
              <w:t>15</w:t>
            </w:r>
          </w:p>
        </w:tc>
      </w:tr>
      <w:tr>
        <w:trPr>
          <w:trHeight w:val="113"/>
        </w:trPr>
        <w:tc>
          <w:tcPr>
            <w:tcW w:w="330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Shares of common stock used to satisfy tax withholding obligations</w:t>
            </w:r>
          </w:p>
        </w:tc>
        <w:tc>
          <w:tcPr>
            <w:tcW w:w="640" w:type="dxa"/>
            <w:vAlign w:val="bottom"/>
            <w:shd w:val="clear" w:color="auto" w:fill="CCEEFF"/>
          </w:tcPr>
          <w:p>
            <w:pPr>
              <w:jc w:val="right"/>
              <w:ind w:right="29"/>
              <w:spacing w:after="0" w:line="113" w:lineRule="exact"/>
              <w:rPr>
                <w:sz w:val="20"/>
                <w:szCs w:val="20"/>
                <w:color w:val="auto"/>
              </w:rPr>
            </w:pPr>
            <w:r>
              <w:rPr>
                <w:rFonts w:ascii="Arial" w:cs="Arial" w:eastAsia="Arial" w:hAnsi="Arial"/>
                <w:sz w:val="10"/>
                <w:szCs w:val="10"/>
                <w:color w:val="auto"/>
              </w:rPr>
              <w:t>—</w:t>
            </w:r>
          </w:p>
        </w:tc>
        <w:tc>
          <w:tcPr>
            <w:tcW w:w="36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180"/>
              <w:spacing w:after="0" w:line="113" w:lineRule="exact"/>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49"/>
              <w:spacing w:after="0" w:line="113" w:lineRule="exact"/>
              <w:rPr>
                <w:sz w:val="20"/>
                <w:szCs w:val="20"/>
                <w:color w:val="auto"/>
              </w:rPr>
            </w:pPr>
            <w:r>
              <w:rPr>
                <w:rFonts w:ascii="Arial" w:cs="Arial" w:eastAsia="Arial" w:hAnsi="Arial"/>
                <w:sz w:val="10"/>
                <w:szCs w:val="10"/>
                <w:color w:val="auto"/>
              </w:rPr>
              <w:t>(41)</w:t>
            </w:r>
          </w:p>
        </w:tc>
        <w:tc>
          <w:tcPr>
            <w:tcW w:w="24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00"/>
              <w:spacing w:after="0" w:line="113" w:lineRule="exact"/>
              <w:rPr>
                <w:sz w:val="20"/>
                <w:szCs w:val="20"/>
                <w:color w:val="auto"/>
              </w:rPr>
            </w:pPr>
            <w:r>
              <w:rPr>
                <w:rFonts w:ascii="Arial" w:cs="Arial" w:eastAsia="Arial" w:hAnsi="Arial"/>
                <w:sz w:val="10"/>
                <w:szCs w:val="10"/>
                <w:color w:val="auto"/>
              </w:rPr>
              <w:t>(1)</w:t>
            </w:r>
          </w:p>
        </w:tc>
        <w:tc>
          <w:tcPr>
            <w:tcW w:w="260" w:type="dxa"/>
            <w:vAlign w:val="bottom"/>
            <w:shd w:val="clear" w:color="auto" w:fill="CCEEFF"/>
          </w:tcPr>
          <w:p>
            <w:pPr>
              <w:spacing w:after="0"/>
              <w:rPr>
                <w:sz w:val="9"/>
                <w:szCs w:val="9"/>
                <w:color w:val="auto"/>
              </w:rPr>
            </w:pPr>
          </w:p>
        </w:tc>
        <w:tc>
          <w:tcPr>
            <w:tcW w:w="480" w:type="dxa"/>
            <w:vAlign w:val="bottom"/>
            <w:shd w:val="clear" w:color="auto" w:fill="CCEEFF"/>
          </w:tcPr>
          <w:p>
            <w:pPr>
              <w:jc w:val="right"/>
              <w:ind w:right="89"/>
              <w:spacing w:after="0" w:line="113"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940" w:type="dxa"/>
            <w:vAlign w:val="bottom"/>
            <w:shd w:val="clear" w:color="auto" w:fill="CCEEFF"/>
          </w:tcPr>
          <w:p>
            <w:pPr>
              <w:jc w:val="right"/>
              <w:ind w:right="9"/>
              <w:spacing w:after="0" w:line="113"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jc w:val="right"/>
              <w:ind w:right="109"/>
              <w:spacing w:after="0" w:line="113"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(1)</w:t>
            </w:r>
          </w:p>
        </w:tc>
      </w:tr>
      <w:tr>
        <w:trPr>
          <w:trHeight w:val="113"/>
        </w:trPr>
        <w:tc>
          <w:tcPr>
            <w:tcW w:w="3300" w:type="dxa"/>
            <w:vAlign w:val="bottom"/>
          </w:tcPr>
          <w:p>
            <w:pPr>
              <w:spacing w:after="0" w:line="113" w:lineRule="exact"/>
              <w:rPr>
                <w:sz w:val="20"/>
                <w:szCs w:val="20"/>
                <w:color w:val="auto"/>
              </w:rPr>
            </w:pPr>
            <w:r>
              <w:rPr>
                <w:rFonts w:ascii="Arial" w:cs="Arial" w:eastAsia="Arial" w:hAnsi="Arial"/>
                <w:sz w:val="10"/>
                <w:szCs w:val="10"/>
                <w:color w:val="auto"/>
              </w:rPr>
              <w:t>Share repurchases</w:t>
            </w:r>
          </w:p>
        </w:tc>
        <w:tc>
          <w:tcPr>
            <w:tcW w:w="640" w:type="dxa"/>
            <w:vAlign w:val="bottom"/>
          </w:tcPr>
          <w:p>
            <w:pPr>
              <w:jc w:val="right"/>
              <w:ind w:right="29"/>
              <w:spacing w:after="0" w:line="113" w:lineRule="exact"/>
              <w:rPr>
                <w:sz w:val="20"/>
                <w:szCs w:val="20"/>
                <w:color w:val="auto"/>
              </w:rPr>
            </w:pPr>
            <w:r>
              <w:rPr>
                <w:rFonts w:ascii="Arial" w:cs="Arial" w:eastAsia="Arial" w:hAnsi="Arial"/>
                <w:sz w:val="10"/>
                <w:szCs w:val="10"/>
                <w:color w:val="auto"/>
              </w:rPr>
              <w:t>—</w:t>
            </w:r>
          </w:p>
        </w:tc>
        <w:tc>
          <w:tcPr>
            <w:tcW w:w="360" w:type="dxa"/>
            <w:vAlign w:val="bottom"/>
          </w:tcPr>
          <w:p>
            <w:pPr>
              <w:spacing w:after="0"/>
              <w:rPr>
                <w:sz w:val="9"/>
                <w:szCs w:val="9"/>
                <w:color w:val="auto"/>
              </w:rPr>
            </w:pPr>
          </w:p>
        </w:tc>
        <w:tc>
          <w:tcPr>
            <w:tcW w:w="380" w:type="dxa"/>
            <w:vAlign w:val="bottom"/>
            <w:gridSpan w:val="2"/>
          </w:tcPr>
          <w:p>
            <w:pPr>
              <w:jc w:val="right"/>
              <w:ind w:right="180"/>
              <w:spacing w:after="0" w:line="113" w:lineRule="exact"/>
              <w:rPr>
                <w:sz w:val="20"/>
                <w:szCs w:val="20"/>
                <w:color w:val="auto"/>
              </w:rPr>
            </w:pPr>
            <w:r>
              <w:rPr>
                <w:rFonts w:ascii="Arial" w:cs="Arial" w:eastAsia="Arial" w:hAnsi="Arial"/>
                <w:sz w:val="10"/>
                <w:szCs w:val="10"/>
                <w:color w:val="auto"/>
              </w:rPr>
              <w:t>—</w:t>
            </w:r>
          </w:p>
        </w:tc>
        <w:tc>
          <w:tcPr>
            <w:tcW w:w="580" w:type="dxa"/>
            <w:vAlign w:val="bottom"/>
          </w:tcPr>
          <w:p>
            <w:pPr>
              <w:jc w:val="right"/>
              <w:ind w:right="49"/>
              <w:spacing w:after="0" w:line="113" w:lineRule="exact"/>
              <w:rPr>
                <w:sz w:val="20"/>
                <w:szCs w:val="20"/>
                <w:color w:val="auto"/>
              </w:rPr>
            </w:pPr>
            <w:r>
              <w:rPr>
                <w:rFonts w:ascii="Arial" w:cs="Arial" w:eastAsia="Arial" w:hAnsi="Arial"/>
                <w:sz w:val="10"/>
                <w:szCs w:val="10"/>
                <w:color w:val="auto"/>
              </w:rPr>
              <w:t>(969)</w:t>
            </w:r>
          </w:p>
        </w:tc>
        <w:tc>
          <w:tcPr>
            <w:tcW w:w="240" w:type="dxa"/>
            <w:vAlign w:val="bottom"/>
          </w:tcPr>
          <w:p>
            <w:pPr>
              <w:spacing w:after="0"/>
              <w:rPr>
                <w:sz w:val="9"/>
                <w:szCs w:val="9"/>
                <w:color w:val="auto"/>
              </w:rPr>
            </w:pPr>
          </w:p>
        </w:tc>
        <w:tc>
          <w:tcPr>
            <w:tcW w:w="420" w:type="dxa"/>
            <w:vAlign w:val="bottom"/>
            <w:gridSpan w:val="2"/>
          </w:tcPr>
          <w:p>
            <w:pPr>
              <w:jc w:val="right"/>
              <w:ind w:right="100"/>
              <w:spacing w:after="0" w:line="113" w:lineRule="exact"/>
              <w:rPr>
                <w:sz w:val="20"/>
                <w:szCs w:val="20"/>
                <w:color w:val="auto"/>
              </w:rPr>
            </w:pPr>
            <w:r>
              <w:rPr>
                <w:rFonts w:ascii="Arial" w:cs="Arial" w:eastAsia="Arial" w:hAnsi="Arial"/>
                <w:sz w:val="10"/>
                <w:szCs w:val="10"/>
                <w:color w:val="auto"/>
              </w:rPr>
              <w:t>(37)</w:t>
            </w:r>
          </w:p>
        </w:tc>
        <w:tc>
          <w:tcPr>
            <w:tcW w:w="260" w:type="dxa"/>
            <w:vAlign w:val="bottom"/>
          </w:tcPr>
          <w:p>
            <w:pPr>
              <w:spacing w:after="0"/>
              <w:rPr>
                <w:sz w:val="9"/>
                <w:szCs w:val="9"/>
                <w:color w:val="auto"/>
              </w:rPr>
            </w:pPr>
          </w:p>
        </w:tc>
        <w:tc>
          <w:tcPr>
            <w:tcW w:w="480" w:type="dxa"/>
            <w:vAlign w:val="bottom"/>
          </w:tcPr>
          <w:p>
            <w:pPr>
              <w:jc w:val="right"/>
              <w:ind w:right="89"/>
              <w:spacing w:after="0" w:line="113"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940" w:type="dxa"/>
            <w:vAlign w:val="bottom"/>
          </w:tcPr>
          <w:p>
            <w:pPr>
              <w:jc w:val="right"/>
              <w:ind w:right="9"/>
              <w:spacing w:after="0" w:line="113"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jc w:val="right"/>
              <w:ind w:right="109"/>
              <w:spacing w:after="0" w:line="113" w:lineRule="exact"/>
              <w:rPr>
                <w:sz w:val="20"/>
                <w:szCs w:val="20"/>
                <w:color w:val="auto"/>
              </w:rPr>
            </w:pPr>
            <w:r>
              <w:rPr>
                <w:rFonts w:ascii="Arial" w:cs="Arial" w:eastAsia="Arial" w:hAnsi="Arial"/>
                <w:sz w:val="10"/>
                <w:szCs w:val="10"/>
                <w:color w:val="auto"/>
              </w:rPr>
              <w:t>—</w:t>
            </w:r>
          </w:p>
        </w:tc>
        <w:tc>
          <w:tcPr>
            <w:tcW w:w="280" w:type="dxa"/>
            <w:vAlign w:val="bottom"/>
          </w:tcPr>
          <w:p>
            <w:pPr>
              <w:spacing w:after="0"/>
              <w:rPr>
                <w:sz w:val="9"/>
                <w:szCs w:val="9"/>
                <w:color w:val="auto"/>
              </w:rPr>
            </w:pPr>
          </w:p>
        </w:tc>
        <w:tc>
          <w:tcPr>
            <w:tcW w:w="680" w:type="dxa"/>
            <w:vAlign w:val="bottom"/>
          </w:tcPr>
          <w:p>
            <w:pPr>
              <w:jc w:val="right"/>
              <w:spacing w:after="0" w:line="113" w:lineRule="exact"/>
              <w:rPr>
                <w:sz w:val="20"/>
                <w:szCs w:val="20"/>
                <w:color w:val="auto"/>
              </w:rPr>
            </w:pPr>
            <w:r>
              <w:rPr>
                <w:rFonts w:ascii="Arial" w:cs="Arial" w:eastAsia="Arial" w:hAnsi="Arial"/>
                <w:sz w:val="10"/>
                <w:szCs w:val="10"/>
                <w:color w:val="auto"/>
              </w:rPr>
              <w:t>(37)</w:t>
            </w:r>
          </w:p>
        </w:tc>
      </w:tr>
      <w:tr>
        <w:trPr>
          <w:trHeight w:val="113"/>
        </w:trPr>
        <w:tc>
          <w:tcPr>
            <w:tcW w:w="330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Reissued - ESPP</w:t>
            </w:r>
          </w:p>
        </w:tc>
        <w:tc>
          <w:tcPr>
            <w:tcW w:w="640" w:type="dxa"/>
            <w:vAlign w:val="bottom"/>
            <w:shd w:val="clear" w:color="auto" w:fill="CCEEFF"/>
          </w:tcPr>
          <w:p>
            <w:pPr>
              <w:jc w:val="right"/>
              <w:ind w:right="29"/>
              <w:spacing w:after="0" w:line="113" w:lineRule="exact"/>
              <w:rPr>
                <w:sz w:val="20"/>
                <w:szCs w:val="20"/>
                <w:color w:val="auto"/>
              </w:rPr>
            </w:pPr>
            <w:r>
              <w:rPr>
                <w:rFonts w:ascii="Arial" w:cs="Arial" w:eastAsia="Arial" w:hAnsi="Arial"/>
                <w:sz w:val="10"/>
                <w:szCs w:val="10"/>
                <w:color w:val="auto"/>
              </w:rPr>
              <w:t>—</w:t>
            </w:r>
          </w:p>
        </w:tc>
        <w:tc>
          <w:tcPr>
            <w:tcW w:w="36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180"/>
              <w:spacing w:after="0" w:line="113" w:lineRule="exact"/>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89"/>
              <w:spacing w:after="0" w:line="113" w:lineRule="exact"/>
              <w:rPr>
                <w:sz w:val="20"/>
                <w:szCs w:val="20"/>
                <w:color w:val="auto"/>
              </w:rPr>
            </w:pPr>
            <w:r>
              <w:rPr>
                <w:rFonts w:ascii="Arial" w:cs="Arial" w:eastAsia="Arial" w:hAnsi="Arial"/>
                <w:sz w:val="10"/>
                <w:szCs w:val="10"/>
                <w:color w:val="auto"/>
              </w:rPr>
              <w:t>23</w:t>
            </w:r>
          </w:p>
        </w:tc>
        <w:tc>
          <w:tcPr>
            <w:tcW w:w="24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1</w:t>
            </w:r>
          </w:p>
        </w:tc>
        <w:tc>
          <w:tcPr>
            <w:tcW w:w="1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480" w:type="dxa"/>
            <w:vAlign w:val="bottom"/>
            <w:shd w:val="clear" w:color="auto" w:fill="CCEEFF"/>
          </w:tcPr>
          <w:p>
            <w:pPr>
              <w:jc w:val="right"/>
              <w:ind w:right="89"/>
              <w:spacing w:after="0" w:line="113"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940" w:type="dxa"/>
            <w:vAlign w:val="bottom"/>
            <w:shd w:val="clear" w:color="auto" w:fill="CCEEFF"/>
          </w:tcPr>
          <w:p>
            <w:pPr>
              <w:jc w:val="right"/>
              <w:ind w:right="9"/>
              <w:spacing w:after="0" w:line="113"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jc w:val="right"/>
              <w:ind w:right="109"/>
              <w:spacing w:after="0" w:line="113"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1</w:t>
            </w:r>
          </w:p>
        </w:tc>
      </w:tr>
      <w:tr>
        <w:trPr>
          <w:trHeight w:val="113"/>
        </w:trPr>
        <w:tc>
          <w:tcPr>
            <w:tcW w:w="3300" w:type="dxa"/>
            <w:vAlign w:val="bottom"/>
          </w:tcPr>
          <w:p>
            <w:pPr>
              <w:spacing w:after="0" w:line="113" w:lineRule="exact"/>
              <w:rPr>
                <w:sz w:val="20"/>
                <w:szCs w:val="20"/>
                <w:color w:val="auto"/>
              </w:rPr>
            </w:pPr>
            <w:r>
              <w:rPr>
                <w:rFonts w:ascii="Arial" w:cs="Arial" w:eastAsia="Arial" w:hAnsi="Arial"/>
                <w:sz w:val="10"/>
                <w:szCs w:val="10"/>
                <w:color w:val="auto"/>
              </w:rPr>
              <w:t>Retirement of treasury stock</w:t>
            </w:r>
          </w:p>
        </w:tc>
        <w:tc>
          <w:tcPr>
            <w:tcW w:w="640" w:type="dxa"/>
            <w:vAlign w:val="bottom"/>
          </w:tcPr>
          <w:p>
            <w:pPr>
              <w:jc w:val="right"/>
              <w:ind w:right="9"/>
              <w:spacing w:after="0" w:line="113" w:lineRule="exact"/>
              <w:rPr>
                <w:sz w:val="20"/>
                <w:szCs w:val="20"/>
                <w:color w:val="auto"/>
              </w:rPr>
            </w:pPr>
            <w:r>
              <w:rPr>
                <w:rFonts w:ascii="Arial" w:cs="Arial" w:eastAsia="Arial" w:hAnsi="Arial"/>
                <w:sz w:val="10"/>
                <w:szCs w:val="10"/>
                <w:color w:val="auto"/>
              </w:rPr>
              <w:t>(913)</w:t>
            </w:r>
          </w:p>
        </w:tc>
        <w:tc>
          <w:tcPr>
            <w:tcW w:w="360" w:type="dxa"/>
            <w:vAlign w:val="bottom"/>
          </w:tcPr>
          <w:p>
            <w:pPr>
              <w:spacing w:after="0"/>
              <w:rPr>
                <w:sz w:val="9"/>
                <w:szCs w:val="9"/>
                <w:color w:val="auto"/>
              </w:rPr>
            </w:pPr>
          </w:p>
        </w:tc>
        <w:tc>
          <w:tcPr>
            <w:tcW w:w="380" w:type="dxa"/>
            <w:vAlign w:val="bottom"/>
            <w:gridSpan w:val="2"/>
          </w:tcPr>
          <w:p>
            <w:pPr>
              <w:jc w:val="right"/>
              <w:ind w:right="140"/>
              <w:spacing w:after="0" w:line="113" w:lineRule="exact"/>
              <w:rPr>
                <w:sz w:val="20"/>
                <w:szCs w:val="20"/>
                <w:color w:val="auto"/>
              </w:rPr>
            </w:pPr>
            <w:r>
              <w:rPr>
                <w:rFonts w:ascii="Arial" w:cs="Arial" w:eastAsia="Arial" w:hAnsi="Arial"/>
                <w:sz w:val="10"/>
                <w:szCs w:val="10"/>
                <w:color w:val="auto"/>
              </w:rPr>
              <w:t>(7)</w:t>
            </w:r>
          </w:p>
        </w:tc>
        <w:tc>
          <w:tcPr>
            <w:tcW w:w="580" w:type="dxa"/>
            <w:vAlign w:val="bottom"/>
          </w:tcPr>
          <w:p>
            <w:pPr>
              <w:jc w:val="right"/>
              <w:ind w:right="89"/>
              <w:spacing w:after="0" w:line="113" w:lineRule="exact"/>
              <w:rPr>
                <w:sz w:val="20"/>
                <w:szCs w:val="20"/>
                <w:color w:val="auto"/>
              </w:rPr>
            </w:pPr>
            <w:r>
              <w:rPr>
                <w:rFonts w:ascii="Arial" w:cs="Arial" w:eastAsia="Arial" w:hAnsi="Arial"/>
                <w:sz w:val="10"/>
                <w:szCs w:val="10"/>
                <w:color w:val="auto"/>
              </w:rPr>
              <w:t>913</w:t>
            </w:r>
          </w:p>
        </w:tc>
        <w:tc>
          <w:tcPr>
            <w:tcW w:w="240" w:type="dxa"/>
            <w:vAlign w:val="bottom"/>
          </w:tcPr>
          <w:p>
            <w:pPr>
              <w:spacing w:after="0"/>
              <w:rPr>
                <w:sz w:val="9"/>
                <w:szCs w:val="9"/>
                <w:color w:val="auto"/>
              </w:rPr>
            </w:pPr>
          </w:p>
        </w:tc>
        <w:tc>
          <w:tcPr>
            <w:tcW w:w="320" w:type="dxa"/>
            <w:vAlign w:val="bottom"/>
          </w:tcPr>
          <w:p>
            <w:pPr>
              <w:jc w:val="right"/>
              <w:spacing w:after="0" w:line="113" w:lineRule="exact"/>
              <w:rPr>
                <w:sz w:val="20"/>
                <w:szCs w:val="20"/>
                <w:color w:val="auto"/>
              </w:rPr>
            </w:pPr>
            <w:r>
              <w:rPr>
                <w:rFonts w:ascii="Arial" w:cs="Arial" w:eastAsia="Arial" w:hAnsi="Arial"/>
                <w:sz w:val="10"/>
                <w:szCs w:val="10"/>
                <w:color w:val="auto"/>
              </w:rPr>
              <w:t>34</w:t>
            </w: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jc w:val="right"/>
              <w:ind w:right="49"/>
              <w:spacing w:after="0" w:line="113" w:lineRule="exact"/>
              <w:rPr>
                <w:sz w:val="20"/>
                <w:szCs w:val="20"/>
                <w:color w:val="auto"/>
              </w:rPr>
            </w:pPr>
            <w:r>
              <w:rPr>
                <w:rFonts w:ascii="Arial" w:cs="Arial" w:eastAsia="Arial" w:hAnsi="Arial"/>
                <w:sz w:val="10"/>
                <w:szCs w:val="10"/>
                <w:color w:val="auto"/>
              </w:rPr>
              <w:t>(27)</w:t>
            </w:r>
          </w:p>
        </w:tc>
        <w:tc>
          <w:tcPr>
            <w:tcW w:w="180" w:type="dxa"/>
            <w:vAlign w:val="bottom"/>
          </w:tcPr>
          <w:p>
            <w:pPr>
              <w:spacing w:after="0"/>
              <w:rPr>
                <w:sz w:val="9"/>
                <w:szCs w:val="9"/>
                <w:color w:val="auto"/>
              </w:rPr>
            </w:pPr>
          </w:p>
        </w:tc>
        <w:tc>
          <w:tcPr>
            <w:tcW w:w="940" w:type="dxa"/>
            <w:vAlign w:val="bottom"/>
          </w:tcPr>
          <w:p>
            <w:pPr>
              <w:jc w:val="right"/>
              <w:ind w:right="9"/>
              <w:spacing w:after="0" w:line="113"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jc w:val="right"/>
              <w:ind w:right="109"/>
              <w:spacing w:after="0" w:line="113" w:lineRule="exact"/>
              <w:rPr>
                <w:sz w:val="20"/>
                <w:szCs w:val="20"/>
                <w:color w:val="auto"/>
              </w:rPr>
            </w:pPr>
            <w:r>
              <w:rPr>
                <w:rFonts w:ascii="Arial" w:cs="Arial" w:eastAsia="Arial" w:hAnsi="Arial"/>
                <w:sz w:val="10"/>
                <w:szCs w:val="10"/>
                <w:color w:val="auto"/>
              </w:rPr>
              <w:t>—</w:t>
            </w:r>
          </w:p>
        </w:tc>
        <w:tc>
          <w:tcPr>
            <w:tcW w:w="280" w:type="dxa"/>
            <w:vAlign w:val="bottom"/>
          </w:tcPr>
          <w:p>
            <w:pPr>
              <w:spacing w:after="0"/>
              <w:rPr>
                <w:sz w:val="9"/>
                <w:szCs w:val="9"/>
                <w:color w:val="auto"/>
              </w:rPr>
            </w:pPr>
          </w:p>
        </w:tc>
        <w:tc>
          <w:tcPr>
            <w:tcW w:w="680" w:type="dxa"/>
            <w:vAlign w:val="bottom"/>
          </w:tcPr>
          <w:p>
            <w:pPr>
              <w:jc w:val="right"/>
              <w:spacing w:after="0" w:line="113" w:lineRule="exact"/>
              <w:rPr>
                <w:sz w:val="20"/>
                <w:szCs w:val="20"/>
                <w:color w:val="auto"/>
              </w:rPr>
            </w:pPr>
            <w:r>
              <w:rPr>
                <w:rFonts w:ascii="Arial" w:cs="Arial" w:eastAsia="Arial" w:hAnsi="Arial"/>
                <w:sz w:val="10"/>
                <w:szCs w:val="10"/>
                <w:color w:val="auto"/>
              </w:rPr>
              <w:t>—</w:t>
            </w:r>
          </w:p>
        </w:tc>
      </w:tr>
      <w:tr>
        <w:trPr>
          <w:trHeight w:val="113"/>
        </w:trPr>
        <w:tc>
          <w:tcPr>
            <w:tcW w:w="330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Noncontrolling interest acquired</w:t>
            </w:r>
          </w:p>
        </w:tc>
        <w:tc>
          <w:tcPr>
            <w:tcW w:w="640" w:type="dxa"/>
            <w:vAlign w:val="bottom"/>
            <w:shd w:val="clear" w:color="auto" w:fill="CCEEFF"/>
          </w:tcPr>
          <w:p>
            <w:pPr>
              <w:jc w:val="right"/>
              <w:ind w:right="29"/>
              <w:spacing w:after="0" w:line="113" w:lineRule="exact"/>
              <w:rPr>
                <w:sz w:val="20"/>
                <w:szCs w:val="20"/>
                <w:color w:val="auto"/>
              </w:rPr>
            </w:pPr>
            <w:r>
              <w:rPr>
                <w:rFonts w:ascii="Arial" w:cs="Arial" w:eastAsia="Arial" w:hAnsi="Arial"/>
                <w:sz w:val="10"/>
                <w:szCs w:val="10"/>
                <w:color w:val="auto"/>
              </w:rPr>
              <w:t>—</w:t>
            </w:r>
          </w:p>
        </w:tc>
        <w:tc>
          <w:tcPr>
            <w:tcW w:w="36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180"/>
              <w:spacing w:after="0" w:line="113" w:lineRule="exact"/>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89"/>
              <w:spacing w:after="0" w:line="113" w:lineRule="exact"/>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9"/>
                <w:szCs w:val="9"/>
                <w:color w:val="auto"/>
              </w:rPr>
            </w:pPr>
          </w:p>
        </w:tc>
        <w:tc>
          <w:tcPr>
            <w:tcW w:w="480" w:type="dxa"/>
            <w:vAlign w:val="bottom"/>
            <w:shd w:val="clear" w:color="auto" w:fill="CCEEFF"/>
          </w:tcPr>
          <w:p>
            <w:pPr>
              <w:jc w:val="right"/>
              <w:ind w:right="89"/>
              <w:spacing w:after="0" w:line="113"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940" w:type="dxa"/>
            <w:vAlign w:val="bottom"/>
            <w:shd w:val="clear" w:color="auto" w:fill="CCEEFF"/>
          </w:tcPr>
          <w:p>
            <w:pPr>
              <w:jc w:val="right"/>
              <w:ind w:right="9"/>
              <w:spacing w:after="0" w:line="113"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jc w:val="right"/>
              <w:ind w:right="109"/>
              <w:spacing w:after="0" w:line="113" w:lineRule="exact"/>
              <w:rPr>
                <w:sz w:val="20"/>
                <w:szCs w:val="20"/>
                <w:color w:val="auto"/>
              </w:rPr>
            </w:pPr>
            <w:r>
              <w:rPr>
                <w:rFonts w:ascii="Arial" w:cs="Arial" w:eastAsia="Arial" w:hAnsi="Arial"/>
                <w:sz w:val="10"/>
                <w:szCs w:val="10"/>
                <w:color w:val="auto"/>
              </w:rPr>
              <w:t>5</w:t>
            </w:r>
          </w:p>
        </w:tc>
        <w:tc>
          <w:tcPr>
            <w:tcW w:w="28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5</w:t>
            </w:r>
          </w:p>
        </w:tc>
      </w:tr>
      <w:tr>
        <w:trPr>
          <w:trHeight w:val="113"/>
        </w:trPr>
        <w:tc>
          <w:tcPr>
            <w:tcW w:w="3300" w:type="dxa"/>
            <w:vAlign w:val="bottom"/>
          </w:tcPr>
          <w:p>
            <w:pPr>
              <w:spacing w:after="0" w:line="113" w:lineRule="exact"/>
              <w:rPr>
                <w:sz w:val="20"/>
                <w:szCs w:val="20"/>
                <w:color w:val="auto"/>
              </w:rPr>
            </w:pPr>
            <w:r>
              <w:rPr>
                <w:rFonts w:ascii="Arial" w:cs="Arial" w:eastAsia="Arial" w:hAnsi="Arial"/>
                <w:sz w:val="10"/>
                <w:szCs w:val="10"/>
                <w:color w:val="auto"/>
              </w:rPr>
              <w:t>Net income</w:t>
            </w:r>
          </w:p>
        </w:tc>
        <w:tc>
          <w:tcPr>
            <w:tcW w:w="640" w:type="dxa"/>
            <w:vAlign w:val="bottom"/>
          </w:tcPr>
          <w:p>
            <w:pPr>
              <w:jc w:val="right"/>
              <w:ind w:right="29"/>
              <w:spacing w:after="0" w:line="113" w:lineRule="exact"/>
              <w:rPr>
                <w:sz w:val="20"/>
                <w:szCs w:val="20"/>
                <w:color w:val="auto"/>
              </w:rPr>
            </w:pPr>
            <w:r>
              <w:rPr>
                <w:rFonts w:ascii="Arial" w:cs="Arial" w:eastAsia="Arial" w:hAnsi="Arial"/>
                <w:sz w:val="10"/>
                <w:szCs w:val="10"/>
                <w:color w:val="auto"/>
              </w:rPr>
              <w:t>—</w:t>
            </w:r>
          </w:p>
        </w:tc>
        <w:tc>
          <w:tcPr>
            <w:tcW w:w="360" w:type="dxa"/>
            <w:vAlign w:val="bottom"/>
          </w:tcPr>
          <w:p>
            <w:pPr>
              <w:spacing w:after="0"/>
              <w:rPr>
                <w:sz w:val="9"/>
                <w:szCs w:val="9"/>
                <w:color w:val="auto"/>
              </w:rPr>
            </w:pPr>
          </w:p>
        </w:tc>
        <w:tc>
          <w:tcPr>
            <w:tcW w:w="380" w:type="dxa"/>
            <w:vAlign w:val="bottom"/>
            <w:gridSpan w:val="2"/>
          </w:tcPr>
          <w:p>
            <w:pPr>
              <w:jc w:val="right"/>
              <w:ind w:right="180"/>
              <w:spacing w:after="0" w:line="113" w:lineRule="exact"/>
              <w:rPr>
                <w:sz w:val="20"/>
                <w:szCs w:val="20"/>
                <w:color w:val="auto"/>
              </w:rPr>
            </w:pPr>
            <w:r>
              <w:rPr>
                <w:rFonts w:ascii="Arial" w:cs="Arial" w:eastAsia="Arial" w:hAnsi="Arial"/>
                <w:sz w:val="10"/>
                <w:szCs w:val="10"/>
                <w:color w:val="auto"/>
              </w:rPr>
              <w:t>—</w:t>
            </w:r>
          </w:p>
        </w:tc>
        <w:tc>
          <w:tcPr>
            <w:tcW w:w="580" w:type="dxa"/>
            <w:vAlign w:val="bottom"/>
          </w:tcPr>
          <w:p>
            <w:pPr>
              <w:jc w:val="right"/>
              <w:ind w:right="89"/>
              <w:spacing w:after="0" w:line="113" w:lineRule="exact"/>
              <w:rPr>
                <w:sz w:val="20"/>
                <w:szCs w:val="20"/>
                <w:color w:val="auto"/>
              </w:rPr>
            </w:pPr>
            <w:r>
              <w:rPr>
                <w:rFonts w:ascii="Arial" w:cs="Arial" w:eastAsia="Arial" w:hAnsi="Arial"/>
                <w:sz w:val="10"/>
                <w:szCs w:val="10"/>
                <w:color w:val="auto"/>
              </w:rPr>
              <w:t>—</w:t>
            </w:r>
          </w:p>
        </w:tc>
        <w:tc>
          <w:tcPr>
            <w:tcW w:w="240" w:type="dxa"/>
            <w:vAlign w:val="bottom"/>
          </w:tcPr>
          <w:p>
            <w:pPr>
              <w:spacing w:after="0"/>
              <w:rPr>
                <w:sz w:val="9"/>
                <w:szCs w:val="9"/>
                <w:color w:val="auto"/>
              </w:rPr>
            </w:pPr>
          </w:p>
        </w:tc>
        <w:tc>
          <w:tcPr>
            <w:tcW w:w="420" w:type="dxa"/>
            <w:vAlign w:val="bottom"/>
            <w:gridSpan w:val="2"/>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260" w:type="dxa"/>
            <w:vAlign w:val="bottom"/>
          </w:tcPr>
          <w:p>
            <w:pPr>
              <w:spacing w:after="0"/>
              <w:rPr>
                <w:sz w:val="9"/>
                <w:szCs w:val="9"/>
                <w:color w:val="auto"/>
              </w:rPr>
            </w:pPr>
          </w:p>
        </w:tc>
        <w:tc>
          <w:tcPr>
            <w:tcW w:w="480" w:type="dxa"/>
            <w:vAlign w:val="bottom"/>
          </w:tcPr>
          <w:p>
            <w:pPr>
              <w:jc w:val="right"/>
              <w:ind w:right="89"/>
              <w:spacing w:after="0" w:line="113" w:lineRule="exact"/>
              <w:rPr>
                <w:sz w:val="20"/>
                <w:szCs w:val="20"/>
                <w:color w:val="auto"/>
              </w:rPr>
            </w:pPr>
            <w:r>
              <w:rPr>
                <w:rFonts w:ascii="Arial" w:cs="Arial" w:eastAsia="Arial" w:hAnsi="Arial"/>
                <w:sz w:val="10"/>
                <w:szCs w:val="10"/>
                <w:color w:val="auto"/>
              </w:rPr>
              <w:t>323</w:t>
            </w:r>
          </w:p>
        </w:tc>
        <w:tc>
          <w:tcPr>
            <w:tcW w:w="180" w:type="dxa"/>
            <w:vAlign w:val="bottom"/>
          </w:tcPr>
          <w:p>
            <w:pPr>
              <w:spacing w:after="0"/>
              <w:rPr>
                <w:sz w:val="9"/>
                <w:szCs w:val="9"/>
                <w:color w:val="auto"/>
              </w:rPr>
            </w:pPr>
          </w:p>
        </w:tc>
        <w:tc>
          <w:tcPr>
            <w:tcW w:w="940" w:type="dxa"/>
            <w:vAlign w:val="bottom"/>
          </w:tcPr>
          <w:p>
            <w:pPr>
              <w:jc w:val="right"/>
              <w:ind w:right="9"/>
              <w:spacing w:after="0" w:line="113" w:lineRule="exact"/>
              <w:rPr>
                <w:sz w:val="20"/>
                <w:szCs w:val="20"/>
                <w:color w:val="auto"/>
              </w:rPr>
            </w:pPr>
            <w:r>
              <w:rPr>
                <w:rFonts w:ascii="Arial" w:cs="Arial" w:eastAsia="Arial" w:hAnsi="Arial"/>
                <w:sz w:val="10"/>
                <w:szCs w:val="10"/>
                <w:color w:val="auto"/>
              </w:rPr>
              <w:t>—</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jc w:val="right"/>
              <w:ind w:right="109"/>
              <w:spacing w:after="0" w:line="113" w:lineRule="exact"/>
              <w:rPr>
                <w:sz w:val="20"/>
                <w:szCs w:val="20"/>
                <w:color w:val="auto"/>
              </w:rPr>
            </w:pPr>
            <w:r>
              <w:rPr>
                <w:rFonts w:ascii="Arial" w:cs="Arial" w:eastAsia="Arial" w:hAnsi="Arial"/>
                <w:sz w:val="10"/>
                <w:szCs w:val="10"/>
                <w:color w:val="auto"/>
              </w:rPr>
              <w:t>—</w:t>
            </w:r>
          </w:p>
        </w:tc>
        <w:tc>
          <w:tcPr>
            <w:tcW w:w="280" w:type="dxa"/>
            <w:vAlign w:val="bottom"/>
          </w:tcPr>
          <w:p>
            <w:pPr>
              <w:spacing w:after="0"/>
              <w:rPr>
                <w:sz w:val="9"/>
                <w:szCs w:val="9"/>
                <w:color w:val="auto"/>
              </w:rPr>
            </w:pPr>
          </w:p>
        </w:tc>
        <w:tc>
          <w:tcPr>
            <w:tcW w:w="680" w:type="dxa"/>
            <w:vAlign w:val="bottom"/>
          </w:tcPr>
          <w:p>
            <w:pPr>
              <w:jc w:val="right"/>
              <w:spacing w:after="0" w:line="113" w:lineRule="exact"/>
              <w:rPr>
                <w:sz w:val="20"/>
                <w:szCs w:val="20"/>
                <w:color w:val="auto"/>
              </w:rPr>
            </w:pPr>
            <w:r>
              <w:rPr>
                <w:rFonts w:ascii="Arial" w:cs="Arial" w:eastAsia="Arial" w:hAnsi="Arial"/>
                <w:sz w:val="10"/>
                <w:szCs w:val="10"/>
                <w:color w:val="auto"/>
              </w:rPr>
              <w:t>323</w:t>
            </w:r>
          </w:p>
        </w:tc>
      </w:tr>
      <w:tr>
        <w:trPr>
          <w:trHeight w:val="113"/>
        </w:trPr>
        <w:tc>
          <w:tcPr>
            <w:tcW w:w="330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Cash dividends declared on common stock ($0.70 per share)</w:t>
            </w:r>
          </w:p>
        </w:tc>
        <w:tc>
          <w:tcPr>
            <w:tcW w:w="640" w:type="dxa"/>
            <w:vAlign w:val="bottom"/>
            <w:shd w:val="clear" w:color="auto" w:fill="CCEEFF"/>
          </w:tcPr>
          <w:p>
            <w:pPr>
              <w:jc w:val="right"/>
              <w:ind w:right="29"/>
              <w:spacing w:after="0" w:line="113" w:lineRule="exact"/>
              <w:rPr>
                <w:sz w:val="20"/>
                <w:szCs w:val="20"/>
                <w:color w:val="auto"/>
              </w:rPr>
            </w:pPr>
            <w:r>
              <w:rPr>
                <w:rFonts w:ascii="Arial" w:cs="Arial" w:eastAsia="Arial" w:hAnsi="Arial"/>
                <w:sz w:val="10"/>
                <w:szCs w:val="10"/>
                <w:color w:val="auto"/>
              </w:rPr>
              <w:t>—</w:t>
            </w:r>
          </w:p>
        </w:tc>
        <w:tc>
          <w:tcPr>
            <w:tcW w:w="36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180"/>
              <w:spacing w:after="0" w:line="113" w:lineRule="exact"/>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89"/>
              <w:spacing w:after="0" w:line="113" w:lineRule="exact"/>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9"/>
                <w:szCs w:val="9"/>
                <w:color w:val="auto"/>
              </w:rPr>
            </w:pPr>
          </w:p>
        </w:tc>
        <w:tc>
          <w:tcPr>
            <w:tcW w:w="480" w:type="dxa"/>
            <w:vAlign w:val="bottom"/>
            <w:shd w:val="clear" w:color="auto" w:fill="CCEEFF"/>
          </w:tcPr>
          <w:p>
            <w:pPr>
              <w:jc w:val="right"/>
              <w:ind w:right="49"/>
              <w:spacing w:after="0" w:line="113" w:lineRule="exact"/>
              <w:rPr>
                <w:sz w:val="20"/>
                <w:szCs w:val="20"/>
                <w:color w:val="auto"/>
              </w:rPr>
            </w:pPr>
            <w:r>
              <w:rPr>
                <w:rFonts w:ascii="Arial" w:cs="Arial" w:eastAsia="Arial" w:hAnsi="Arial"/>
                <w:sz w:val="10"/>
                <w:szCs w:val="10"/>
                <w:color w:val="auto"/>
              </w:rPr>
              <w:t>(73)</w:t>
            </w:r>
          </w:p>
        </w:tc>
        <w:tc>
          <w:tcPr>
            <w:tcW w:w="180" w:type="dxa"/>
            <w:vAlign w:val="bottom"/>
            <w:shd w:val="clear" w:color="auto" w:fill="CCEEFF"/>
          </w:tcPr>
          <w:p>
            <w:pPr>
              <w:spacing w:after="0"/>
              <w:rPr>
                <w:sz w:val="9"/>
                <w:szCs w:val="9"/>
                <w:color w:val="auto"/>
              </w:rPr>
            </w:pPr>
          </w:p>
        </w:tc>
        <w:tc>
          <w:tcPr>
            <w:tcW w:w="940" w:type="dxa"/>
            <w:vAlign w:val="bottom"/>
            <w:shd w:val="clear" w:color="auto" w:fill="CCEEFF"/>
          </w:tcPr>
          <w:p>
            <w:pPr>
              <w:jc w:val="right"/>
              <w:ind w:right="9"/>
              <w:spacing w:after="0" w:line="113" w:lineRule="exact"/>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jc w:val="right"/>
              <w:ind w:right="109"/>
              <w:spacing w:after="0" w:line="113"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(73)</w:t>
            </w:r>
          </w:p>
        </w:tc>
      </w:tr>
      <w:tr>
        <w:trPr>
          <w:trHeight w:val="113"/>
        </w:trPr>
        <w:tc>
          <w:tcPr>
            <w:tcW w:w="3300" w:type="dxa"/>
            <w:vAlign w:val="bottom"/>
          </w:tcPr>
          <w:p>
            <w:pPr>
              <w:spacing w:after="0" w:line="113" w:lineRule="exact"/>
              <w:rPr>
                <w:sz w:val="20"/>
                <w:szCs w:val="20"/>
                <w:color w:val="auto"/>
              </w:rPr>
            </w:pPr>
            <w:r>
              <w:rPr>
                <w:rFonts w:ascii="Arial" w:cs="Arial" w:eastAsia="Arial" w:hAnsi="Arial"/>
                <w:sz w:val="10"/>
                <w:szCs w:val="10"/>
                <w:color w:val="auto"/>
              </w:rPr>
              <w:t>Translation adjustment, net of tax</w:t>
            </w:r>
          </w:p>
        </w:tc>
        <w:tc>
          <w:tcPr>
            <w:tcW w:w="640" w:type="dxa"/>
            <w:vAlign w:val="bottom"/>
          </w:tcPr>
          <w:p>
            <w:pPr>
              <w:jc w:val="right"/>
              <w:ind w:right="29"/>
              <w:spacing w:after="0" w:line="113" w:lineRule="exact"/>
              <w:rPr>
                <w:sz w:val="20"/>
                <w:szCs w:val="20"/>
                <w:color w:val="auto"/>
              </w:rPr>
            </w:pPr>
            <w:r>
              <w:rPr>
                <w:rFonts w:ascii="Arial" w:cs="Arial" w:eastAsia="Arial" w:hAnsi="Arial"/>
                <w:sz w:val="10"/>
                <w:szCs w:val="10"/>
                <w:color w:val="auto"/>
              </w:rPr>
              <w:t>—</w:t>
            </w:r>
          </w:p>
        </w:tc>
        <w:tc>
          <w:tcPr>
            <w:tcW w:w="360" w:type="dxa"/>
            <w:vAlign w:val="bottom"/>
          </w:tcPr>
          <w:p>
            <w:pPr>
              <w:spacing w:after="0"/>
              <w:rPr>
                <w:sz w:val="9"/>
                <w:szCs w:val="9"/>
                <w:color w:val="auto"/>
              </w:rPr>
            </w:pPr>
          </w:p>
        </w:tc>
        <w:tc>
          <w:tcPr>
            <w:tcW w:w="380" w:type="dxa"/>
            <w:vAlign w:val="bottom"/>
            <w:gridSpan w:val="2"/>
          </w:tcPr>
          <w:p>
            <w:pPr>
              <w:jc w:val="right"/>
              <w:ind w:right="180"/>
              <w:spacing w:after="0" w:line="113" w:lineRule="exact"/>
              <w:rPr>
                <w:sz w:val="20"/>
                <w:szCs w:val="20"/>
                <w:color w:val="auto"/>
              </w:rPr>
            </w:pPr>
            <w:r>
              <w:rPr>
                <w:rFonts w:ascii="Arial" w:cs="Arial" w:eastAsia="Arial" w:hAnsi="Arial"/>
                <w:sz w:val="10"/>
                <w:szCs w:val="10"/>
                <w:color w:val="auto"/>
              </w:rPr>
              <w:t>—</w:t>
            </w:r>
          </w:p>
        </w:tc>
        <w:tc>
          <w:tcPr>
            <w:tcW w:w="580" w:type="dxa"/>
            <w:vAlign w:val="bottom"/>
          </w:tcPr>
          <w:p>
            <w:pPr>
              <w:jc w:val="right"/>
              <w:ind w:right="89"/>
              <w:spacing w:after="0" w:line="113" w:lineRule="exact"/>
              <w:rPr>
                <w:sz w:val="20"/>
                <w:szCs w:val="20"/>
                <w:color w:val="auto"/>
              </w:rPr>
            </w:pPr>
            <w:r>
              <w:rPr>
                <w:rFonts w:ascii="Arial" w:cs="Arial" w:eastAsia="Arial" w:hAnsi="Arial"/>
                <w:sz w:val="10"/>
                <w:szCs w:val="10"/>
                <w:color w:val="auto"/>
              </w:rPr>
              <w:t>—</w:t>
            </w:r>
          </w:p>
        </w:tc>
        <w:tc>
          <w:tcPr>
            <w:tcW w:w="240" w:type="dxa"/>
            <w:vAlign w:val="bottom"/>
          </w:tcPr>
          <w:p>
            <w:pPr>
              <w:spacing w:after="0"/>
              <w:rPr>
                <w:sz w:val="9"/>
                <w:szCs w:val="9"/>
                <w:color w:val="auto"/>
              </w:rPr>
            </w:pPr>
          </w:p>
        </w:tc>
        <w:tc>
          <w:tcPr>
            <w:tcW w:w="420" w:type="dxa"/>
            <w:vAlign w:val="bottom"/>
            <w:gridSpan w:val="2"/>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260" w:type="dxa"/>
            <w:vAlign w:val="bottom"/>
          </w:tcPr>
          <w:p>
            <w:pPr>
              <w:spacing w:after="0"/>
              <w:rPr>
                <w:sz w:val="9"/>
                <w:szCs w:val="9"/>
                <w:color w:val="auto"/>
              </w:rPr>
            </w:pPr>
          </w:p>
        </w:tc>
        <w:tc>
          <w:tcPr>
            <w:tcW w:w="480" w:type="dxa"/>
            <w:vAlign w:val="bottom"/>
          </w:tcPr>
          <w:p>
            <w:pPr>
              <w:jc w:val="right"/>
              <w:ind w:right="89"/>
              <w:spacing w:after="0" w:line="113"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940" w:type="dxa"/>
            <w:vAlign w:val="bottom"/>
          </w:tcPr>
          <w:p>
            <w:pPr>
              <w:jc w:val="right"/>
              <w:ind w:right="9"/>
              <w:spacing w:after="0" w:line="113" w:lineRule="exact"/>
              <w:rPr>
                <w:sz w:val="20"/>
                <w:szCs w:val="20"/>
                <w:color w:val="auto"/>
              </w:rPr>
            </w:pPr>
            <w:r>
              <w:rPr>
                <w:rFonts w:ascii="Arial" w:cs="Arial" w:eastAsia="Arial" w:hAnsi="Arial"/>
                <w:sz w:val="10"/>
                <w:szCs w:val="10"/>
                <w:color w:val="auto"/>
              </w:rPr>
              <w:t>40</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Pr>
          <w:p>
            <w:pPr>
              <w:jc w:val="right"/>
              <w:ind w:right="109"/>
              <w:spacing w:after="0" w:line="113" w:lineRule="exact"/>
              <w:rPr>
                <w:sz w:val="20"/>
                <w:szCs w:val="20"/>
                <w:color w:val="auto"/>
              </w:rPr>
            </w:pPr>
            <w:r>
              <w:rPr>
                <w:rFonts w:ascii="Arial" w:cs="Arial" w:eastAsia="Arial" w:hAnsi="Arial"/>
                <w:sz w:val="10"/>
                <w:szCs w:val="10"/>
                <w:color w:val="auto"/>
              </w:rPr>
              <w:t>—</w:t>
            </w:r>
          </w:p>
        </w:tc>
        <w:tc>
          <w:tcPr>
            <w:tcW w:w="280" w:type="dxa"/>
            <w:vAlign w:val="bottom"/>
          </w:tcPr>
          <w:p>
            <w:pPr>
              <w:spacing w:after="0"/>
              <w:rPr>
                <w:sz w:val="9"/>
                <w:szCs w:val="9"/>
                <w:color w:val="auto"/>
              </w:rPr>
            </w:pPr>
          </w:p>
        </w:tc>
        <w:tc>
          <w:tcPr>
            <w:tcW w:w="680" w:type="dxa"/>
            <w:vAlign w:val="bottom"/>
          </w:tcPr>
          <w:p>
            <w:pPr>
              <w:jc w:val="right"/>
              <w:spacing w:after="0" w:line="113" w:lineRule="exact"/>
              <w:rPr>
                <w:sz w:val="20"/>
                <w:szCs w:val="20"/>
                <w:color w:val="auto"/>
              </w:rPr>
            </w:pPr>
            <w:r>
              <w:rPr>
                <w:rFonts w:ascii="Arial" w:cs="Arial" w:eastAsia="Arial" w:hAnsi="Arial"/>
                <w:sz w:val="10"/>
                <w:szCs w:val="10"/>
                <w:color w:val="auto"/>
              </w:rPr>
              <w:t>40</w:t>
            </w:r>
          </w:p>
        </w:tc>
      </w:tr>
      <w:tr>
        <w:trPr>
          <w:trHeight w:val="113"/>
        </w:trPr>
        <w:tc>
          <w:tcPr>
            <w:tcW w:w="3300" w:type="dxa"/>
            <w:vAlign w:val="bottom"/>
            <w:shd w:val="clear" w:color="auto" w:fill="CCEEFF"/>
          </w:tcPr>
          <w:p>
            <w:pPr>
              <w:spacing w:after="0" w:line="113" w:lineRule="exact"/>
              <w:rPr>
                <w:sz w:val="20"/>
                <w:szCs w:val="20"/>
                <w:color w:val="auto"/>
              </w:rPr>
            </w:pPr>
            <w:r>
              <w:rPr>
                <w:rFonts w:ascii="Arial" w:cs="Arial" w:eastAsia="Arial" w:hAnsi="Arial"/>
                <w:sz w:val="10"/>
                <w:szCs w:val="10"/>
                <w:color w:val="auto"/>
              </w:rPr>
              <w:t>Change in cash flow hedges, net of tax</w:t>
            </w:r>
          </w:p>
        </w:tc>
        <w:tc>
          <w:tcPr>
            <w:tcW w:w="640" w:type="dxa"/>
            <w:vAlign w:val="bottom"/>
            <w:shd w:val="clear" w:color="auto" w:fill="CCEEFF"/>
          </w:tcPr>
          <w:p>
            <w:pPr>
              <w:jc w:val="right"/>
              <w:ind w:right="29"/>
              <w:spacing w:after="0" w:line="113" w:lineRule="exact"/>
              <w:rPr>
                <w:sz w:val="20"/>
                <w:szCs w:val="20"/>
                <w:color w:val="auto"/>
              </w:rPr>
            </w:pPr>
            <w:r>
              <w:rPr>
                <w:rFonts w:ascii="Arial" w:cs="Arial" w:eastAsia="Arial" w:hAnsi="Arial"/>
                <w:sz w:val="10"/>
                <w:szCs w:val="10"/>
                <w:color w:val="auto"/>
              </w:rPr>
              <w:t>—</w:t>
            </w:r>
          </w:p>
        </w:tc>
        <w:tc>
          <w:tcPr>
            <w:tcW w:w="36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180"/>
              <w:spacing w:after="0" w:line="113" w:lineRule="exact"/>
              <w:rPr>
                <w:sz w:val="20"/>
                <w:szCs w:val="20"/>
                <w:color w:val="auto"/>
              </w:rPr>
            </w:pPr>
            <w:r>
              <w:rPr>
                <w:rFonts w:ascii="Arial" w:cs="Arial" w:eastAsia="Arial" w:hAnsi="Arial"/>
                <w:sz w:val="10"/>
                <w:szCs w:val="10"/>
                <w:color w:val="auto"/>
              </w:rPr>
              <w:t>—</w:t>
            </w:r>
          </w:p>
        </w:tc>
        <w:tc>
          <w:tcPr>
            <w:tcW w:w="580" w:type="dxa"/>
            <w:vAlign w:val="bottom"/>
            <w:shd w:val="clear" w:color="auto" w:fill="CCEEFF"/>
          </w:tcPr>
          <w:p>
            <w:pPr>
              <w:jc w:val="right"/>
              <w:ind w:right="89"/>
              <w:spacing w:after="0" w:line="113" w:lineRule="exact"/>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9"/>
                <w:szCs w:val="9"/>
                <w:color w:val="auto"/>
              </w:rPr>
            </w:pPr>
          </w:p>
        </w:tc>
        <w:tc>
          <w:tcPr>
            <w:tcW w:w="480" w:type="dxa"/>
            <w:vAlign w:val="bottom"/>
            <w:shd w:val="clear" w:color="auto" w:fill="CCEEFF"/>
          </w:tcPr>
          <w:p>
            <w:pPr>
              <w:jc w:val="right"/>
              <w:ind w:right="89"/>
              <w:spacing w:after="0" w:line="113" w:lineRule="exact"/>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9"/>
                <w:szCs w:val="9"/>
                <w:color w:val="auto"/>
              </w:rPr>
            </w:pPr>
          </w:p>
        </w:tc>
        <w:tc>
          <w:tcPr>
            <w:tcW w:w="940" w:type="dxa"/>
            <w:vAlign w:val="bottom"/>
            <w:shd w:val="clear" w:color="auto" w:fill="CCEEFF"/>
          </w:tcPr>
          <w:p>
            <w:pPr>
              <w:jc w:val="right"/>
              <w:ind w:right="9"/>
              <w:spacing w:after="0" w:line="113" w:lineRule="exact"/>
              <w:rPr>
                <w:sz w:val="20"/>
                <w:szCs w:val="20"/>
                <w:color w:val="auto"/>
              </w:rPr>
            </w:pPr>
            <w:r>
              <w:rPr>
                <w:rFonts w:ascii="Arial" w:cs="Arial" w:eastAsia="Arial" w:hAnsi="Arial"/>
                <w:sz w:val="10"/>
                <w:szCs w:val="10"/>
                <w:color w:val="auto"/>
              </w:rPr>
              <w:t>2</w:t>
            </w: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jc w:val="right"/>
              <w:ind w:right="109"/>
              <w:spacing w:after="0" w:line="113" w:lineRule="exact"/>
              <w:rPr>
                <w:sz w:val="20"/>
                <w:szCs w:val="20"/>
                <w:color w:val="auto"/>
              </w:rPr>
            </w:pPr>
            <w:r>
              <w:rPr>
                <w:rFonts w:ascii="Arial" w:cs="Arial" w:eastAsia="Arial" w:hAnsi="Arial"/>
                <w:sz w:val="10"/>
                <w:szCs w:val="10"/>
                <w:color w:val="auto"/>
              </w:rPr>
              <w:t>—</w:t>
            </w:r>
          </w:p>
        </w:tc>
        <w:tc>
          <w:tcPr>
            <w:tcW w:w="280" w:type="dxa"/>
            <w:vAlign w:val="bottom"/>
            <w:shd w:val="clear" w:color="auto" w:fill="CCEEFF"/>
          </w:tcPr>
          <w:p>
            <w:pPr>
              <w:spacing w:after="0"/>
              <w:rPr>
                <w:sz w:val="9"/>
                <w:szCs w:val="9"/>
                <w:color w:val="auto"/>
              </w:rPr>
            </w:pPr>
          </w:p>
        </w:tc>
        <w:tc>
          <w:tcPr>
            <w:tcW w:w="680" w:type="dxa"/>
            <w:vAlign w:val="bottom"/>
            <w:shd w:val="clear" w:color="auto" w:fill="CCEEFF"/>
          </w:tcPr>
          <w:p>
            <w:pPr>
              <w:jc w:val="right"/>
              <w:spacing w:after="0" w:line="113" w:lineRule="exact"/>
              <w:rPr>
                <w:sz w:val="20"/>
                <w:szCs w:val="20"/>
                <w:color w:val="auto"/>
              </w:rPr>
            </w:pPr>
            <w:r>
              <w:rPr>
                <w:rFonts w:ascii="Arial" w:cs="Arial" w:eastAsia="Arial" w:hAnsi="Arial"/>
                <w:sz w:val="10"/>
                <w:szCs w:val="10"/>
                <w:color w:val="auto"/>
              </w:rPr>
              <w:t>2</w:t>
            </w:r>
          </w:p>
        </w:tc>
      </w:tr>
      <w:tr>
        <w:trPr>
          <w:trHeight w:val="113"/>
        </w:trPr>
        <w:tc>
          <w:tcPr>
            <w:tcW w:w="3300" w:type="dxa"/>
            <w:vAlign w:val="bottom"/>
            <w:tcBorders>
              <w:bottom w:val="single" w:sz="8" w:color="auto"/>
            </w:tcBorders>
          </w:tcPr>
          <w:p>
            <w:pPr>
              <w:spacing w:after="0" w:line="113" w:lineRule="exact"/>
              <w:rPr>
                <w:sz w:val="20"/>
                <w:szCs w:val="20"/>
                <w:color w:val="auto"/>
              </w:rPr>
            </w:pPr>
            <w:r>
              <w:rPr>
                <w:rFonts w:ascii="Arial" w:cs="Arial" w:eastAsia="Arial" w:hAnsi="Arial"/>
                <w:sz w:val="10"/>
                <w:szCs w:val="10"/>
                <w:color w:val="auto"/>
              </w:rPr>
              <w:t>Pension and postretirement adjustments, net of tax</w:t>
            </w:r>
          </w:p>
        </w:tc>
        <w:tc>
          <w:tcPr>
            <w:tcW w:w="640" w:type="dxa"/>
            <w:vAlign w:val="bottom"/>
            <w:tcBorders>
              <w:bottom w:val="single" w:sz="8" w:color="auto"/>
            </w:tcBorders>
          </w:tcPr>
          <w:p>
            <w:pPr>
              <w:jc w:val="right"/>
              <w:ind w:right="29"/>
              <w:spacing w:after="0" w:line="113" w:lineRule="exact"/>
              <w:rPr>
                <w:sz w:val="20"/>
                <w:szCs w:val="20"/>
                <w:color w:val="auto"/>
              </w:rPr>
            </w:pPr>
            <w:r>
              <w:rPr>
                <w:rFonts w:ascii="Arial" w:cs="Arial" w:eastAsia="Arial" w:hAnsi="Arial"/>
                <w:sz w:val="10"/>
                <w:szCs w:val="10"/>
                <w:color w:val="auto"/>
              </w:rPr>
              <w:t>—</w:t>
            </w:r>
          </w:p>
        </w:tc>
        <w:tc>
          <w:tcPr>
            <w:tcW w:w="3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gridSpan w:val="2"/>
          </w:tcPr>
          <w:p>
            <w:pPr>
              <w:jc w:val="right"/>
              <w:ind w:right="180"/>
              <w:spacing w:after="0" w:line="113" w:lineRule="exact"/>
              <w:rPr>
                <w:sz w:val="20"/>
                <w:szCs w:val="20"/>
                <w:color w:val="auto"/>
              </w:rPr>
            </w:pPr>
            <w:r>
              <w:rPr>
                <w:rFonts w:ascii="Arial" w:cs="Arial" w:eastAsia="Arial" w:hAnsi="Arial"/>
                <w:sz w:val="10"/>
                <w:szCs w:val="10"/>
                <w:color w:val="auto"/>
              </w:rPr>
              <w:t>—</w:t>
            </w:r>
          </w:p>
        </w:tc>
        <w:tc>
          <w:tcPr>
            <w:tcW w:w="580" w:type="dxa"/>
            <w:vAlign w:val="bottom"/>
            <w:tcBorders>
              <w:bottom w:val="single" w:sz="8" w:color="auto"/>
            </w:tcBorders>
          </w:tcPr>
          <w:p>
            <w:pPr>
              <w:jc w:val="right"/>
              <w:ind w:right="89"/>
              <w:spacing w:after="0" w:line="113" w:lineRule="exact"/>
              <w:rPr>
                <w:sz w:val="20"/>
                <w:szCs w:val="20"/>
                <w:color w:val="auto"/>
              </w:rPr>
            </w:pPr>
            <w:r>
              <w:rPr>
                <w:rFonts w:ascii="Arial" w:cs="Arial" w:eastAsia="Arial" w:hAnsi="Arial"/>
                <w:sz w:val="10"/>
                <w:szCs w:val="10"/>
                <w:color w:val="auto"/>
              </w:rPr>
              <w:t>—</w:t>
            </w:r>
          </w:p>
        </w:tc>
        <w:tc>
          <w:tcPr>
            <w:tcW w:w="2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gridSpan w:val="2"/>
          </w:tcPr>
          <w:p>
            <w:pPr>
              <w:jc w:val="right"/>
              <w:ind w:right="140"/>
              <w:spacing w:after="0" w:line="113" w:lineRule="exact"/>
              <w:rPr>
                <w:sz w:val="20"/>
                <w:szCs w:val="20"/>
                <w:color w:val="auto"/>
              </w:rPr>
            </w:pPr>
            <w:r>
              <w:rPr>
                <w:rFonts w:ascii="Arial" w:cs="Arial" w:eastAsia="Arial" w:hAnsi="Arial"/>
                <w:sz w:val="10"/>
                <w:szCs w:val="10"/>
                <w:color w:val="auto"/>
              </w:rPr>
              <w:t>—</w:t>
            </w:r>
          </w:p>
        </w:tc>
        <w:tc>
          <w:tcPr>
            <w:tcW w:w="2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jc w:val="right"/>
              <w:ind w:right="89"/>
              <w:spacing w:after="0" w:line="113" w:lineRule="exact"/>
              <w:rPr>
                <w:sz w:val="20"/>
                <w:szCs w:val="20"/>
                <w:color w:val="auto"/>
              </w:rPr>
            </w:pPr>
            <w:r>
              <w:rPr>
                <w:rFonts w:ascii="Arial" w:cs="Arial" w:eastAsia="Arial" w:hAnsi="Arial"/>
                <w:sz w:val="10"/>
                <w:szCs w:val="10"/>
                <w:color w:val="auto"/>
              </w:rPr>
              <w:t>—</w:t>
            </w:r>
          </w:p>
        </w:tc>
        <w:tc>
          <w:tcPr>
            <w:tcW w:w="1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jc w:val="right"/>
              <w:ind w:right="9"/>
              <w:spacing w:after="0" w:line="113" w:lineRule="exact"/>
              <w:rPr>
                <w:sz w:val="20"/>
                <w:szCs w:val="20"/>
                <w:color w:val="auto"/>
              </w:rPr>
            </w:pPr>
            <w:r>
              <w:rPr>
                <w:rFonts w:ascii="Arial" w:cs="Arial" w:eastAsia="Arial" w:hAnsi="Arial"/>
                <w:sz w:val="10"/>
                <w:szCs w:val="10"/>
                <w:color w:val="auto"/>
              </w:rPr>
              <w:t>21</w:t>
            </w: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jc w:val="right"/>
              <w:ind w:right="109"/>
              <w:spacing w:after="0" w:line="113" w:lineRule="exact"/>
              <w:rPr>
                <w:sz w:val="20"/>
                <w:szCs w:val="20"/>
                <w:color w:val="auto"/>
              </w:rPr>
            </w:pPr>
            <w:r>
              <w:rPr>
                <w:rFonts w:ascii="Arial" w:cs="Arial" w:eastAsia="Arial" w:hAnsi="Arial"/>
                <w:sz w:val="10"/>
                <w:szCs w:val="10"/>
                <w:color w:val="auto"/>
              </w:rPr>
              <w:t>—</w:t>
            </w:r>
          </w:p>
        </w:tc>
        <w:tc>
          <w:tcPr>
            <w:tcW w:w="2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spacing w:after="0" w:line="113" w:lineRule="exact"/>
              <w:rPr>
                <w:sz w:val="20"/>
                <w:szCs w:val="20"/>
                <w:color w:val="auto"/>
              </w:rPr>
            </w:pPr>
            <w:r>
              <w:rPr>
                <w:rFonts w:ascii="Arial" w:cs="Arial" w:eastAsia="Arial" w:hAnsi="Arial"/>
                <w:sz w:val="10"/>
                <w:szCs w:val="10"/>
                <w:color w:val="auto"/>
              </w:rPr>
              <w:t>21</w:t>
            </w:r>
          </w:p>
        </w:tc>
      </w:tr>
      <w:tr>
        <w:trPr>
          <w:trHeight w:val="103"/>
        </w:trPr>
        <w:tc>
          <w:tcPr>
            <w:tcW w:w="3300" w:type="dxa"/>
            <w:vAlign w:val="bottom"/>
            <w:tcBorders>
              <w:bottom w:val="single" w:sz="8" w:color="auto"/>
            </w:tcBorders>
            <w:shd w:val="clear" w:color="auto" w:fill="CCEEFF"/>
          </w:tcPr>
          <w:p>
            <w:pPr>
              <w:spacing w:after="0" w:line="104" w:lineRule="exact"/>
              <w:rPr>
                <w:sz w:val="20"/>
                <w:szCs w:val="20"/>
                <w:color w:val="auto"/>
              </w:rPr>
            </w:pPr>
            <w:r>
              <w:rPr>
                <w:rFonts w:ascii="Arial" w:cs="Arial" w:eastAsia="Arial" w:hAnsi="Arial"/>
                <w:sz w:val="10"/>
                <w:szCs w:val="10"/>
                <w:b w:val="1"/>
                <w:bCs w:val="1"/>
                <w:color w:val="auto"/>
              </w:rPr>
              <w:t>Balance at January 30, 2021</w:t>
            </w:r>
          </w:p>
        </w:tc>
        <w:tc>
          <w:tcPr>
            <w:tcW w:w="640" w:type="dxa"/>
            <w:vAlign w:val="bottom"/>
            <w:tcBorders>
              <w:bottom w:val="single" w:sz="8" w:color="auto"/>
            </w:tcBorders>
            <w:shd w:val="clear" w:color="auto" w:fill="CCEEFF"/>
          </w:tcPr>
          <w:p>
            <w:pPr>
              <w:jc w:val="right"/>
              <w:ind w:right="29"/>
              <w:spacing w:after="0" w:line="104" w:lineRule="exact"/>
              <w:rPr>
                <w:sz w:val="20"/>
                <w:szCs w:val="20"/>
                <w:color w:val="auto"/>
              </w:rPr>
            </w:pPr>
            <w:r>
              <w:rPr>
                <w:rFonts w:ascii="Arial" w:cs="Arial" w:eastAsia="Arial" w:hAnsi="Arial"/>
                <w:sz w:val="10"/>
                <w:szCs w:val="10"/>
                <w:b w:val="1"/>
                <w:bCs w:val="1"/>
                <w:color w:val="auto"/>
              </w:rPr>
              <w:t>103,693</w:t>
            </w:r>
          </w:p>
        </w:tc>
        <w:tc>
          <w:tcPr>
            <w:tcW w:w="360" w:type="dxa"/>
            <w:vAlign w:val="bottom"/>
            <w:tcBorders>
              <w:bottom w:val="single" w:sz="8" w:color="auto"/>
            </w:tcBorders>
            <w:shd w:val="clear" w:color="auto" w:fill="CCEEFF"/>
          </w:tcPr>
          <w:p>
            <w:pPr>
              <w:jc w:val="right"/>
              <w:ind w:right="209"/>
              <w:spacing w:after="0" w:line="104" w:lineRule="exact"/>
              <w:rPr>
                <w:sz w:val="20"/>
                <w:szCs w:val="20"/>
                <w:color w:val="auto"/>
              </w:rPr>
            </w:pPr>
            <w:r>
              <w:rPr>
                <w:rFonts w:ascii="Arial" w:cs="Arial" w:eastAsia="Arial" w:hAnsi="Arial"/>
                <w:sz w:val="10"/>
                <w:szCs w:val="10"/>
                <w:b w:val="1"/>
                <w:bCs w:val="1"/>
                <w:color w:val="auto"/>
              </w:rPr>
              <w:t>$</w:t>
            </w:r>
          </w:p>
        </w:tc>
        <w:tc>
          <w:tcPr>
            <w:tcW w:w="240" w:type="dxa"/>
            <w:vAlign w:val="bottom"/>
            <w:tcBorders>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779</w:t>
            </w:r>
          </w:p>
        </w:tc>
        <w:tc>
          <w:tcPr>
            <w:tcW w:w="140" w:type="dxa"/>
            <w:vAlign w:val="bottom"/>
            <w:tcBorders>
              <w:bottom w:val="single" w:sz="8" w:color="auto"/>
            </w:tcBorders>
            <w:shd w:val="clear" w:color="auto" w:fill="CCEEFF"/>
          </w:tcPr>
          <w:p>
            <w:pPr>
              <w:spacing w:after="0"/>
              <w:rPr>
                <w:sz w:val="8"/>
                <w:szCs w:val="8"/>
                <w:color w:val="auto"/>
              </w:rPr>
            </w:pPr>
          </w:p>
        </w:tc>
        <w:tc>
          <w:tcPr>
            <w:tcW w:w="580" w:type="dxa"/>
            <w:vAlign w:val="bottom"/>
            <w:tcBorders>
              <w:bottom w:val="single" w:sz="8" w:color="auto"/>
            </w:tcBorders>
            <w:shd w:val="clear" w:color="auto" w:fill="CCEEFF"/>
          </w:tcPr>
          <w:p>
            <w:pPr>
              <w:jc w:val="right"/>
              <w:ind w:right="49"/>
              <w:spacing w:after="0" w:line="104" w:lineRule="exact"/>
              <w:rPr>
                <w:sz w:val="20"/>
                <w:szCs w:val="20"/>
                <w:color w:val="auto"/>
              </w:rPr>
            </w:pPr>
            <w:r>
              <w:rPr>
                <w:rFonts w:ascii="Arial" w:cs="Arial" w:eastAsia="Arial" w:hAnsi="Arial"/>
                <w:sz w:val="10"/>
                <w:szCs w:val="10"/>
                <w:b w:val="1"/>
                <w:bCs w:val="1"/>
                <w:color w:val="auto"/>
              </w:rPr>
              <w:t>(74)</w:t>
            </w:r>
          </w:p>
        </w:tc>
        <w:tc>
          <w:tcPr>
            <w:tcW w:w="240" w:type="dxa"/>
            <w:vAlign w:val="bottom"/>
            <w:tcBorders>
              <w:bottom w:val="single" w:sz="8" w:color="auto"/>
            </w:tcBorders>
            <w:shd w:val="clear" w:color="auto" w:fill="CCEEFF"/>
          </w:tcPr>
          <w:p>
            <w:pPr>
              <w:jc w:val="right"/>
              <w:ind w:right="49"/>
              <w:spacing w:after="0" w:line="104" w:lineRule="exact"/>
              <w:rPr>
                <w:sz w:val="20"/>
                <w:szCs w:val="20"/>
                <w:color w:val="auto"/>
              </w:rPr>
            </w:pPr>
            <w:r>
              <w:rPr>
                <w:rFonts w:ascii="Arial" w:cs="Arial" w:eastAsia="Arial" w:hAnsi="Arial"/>
                <w:sz w:val="10"/>
                <w:szCs w:val="10"/>
                <w:b w:val="1"/>
                <w:bCs w:val="1"/>
                <w:color w:val="auto"/>
              </w:rPr>
              <w:t>$</w:t>
            </w:r>
          </w:p>
        </w:tc>
        <w:tc>
          <w:tcPr>
            <w:tcW w:w="420" w:type="dxa"/>
            <w:vAlign w:val="bottom"/>
            <w:tcBorders>
              <w:bottom w:val="single" w:sz="8" w:color="auto"/>
            </w:tcBorders>
            <w:gridSpan w:val="2"/>
            <w:shd w:val="clear" w:color="auto" w:fill="CCEEFF"/>
          </w:tcPr>
          <w:p>
            <w:pPr>
              <w:jc w:val="right"/>
              <w:ind w:right="100"/>
              <w:spacing w:after="0" w:line="104" w:lineRule="exact"/>
              <w:rPr>
                <w:sz w:val="20"/>
                <w:szCs w:val="20"/>
                <w:color w:val="auto"/>
              </w:rPr>
            </w:pPr>
            <w:r>
              <w:rPr>
                <w:rFonts w:ascii="Arial" w:cs="Arial" w:eastAsia="Arial" w:hAnsi="Arial"/>
                <w:sz w:val="10"/>
                <w:szCs w:val="10"/>
                <w:b w:val="1"/>
                <w:bCs w:val="1"/>
                <w:color w:val="auto"/>
              </w:rPr>
              <w:t>(3)</w:t>
            </w:r>
          </w:p>
        </w:tc>
        <w:tc>
          <w:tcPr>
            <w:tcW w:w="260" w:type="dxa"/>
            <w:vAlign w:val="bottom"/>
            <w:tcBorders>
              <w:bottom w:val="single" w:sz="8" w:color="auto"/>
            </w:tcBorders>
            <w:shd w:val="clear" w:color="auto" w:fill="CCEEFF"/>
          </w:tcPr>
          <w:p>
            <w:pPr>
              <w:jc w:val="right"/>
              <w:ind w:right="49"/>
              <w:spacing w:after="0" w:line="104" w:lineRule="exact"/>
              <w:rPr>
                <w:sz w:val="20"/>
                <w:szCs w:val="20"/>
                <w:color w:val="auto"/>
              </w:rPr>
            </w:pPr>
            <w:r>
              <w:rPr>
                <w:rFonts w:ascii="Arial" w:cs="Arial" w:eastAsia="Arial" w:hAnsi="Arial"/>
                <w:sz w:val="10"/>
                <w:szCs w:val="10"/>
                <w:b w:val="1"/>
                <w:bCs w:val="1"/>
                <w:color w:val="auto"/>
              </w:rPr>
              <w:t>$</w:t>
            </w:r>
          </w:p>
        </w:tc>
        <w:tc>
          <w:tcPr>
            <w:tcW w:w="480" w:type="dxa"/>
            <w:vAlign w:val="bottom"/>
            <w:tcBorders>
              <w:bottom w:val="single" w:sz="8" w:color="auto"/>
            </w:tcBorders>
            <w:shd w:val="clear" w:color="auto" w:fill="CCEEFF"/>
          </w:tcPr>
          <w:p>
            <w:pPr>
              <w:jc w:val="right"/>
              <w:ind w:right="89"/>
              <w:spacing w:after="0" w:line="104" w:lineRule="exact"/>
              <w:rPr>
                <w:sz w:val="20"/>
                <w:szCs w:val="20"/>
                <w:color w:val="auto"/>
              </w:rPr>
            </w:pPr>
            <w:r>
              <w:rPr>
                <w:rFonts w:ascii="Arial" w:cs="Arial" w:eastAsia="Arial" w:hAnsi="Arial"/>
                <w:sz w:val="10"/>
                <w:szCs w:val="10"/>
                <w:b w:val="1"/>
                <w:bCs w:val="1"/>
                <w:color w:val="auto"/>
              </w:rPr>
              <w:t>2,326</w:t>
            </w:r>
          </w:p>
        </w:tc>
        <w:tc>
          <w:tcPr>
            <w:tcW w:w="180" w:type="dxa"/>
            <w:vAlign w:val="bottom"/>
            <w:tcBorders>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w:t>
            </w:r>
          </w:p>
        </w:tc>
        <w:tc>
          <w:tcPr>
            <w:tcW w:w="940" w:type="dxa"/>
            <w:vAlign w:val="bottom"/>
            <w:tcBorders>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(331)</w:t>
            </w:r>
          </w:p>
        </w:tc>
        <w:tc>
          <w:tcPr>
            <w:tcW w:w="140" w:type="dxa"/>
            <w:vAlign w:val="bottom"/>
            <w:tcBorders>
              <w:bottom w:val="single" w:sz="8" w:color="auto"/>
            </w:tcBorders>
            <w:gridSpan w:val="2"/>
            <w:shd w:val="clear" w:color="auto" w:fill="CCEEFF"/>
          </w:tcPr>
          <w:p>
            <w:pPr>
              <w:jc w:val="right"/>
              <w:ind w:right="80"/>
              <w:spacing w:after="0" w:line="104" w:lineRule="exact"/>
              <w:rPr>
                <w:sz w:val="20"/>
                <w:szCs w:val="20"/>
                <w:color w:val="auto"/>
              </w:rPr>
            </w:pPr>
            <w:r>
              <w:rPr>
                <w:rFonts w:ascii="Arial" w:cs="Arial" w:eastAsia="Arial" w:hAnsi="Arial"/>
                <w:sz w:val="10"/>
                <w:szCs w:val="10"/>
                <w:b w:val="1"/>
                <w:bCs w:val="1"/>
                <w:color w:val="auto"/>
                <w:w w:val="71"/>
              </w:rPr>
              <w:t>$</w:t>
            </w:r>
          </w:p>
        </w:tc>
        <w:tc>
          <w:tcPr>
            <w:tcW w:w="1040" w:type="dxa"/>
            <w:vAlign w:val="bottom"/>
            <w:tcBorders>
              <w:bottom w:val="single" w:sz="8" w:color="auto"/>
            </w:tcBorders>
            <w:shd w:val="clear" w:color="auto" w:fill="CCEEFF"/>
          </w:tcPr>
          <w:p>
            <w:pPr>
              <w:jc w:val="right"/>
              <w:ind w:right="109"/>
              <w:spacing w:after="0" w:line="104" w:lineRule="exact"/>
              <w:rPr>
                <w:sz w:val="20"/>
                <w:szCs w:val="20"/>
                <w:color w:val="auto"/>
              </w:rPr>
            </w:pPr>
            <w:r>
              <w:rPr>
                <w:rFonts w:ascii="Arial" w:cs="Arial" w:eastAsia="Arial" w:hAnsi="Arial"/>
                <w:sz w:val="10"/>
                <w:szCs w:val="10"/>
                <w:b w:val="1"/>
                <w:bCs w:val="1"/>
                <w:color w:val="auto"/>
              </w:rPr>
              <w:t>5</w:t>
            </w:r>
          </w:p>
        </w:tc>
        <w:tc>
          <w:tcPr>
            <w:tcW w:w="280" w:type="dxa"/>
            <w:vAlign w:val="bottom"/>
            <w:tcBorders>
              <w:bottom w:val="single" w:sz="8" w:color="auto"/>
            </w:tcBorders>
            <w:shd w:val="clear" w:color="auto" w:fill="CCEEFF"/>
          </w:tcPr>
          <w:p>
            <w:pPr>
              <w:ind w:left="140"/>
              <w:spacing w:after="0" w:line="104" w:lineRule="exact"/>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auto"/>
            </w:tcBorders>
            <w:shd w:val="clear" w:color="auto" w:fill="CCEEFF"/>
          </w:tcPr>
          <w:p>
            <w:pPr>
              <w:jc w:val="right"/>
              <w:spacing w:after="0" w:line="104" w:lineRule="exact"/>
              <w:rPr>
                <w:sz w:val="20"/>
                <w:szCs w:val="20"/>
                <w:color w:val="auto"/>
              </w:rPr>
            </w:pPr>
            <w:r>
              <w:rPr>
                <w:rFonts w:ascii="Arial" w:cs="Arial" w:eastAsia="Arial" w:hAnsi="Arial"/>
                <w:sz w:val="10"/>
                <w:szCs w:val="10"/>
                <w:b w:val="1"/>
                <w:bCs w:val="1"/>
                <w:color w:val="auto"/>
              </w:rPr>
              <w:t>2,776</w:t>
            </w:r>
          </w:p>
        </w:tc>
      </w:tr>
    </w:tbl>
    <w:p>
      <w:pPr>
        <w:spacing w:after="0" w:line="221" w:lineRule="exact"/>
        <w:rPr>
          <w:sz w:val="20"/>
          <w:szCs w:val="20"/>
          <w:color w:val="auto"/>
        </w:rPr>
      </w:pPr>
    </w:p>
    <w:p>
      <w:pPr>
        <w:ind w:left="2700"/>
        <w:spacing w:after="0"/>
        <w:rPr>
          <w:sz w:val="20"/>
          <w:szCs w:val="20"/>
          <w:color w:val="auto"/>
        </w:rPr>
      </w:pPr>
      <w:r>
        <w:rPr>
          <w:rFonts w:ascii="Arial" w:cs="Arial" w:eastAsia="Arial" w:hAnsi="Arial"/>
          <w:sz w:val="13"/>
          <w:szCs w:val="13"/>
          <w:color w:val="auto"/>
        </w:rPr>
        <w:t>See Accompanying Notes to Consolidated Financial Statements</w:t>
      </w:r>
      <w:r>
        <w:rPr>
          <w:rFonts w:ascii="Arial" w:cs="Arial" w:eastAsia="Arial" w:hAnsi="Arial"/>
          <w:sz w:val="10"/>
          <w:szCs w:val="10"/>
          <w:color w:val="auto"/>
        </w:rPr>
        <w:t>.</w:t>
      </w:r>
    </w:p>
    <w:p>
      <w:pPr>
        <w:spacing w:after="0" w:line="302" w:lineRule="exact"/>
        <w:rPr>
          <w:sz w:val="20"/>
          <w:szCs w:val="20"/>
          <w:color w:val="auto"/>
        </w:rPr>
      </w:pPr>
    </w:p>
    <w:p>
      <w:pPr>
        <w:ind w:left="7660"/>
        <w:spacing w:after="0"/>
        <w:rPr>
          <w:sz w:val="20"/>
          <w:szCs w:val="20"/>
          <w:color w:val="auto"/>
        </w:rPr>
      </w:pPr>
      <w:r>
        <w:rPr>
          <w:rFonts w:ascii="Arial" w:cs="Arial" w:eastAsia="Arial" w:hAnsi="Arial"/>
          <w:sz w:val="13"/>
          <w:szCs w:val="13"/>
          <w:color w:val="auto"/>
        </w:rPr>
        <w:t>2020 Form 10-K 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357505</wp:posOffset>
            </wp:positionV>
            <wp:extent cx="5790565" cy="196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90565" cy="19685"/>
                    </a:xfrm>
                    <a:prstGeom prst="rect">
                      <a:avLst/>
                    </a:prstGeom>
                    <a:noFill/>
                  </pic:spPr>
                </pic:pic>
              </a:graphicData>
            </a:graphic>
          </wp:anchor>
        </w:drawing>
      </w:r>
    </w:p>
    <w:p>
      <w:pPr>
        <w:sectPr>
          <w:pgSz w:w="11900" w:h="16838" w:orient="portrait"/>
          <w:cols w:equalWidth="0" w:num="1">
            <w:col w:w="9920"/>
          </w:cols>
          <w:pgMar w:left="1300" w:top="1360" w:right="67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161"/>
        </w:trPr>
        <w:tc>
          <w:tcPr>
            <w:tcW w:w="6040" w:type="dxa"/>
            <w:vAlign w:val="bottom"/>
            <w:gridSpan w:val="2"/>
          </w:tcPr>
          <w:p>
            <w:pPr>
              <w:ind w:left="3120"/>
              <w:spacing w:after="0"/>
              <w:rPr>
                <w:sz w:val="20"/>
                <w:szCs w:val="20"/>
                <w:color w:val="auto"/>
              </w:rPr>
            </w:pPr>
            <w:r>
              <w:rPr>
                <w:rFonts w:ascii="Arial" w:cs="Arial" w:eastAsia="Arial" w:hAnsi="Arial"/>
                <w:sz w:val="12"/>
                <w:szCs w:val="12"/>
                <w:b w:val="1"/>
                <w:bCs w:val="1"/>
                <w:color w:val="auto"/>
              </w:rPr>
              <w:t>CONSOLIDATED STATEMENTS OF CASH FLOWS</w:t>
            </w: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92"/>
        </w:trPr>
        <w:tc>
          <w:tcPr>
            <w:tcW w:w="48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 in millions)</w:t>
            </w:r>
          </w:p>
        </w:tc>
        <w:tc>
          <w:tcPr>
            <w:tcW w:w="118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b w:val="1"/>
                <w:bCs w:val="1"/>
                <w:color w:val="auto"/>
              </w:rPr>
              <w:t>2020</w:t>
            </w:r>
          </w:p>
        </w:tc>
        <w:tc>
          <w:tcPr>
            <w:tcW w:w="4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8"/>
              <w:spacing w:after="0"/>
              <w:rPr>
                <w:sz w:val="20"/>
                <w:szCs w:val="20"/>
                <w:color w:val="auto"/>
              </w:rPr>
            </w:pPr>
            <w:r>
              <w:rPr>
                <w:rFonts w:ascii="Arial" w:cs="Arial" w:eastAsia="Arial" w:hAnsi="Arial"/>
                <w:sz w:val="12"/>
                <w:szCs w:val="12"/>
                <w:color w:val="auto"/>
              </w:rPr>
              <w:t>2019</w:t>
            </w:r>
          </w:p>
        </w:tc>
        <w:tc>
          <w:tcPr>
            <w:tcW w:w="4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98"/>
              <w:spacing w:after="0"/>
              <w:rPr>
                <w:sz w:val="20"/>
                <w:szCs w:val="20"/>
                <w:color w:val="auto"/>
              </w:rPr>
            </w:pPr>
            <w:r>
              <w:rPr>
                <w:rFonts w:ascii="Arial" w:cs="Arial" w:eastAsia="Arial" w:hAnsi="Arial"/>
                <w:sz w:val="12"/>
                <w:szCs w:val="12"/>
                <w:color w:val="auto"/>
              </w:rPr>
              <w:t>2018</w:t>
            </w:r>
          </w:p>
        </w:tc>
      </w:tr>
      <w:tr>
        <w:trPr>
          <w:trHeight w:val="134"/>
        </w:trPr>
        <w:tc>
          <w:tcPr>
            <w:tcW w:w="486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From operating activities:</w:t>
            </w:r>
          </w:p>
        </w:tc>
        <w:tc>
          <w:tcPr>
            <w:tcW w:w="1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44"/>
        </w:trPr>
        <w:tc>
          <w:tcPr>
            <w:tcW w:w="4860" w:type="dxa"/>
            <w:vAlign w:val="bottom"/>
          </w:tcPr>
          <w:p>
            <w:pPr>
              <w:ind w:left="80"/>
              <w:spacing w:after="0"/>
              <w:rPr>
                <w:sz w:val="20"/>
                <w:szCs w:val="20"/>
                <w:color w:val="auto"/>
              </w:rPr>
            </w:pPr>
            <w:r>
              <w:rPr>
                <w:rFonts w:ascii="Arial" w:cs="Arial" w:eastAsia="Arial" w:hAnsi="Arial"/>
                <w:sz w:val="12"/>
                <w:szCs w:val="12"/>
                <w:color w:val="auto"/>
              </w:rPr>
              <w:t>Net income</w:t>
            </w:r>
          </w:p>
        </w:tc>
        <w:tc>
          <w:tcPr>
            <w:tcW w:w="1180" w:type="dxa"/>
            <w:vAlign w:val="bottom"/>
          </w:tcPr>
          <w:p>
            <w:pPr>
              <w:jc w:val="right"/>
              <w:ind w:right="658"/>
              <w:spacing w:after="0"/>
              <w:rPr>
                <w:sz w:val="20"/>
                <w:szCs w:val="20"/>
                <w:color w:val="auto"/>
              </w:rPr>
            </w:pPr>
            <w:r>
              <w:rPr>
                <w:rFonts w:ascii="Arial" w:cs="Arial" w:eastAsia="Arial" w:hAnsi="Arial"/>
                <w:sz w:val="12"/>
                <w:szCs w:val="12"/>
                <w:b w:val="1"/>
                <w:bCs w:val="1"/>
                <w:color w:val="auto"/>
              </w:rPr>
              <w:t>$</w:t>
            </w:r>
          </w:p>
        </w:tc>
        <w:tc>
          <w:tcPr>
            <w:tcW w:w="460" w:type="dxa"/>
            <w:vAlign w:val="bottom"/>
          </w:tcPr>
          <w:p>
            <w:pPr>
              <w:jc w:val="right"/>
              <w:ind w:right="78"/>
              <w:spacing w:after="0"/>
              <w:rPr>
                <w:sz w:val="20"/>
                <w:szCs w:val="20"/>
                <w:color w:val="auto"/>
              </w:rPr>
            </w:pPr>
            <w:r>
              <w:rPr>
                <w:rFonts w:ascii="Arial" w:cs="Arial" w:eastAsia="Arial" w:hAnsi="Arial"/>
                <w:sz w:val="12"/>
                <w:szCs w:val="12"/>
                <w:b w:val="1"/>
                <w:bCs w:val="1"/>
                <w:color w:val="auto"/>
              </w:rPr>
              <w:t>323</w:t>
            </w:r>
          </w:p>
        </w:tc>
        <w:tc>
          <w:tcPr>
            <w:tcW w:w="900" w:type="dxa"/>
            <w:vAlign w:val="bottom"/>
          </w:tcPr>
          <w:p>
            <w:pPr>
              <w:jc w:val="right"/>
              <w:ind w:right="678"/>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78"/>
              <w:spacing w:after="0"/>
              <w:rPr>
                <w:sz w:val="20"/>
                <w:szCs w:val="20"/>
                <w:color w:val="auto"/>
              </w:rPr>
            </w:pPr>
            <w:r>
              <w:rPr>
                <w:rFonts w:ascii="Arial" w:cs="Arial" w:eastAsia="Arial" w:hAnsi="Arial"/>
                <w:sz w:val="12"/>
                <w:szCs w:val="12"/>
                <w:color w:val="auto"/>
              </w:rPr>
              <w:t>491</w:t>
            </w:r>
          </w:p>
        </w:tc>
        <w:tc>
          <w:tcPr>
            <w:tcW w:w="34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541</w:t>
            </w:r>
          </w:p>
        </w:tc>
      </w:tr>
      <w:tr>
        <w:trPr>
          <w:trHeight w:val="144"/>
        </w:trPr>
        <w:tc>
          <w:tcPr>
            <w:tcW w:w="4860" w:type="dxa"/>
            <w:vAlign w:val="bottom"/>
            <w:shd w:val="clear" w:color="auto" w:fill="CCEEFF"/>
          </w:tcPr>
          <w:p>
            <w:pPr>
              <w:ind w:left="80"/>
              <w:spacing w:after="0"/>
              <w:rPr>
                <w:sz w:val="20"/>
                <w:szCs w:val="20"/>
                <w:color w:val="auto"/>
              </w:rPr>
            </w:pPr>
            <w:r>
              <w:rPr>
                <w:rFonts w:ascii="Arial" w:cs="Arial" w:eastAsia="Arial" w:hAnsi="Arial"/>
                <w:sz w:val="12"/>
                <w:szCs w:val="12"/>
                <w:color w:val="auto"/>
              </w:rPr>
              <w:t>Adjustments to reconcile net income to net cash provided by operating activities:</w:t>
            </w:r>
          </w:p>
        </w:tc>
        <w:tc>
          <w:tcPr>
            <w:tcW w:w="1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44"/>
        </w:trPr>
        <w:tc>
          <w:tcPr>
            <w:tcW w:w="4860" w:type="dxa"/>
            <w:vAlign w:val="bottom"/>
          </w:tcPr>
          <w:p>
            <w:pPr>
              <w:ind w:left="160"/>
              <w:spacing w:after="0"/>
              <w:rPr>
                <w:sz w:val="20"/>
                <w:szCs w:val="20"/>
                <w:color w:val="auto"/>
              </w:rPr>
            </w:pPr>
            <w:r>
              <w:rPr>
                <w:rFonts w:ascii="Arial" w:cs="Arial" w:eastAsia="Arial" w:hAnsi="Arial"/>
                <w:sz w:val="12"/>
                <w:szCs w:val="12"/>
                <w:color w:val="auto"/>
              </w:rPr>
              <w:t>Non-cash gain</w:t>
            </w:r>
          </w:p>
        </w:tc>
        <w:tc>
          <w:tcPr>
            <w:tcW w:w="1180" w:type="dxa"/>
            <w:vAlign w:val="bottom"/>
          </w:tcPr>
          <w:p>
            <w:pPr>
              <w:spacing w:after="0"/>
              <w:rPr>
                <w:sz w:val="12"/>
                <w:szCs w:val="12"/>
                <w:color w:val="auto"/>
              </w:rPr>
            </w:pPr>
          </w:p>
        </w:tc>
        <w:tc>
          <w:tcPr>
            <w:tcW w:w="460" w:type="dxa"/>
            <w:vAlign w:val="bottom"/>
          </w:tcPr>
          <w:p>
            <w:pPr>
              <w:jc w:val="right"/>
              <w:ind w:right="38"/>
              <w:spacing w:after="0"/>
              <w:rPr>
                <w:sz w:val="20"/>
                <w:szCs w:val="20"/>
                <w:color w:val="auto"/>
              </w:rPr>
            </w:pPr>
            <w:r>
              <w:rPr>
                <w:rFonts w:ascii="Arial" w:cs="Arial" w:eastAsia="Arial" w:hAnsi="Arial"/>
                <w:sz w:val="12"/>
                <w:szCs w:val="12"/>
                <w:b w:val="1"/>
                <w:bCs w:val="1"/>
                <w:color w:val="auto"/>
              </w:rPr>
              <w:t>(190)</w:t>
            </w:r>
          </w:p>
        </w:tc>
        <w:tc>
          <w:tcPr>
            <w:tcW w:w="900" w:type="dxa"/>
            <w:vAlign w:val="bottom"/>
          </w:tcPr>
          <w:p>
            <w:pPr>
              <w:spacing w:after="0"/>
              <w:rPr>
                <w:sz w:val="12"/>
                <w:szCs w:val="12"/>
                <w:color w:val="auto"/>
              </w:rPr>
            </w:pPr>
          </w:p>
        </w:tc>
        <w:tc>
          <w:tcPr>
            <w:tcW w:w="460" w:type="dxa"/>
            <w:vAlign w:val="bottom"/>
          </w:tcPr>
          <w:p>
            <w:pPr>
              <w:jc w:val="right"/>
              <w:ind w:right="38"/>
              <w:spacing w:after="0"/>
              <w:rPr>
                <w:sz w:val="20"/>
                <w:szCs w:val="20"/>
                <w:color w:val="auto"/>
              </w:rPr>
            </w:pPr>
            <w:r>
              <w:rPr>
                <w:rFonts w:ascii="Arial" w:cs="Arial" w:eastAsia="Arial" w:hAnsi="Arial"/>
                <w:sz w:val="12"/>
                <w:szCs w:val="12"/>
                <w:color w:val="auto"/>
              </w:rPr>
              <w:t>(4)</w:t>
            </w:r>
          </w:p>
        </w:tc>
        <w:tc>
          <w:tcPr>
            <w:tcW w:w="3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48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Non-cash impairment and other charges</w:t>
            </w:r>
          </w:p>
        </w:tc>
        <w:tc>
          <w:tcPr>
            <w:tcW w:w="11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78"/>
              <w:spacing w:after="0"/>
              <w:rPr>
                <w:sz w:val="20"/>
                <w:szCs w:val="20"/>
                <w:color w:val="auto"/>
              </w:rPr>
            </w:pPr>
            <w:r>
              <w:rPr>
                <w:rFonts w:ascii="Arial" w:cs="Arial" w:eastAsia="Arial" w:hAnsi="Arial"/>
                <w:sz w:val="12"/>
                <w:szCs w:val="12"/>
                <w:b w:val="1"/>
                <w:bCs w:val="1"/>
                <w:color w:val="auto"/>
              </w:rPr>
              <w:t>97</w:t>
            </w: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48</w:t>
            </w: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w:t>
            </w:r>
          </w:p>
        </w:tc>
      </w:tr>
      <w:tr>
        <w:trPr>
          <w:trHeight w:val="144"/>
        </w:trPr>
        <w:tc>
          <w:tcPr>
            <w:tcW w:w="4860" w:type="dxa"/>
            <w:vAlign w:val="bottom"/>
          </w:tcPr>
          <w:p>
            <w:pPr>
              <w:ind w:left="160"/>
              <w:spacing w:after="0"/>
              <w:rPr>
                <w:sz w:val="20"/>
                <w:szCs w:val="20"/>
                <w:color w:val="auto"/>
              </w:rPr>
            </w:pPr>
            <w:r>
              <w:rPr>
                <w:rFonts w:ascii="Arial" w:cs="Arial" w:eastAsia="Arial" w:hAnsi="Arial"/>
                <w:sz w:val="12"/>
                <w:szCs w:val="12"/>
                <w:color w:val="auto"/>
              </w:rPr>
              <w:t>Depreciation and amortization</w:t>
            </w:r>
          </w:p>
        </w:tc>
        <w:tc>
          <w:tcPr>
            <w:tcW w:w="1180" w:type="dxa"/>
            <w:vAlign w:val="bottom"/>
          </w:tcPr>
          <w:p>
            <w:pPr>
              <w:spacing w:after="0"/>
              <w:rPr>
                <w:sz w:val="12"/>
                <w:szCs w:val="12"/>
                <w:color w:val="auto"/>
              </w:rPr>
            </w:pPr>
          </w:p>
        </w:tc>
        <w:tc>
          <w:tcPr>
            <w:tcW w:w="460" w:type="dxa"/>
            <w:vAlign w:val="bottom"/>
          </w:tcPr>
          <w:p>
            <w:pPr>
              <w:jc w:val="right"/>
              <w:ind w:right="78"/>
              <w:spacing w:after="0"/>
              <w:rPr>
                <w:sz w:val="20"/>
                <w:szCs w:val="20"/>
                <w:color w:val="auto"/>
              </w:rPr>
            </w:pPr>
            <w:r>
              <w:rPr>
                <w:rFonts w:ascii="Arial" w:cs="Arial" w:eastAsia="Arial" w:hAnsi="Arial"/>
                <w:sz w:val="12"/>
                <w:szCs w:val="12"/>
                <w:b w:val="1"/>
                <w:bCs w:val="1"/>
                <w:color w:val="auto"/>
              </w:rPr>
              <w:t>176</w:t>
            </w:r>
          </w:p>
        </w:tc>
        <w:tc>
          <w:tcPr>
            <w:tcW w:w="900" w:type="dxa"/>
            <w:vAlign w:val="bottom"/>
          </w:tcPr>
          <w:p>
            <w:pPr>
              <w:spacing w:after="0"/>
              <w:rPr>
                <w:sz w:val="12"/>
                <w:szCs w:val="12"/>
                <w:color w:val="auto"/>
              </w:rPr>
            </w:pPr>
          </w:p>
        </w:tc>
        <w:tc>
          <w:tcPr>
            <w:tcW w:w="460" w:type="dxa"/>
            <w:vAlign w:val="bottom"/>
          </w:tcPr>
          <w:p>
            <w:pPr>
              <w:jc w:val="right"/>
              <w:ind w:right="78"/>
              <w:spacing w:after="0"/>
              <w:rPr>
                <w:sz w:val="20"/>
                <w:szCs w:val="20"/>
                <w:color w:val="auto"/>
              </w:rPr>
            </w:pPr>
            <w:r>
              <w:rPr>
                <w:rFonts w:ascii="Arial" w:cs="Arial" w:eastAsia="Arial" w:hAnsi="Arial"/>
                <w:sz w:val="12"/>
                <w:szCs w:val="12"/>
                <w:color w:val="auto"/>
              </w:rPr>
              <w:t>179</w:t>
            </w:r>
          </w:p>
        </w:tc>
        <w:tc>
          <w:tcPr>
            <w:tcW w:w="3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178</w:t>
            </w:r>
          </w:p>
        </w:tc>
      </w:tr>
      <w:tr>
        <w:trPr>
          <w:trHeight w:val="144"/>
        </w:trPr>
        <w:tc>
          <w:tcPr>
            <w:tcW w:w="48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Deferred income taxes</w:t>
            </w:r>
          </w:p>
        </w:tc>
        <w:tc>
          <w:tcPr>
            <w:tcW w:w="11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8"/>
              <w:spacing w:after="0"/>
              <w:rPr>
                <w:sz w:val="20"/>
                <w:szCs w:val="20"/>
                <w:color w:val="auto"/>
              </w:rPr>
            </w:pPr>
            <w:r>
              <w:rPr>
                <w:rFonts w:ascii="Arial" w:cs="Arial" w:eastAsia="Arial" w:hAnsi="Arial"/>
                <w:sz w:val="12"/>
                <w:szCs w:val="12"/>
                <w:b w:val="1"/>
                <w:bCs w:val="1"/>
                <w:color w:val="auto"/>
              </w:rPr>
              <w:t>(9)</w:t>
            </w: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5</w:t>
            </w: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r>
      <w:tr>
        <w:trPr>
          <w:trHeight w:val="144"/>
        </w:trPr>
        <w:tc>
          <w:tcPr>
            <w:tcW w:w="4860" w:type="dxa"/>
            <w:vAlign w:val="bottom"/>
          </w:tcPr>
          <w:p>
            <w:pPr>
              <w:ind w:left="160"/>
              <w:spacing w:after="0"/>
              <w:rPr>
                <w:sz w:val="20"/>
                <w:szCs w:val="20"/>
                <w:color w:val="auto"/>
              </w:rPr>
            </w:pPr>
            <w:r>
              <w:rPr>
                <w:rFonts w:ascii="Arial" w:cs="Arial" w:eastAsia="Arial" w:hAnsi="Arial"/>
                <w:sz w:val="12"/>
                <w:szCs w:val="12"/>
                <w:color w:val="auto"/>
              </w:rPr>
              <w:t>Share-based compensation expense</w:t>
            </w:r>
          </w:p>
        </w:tc>
        <w:tc>
          <w:tcPr>
            <w:tcW w:w="1180" w:type="dxa"/>
            <w:vAlign w:val="bottom"/>
          </w:tcPr>
          <w:p>
            <w:pPr>
              <w:spacing w:after="0"/>
              <w:rPr>
                <w:sz w:val="12"/>
                <w:szCs w:val="12"/>
                <w:color w:val="auto"/>
              </w:rPr>
            </w:pPr>
          </w:p>
        </w:tc>
        <w:tc>
          <w:tcPr>
            <w:tcW w:w="460" w:type="dxa"/>
            <w:vAlign w:val="bottom"/>
          </w:tcPr>
          <w:p>
            <w:pPr>
              <w:jc w:val="right"/>
              <w:ind w:right="78"/>
              <w:spacing w:after="0"/>
              <w:rPr>
                <w:sz w:val="20"/>
                <w:szCs w:val="20"/>
                <w:color w:val="auto"/>
              </w:rPr>
            </w:pPr>
            <w:r>
              <w:rPr>
                <w:rFonts w:ascii="Arial" w:cs="Arial" w:eastAsia="Arial" w:hAnsi="Arial"/>
                <w:sz w:val="12"/>
                <w:szCs w:val="12"/>
                <w:b w:val="1"/>
                <w:bCs w:val="1"/>
                <w:color w:val="auto"/>
              </w:rPr>
              <w:t>15</w:t>
            </w:r>
          </w:p>
        </w:tc>
        <w:tc>
          <w:tcPr>
            <w:tcW w:w="900" w:type="dxa"/>
            <w:vAlign w:val="bottom"/>
          </w:tcPr>
          <w:p>
            <w:pPr>
              <w:spacing w:after="0"/>
              <w:rPr>
                <w:sz w:val="12"/>
                <w:szCs w:val="12"/>
                <w:color w:val="auto"/>
              </w:rPr>
            </w:pPr>
          </w:p>
        </w:tc>
        <w:tc>
          <w:tcPr>
            <w:tcW w:w="460" w:type="dxa"/>
            <w:vAlign w:val="bottom"/>
          </w:tcPr>
          <w:p>
            <w:pPr>
              <w:jc w:val="right"/>
              <w:ind w:right="78"/>
              <w:spacing w:after="0"/>
              <w:rPr>
                <w:sz w:val="20"/>
                <w:szCs w:val="20"/>
                <w:color w:val="auto"/>
              </w:rPr>
            </w:pPr>
            <w:r>
              <w:rPr>
                <w:rFonts w:ascii="Arial" w:cs="Arial" w:eastAsia="Arial" w:hAnsi="Arial"/>
                <w:sz w:val="12"/>
                <w:szCs w:val="12"/>
                <w:color w:val="auto"/>
              </w:rPr>
              <w:t>18</w:t>
            </w:r>
          </w:p>
        </w:tc>
        <w:tc>
          <w:tcPr>
            <w:tcW w:w="3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22</w:t>
            </w:r>
          </w:p>
        </w:tc>
      </w:tr>
      <w:tr>
        <w:trPr>
          <w:trHeight w:val="144"/>
        </w:trPr>
        <w:tc>
          <w:tcPr>
            <w:tcW w:w="48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U.S. qualified pension plan contributions</w:t>
            </w:r>
          </w:p>
        </w:tc>
        <w:tc>
          <w:tcPr>
            <w:tcW w:w="11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78"/>
              <w:spacing w:after="0"/>
              <w:rPr>
                <w:sz w:val="20"/>
                <w:szCs w:val="20"/>
                <w:color w:val="auto"/>
              </w:rPr>
            </w:pPr>
            <w:r>
              <w:rPr>
                <w:rFonts w:ascii="Arial" w:cs="Arial" w:eastAsia="Arial" w:hAnsi="Arial"/>
                <w:sz w:val="12"/>
                <w:szCs w:val="12"/>
                <w:b w:val="1"/>
                <w:bCs w:val="1"/>
                <w:color w:val="auto"/>
              </w:rPr>
              <w:t>—</w:t>
            </w: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(55)</w:t>
            </w: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w:t>
            </w:r>
          </w:p>
        </w:tc>
      </w:tr>
      <w:tr>
        <w:trPr>
          <w:trHeight w:val="144"/>
        </w:trPr>
        <w:tc>
          <w:tcPr>
            <w:tcW w:w="4860" w:type="dxa"/>
            <w:vAlign w:val="bottom"/>
          </w:tcPr>
          <w:p>
            <w:pPr>
              <w:ind w:left="160"/>
              <w:spacing w:after="0"/>
              <w:rPr>
                <w:sz w:val="20"/>
                <w:szCs w:val="20"/>
                <w:color w:val="auto"/>
              </w:rPr>
            </w:pPr>
            <w:r>
              <w:rPr>
                <w:rFonts w:ascii="Arial" w:cs="Arial" w:eastAsia="Arial" w:hAnsi="Arial"/>
                <w:sz w:val="12"/>
                <w:szCs w:val="12"/>
                <w:color w:val="auto"/>
              </w:rPr>
              <w:t>Change in assets and liabilities:</w:t>
            </w: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4"/>
        </w:trPr>
        <w:tc>
          <w:tcPr>
            <w:tcW w:w="48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Merchandise inventories</w:t>
            </w:r>
          </w:p>
        </w:tc>
        <w:tc>
          <w:tcPr>
            <w:tcW w:w="11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78"/>
              <w:spacing w:after="0"/>
              <w:rPr>
                <w:sz w:val="20"/>
                <w:szCs w:val="20"/>
                <w:color w:val="auto"/>
              </w:rPr>
            </w:pPr>
            <w:r>
              <w:rPr>
                <w:rFonts w:ascii="Arial" w:cs="Arial" w:eastAsia="Arial" w:hAnsi="Arial"/>
                <w:sz w:val="12"/>
                <w:szCs w:val="12"/>
                <w:b w:val="1"/>
                <w:bCs w:val="1"/>
                <w:color w:val="auto"/>
              </w:rPr>
              <w:t>294</w:t>
            </w: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51</w:t>
            </w: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r>
      <w:tr>
        <w:trPr>
          <w:trHeight w:val="144"/>
        </w:trPr>
        <w:tc>
          <w:tcPr>
            <w:tcW w:w="4860" w:type="dxa"/>
            <w:vAlign w:val="bottom"/>
          </w:tcPr>
          <w:p>
            <w:pPr>
              <w:ind w:left="240"/>
              <w:spacing w:after="0"/>
              <w:rPr>
                <w:sz w:val="20"/>
                <w:szCs w:val="20"/>
                <w:color w:val="auto"/>
              </w:rPr>
            </w:pPr>
            <w:r>
              <w:rPr>
                <w:rFonts w:ascii="Arial" w:cs="Arial" w:eastAsia="Arial" w:hAnsi="Arial"/>
                <w:sz w:val="12"/>
                <w:szCs w:val="12"/>
                <w:color w:val="auto"/>
              </w:rPr>
              <w:t>Accounts payable</w:t>
            </w:r>
          </w:p>
        </w:tc>
        <w:tc>
          <w:tcPr>
            <w:tcW w:w="1180" w:type="dxa"/>
            <w:vAlign w:val="bottom"/>
          </w:tcPr>
          <w:p>
            <w:pPr>
              <w:spacing w:after="0"/>
              <w:rPr>
                <w:sz w:val="12"/>
                <w:szCs w:val="12"/>
                <w:color w:val="auto"/>
              </w:rPr>
            </w:pPr>
          </w:p>
        </w:tc>
        <w:tc>
          <w:tcPr>
            <w:tcW w:w="460" w:type="dxa"/>
            <w:vAlign w:val="bottom"/>
          </w:tcPr>
          <w:p>
            <w:pPr>
              <w:jc w:val="right"/>
              <w:ind w:right="78"/>
              <w:spacing w:after="0"/>
              <w:rPr>
                <w:sz w:val="20"/>
                <w:szCs w:val="20"/>
                <w:color w:val="auto"/>
              </w:rPr>
            </w:pPr>
            <w:r>
              <w:rPr>
                <w:rFonts w:ascii="Arial" w:cs="Arial" w:eastAsia="Arial" w:hAnsi="Arial"/>
                <w:sz w:val="12"/>
                <w:szCs w:val="12"/>
                <w:b w:val="1"/>
                <w:bCs w:val="1"/>
                <w:color w:val="auto"/>
              </w:rPr>
              <w:t>58</w:t>
            </w:r>
          </w:p>
        </w:tc>
        <w:tc>
          <w:tcPr>
            <w:tcW w:w="900" w:type="dxa"/>
            <w:vAlign w:val="bottom"/>
          </w:tcPr>
          <w:p>
            <w:pPr>
              <w:spacing w:after="0"/>
              <w:rPr>
                <w:sz w:val="12"/>
                <w:szCs w:val="12"/>
                <w:color w:val="auto"/>
              </w:rPr>
            </w:pPr>
          </w:p>
        </w:tc>
        <w:tc>
          <w:tcPr>
            <w:tcW w:w="460" w:type="dxa"/>
            <w:vAlign w:val="bottom"/>
          </w:tcPr>
          <w:p>
            <w:pPr>
              <w:jc w:val="right"/>
              <w:ind w:right="38"/>
              <w:spacing w:after="0"/>
              <w:rPr>
                <w:sz w:val="20"/>
                <w:szCs w:val="20"/>
                <w:color w:val="auto"/>
              </w:rPr>
            </w:pPr>
            <w:r>
              <w:rPr>
                <w:rFonts w:ascii="Arial" w:cs="Arial" w:eastAsia="Arial" w:hAnsi="Arial"/>
                <w:sz w:val="12"/>
                <w:szCs w:val="12"/>
                <w:color w:val="auto"/>
              </w:rPr>
              <w:t>(51)</w:t>
            </w:r>
          </w:p>
        </w:tc>
        <w:tc>
          <w:tcPr>
            <w:tcW w:w="3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135</w:t>
            </w:r>
          </w:p>
        </w:tc>
      </w:tr>
      <w:tr>
        <w:trPr>
          <w:trHeight w:val="144"/>
        </w:trPr>
        <w:tc>
          <w:tcPr>
            <w:tcW w:w="48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Accrued and other liabilities</w:t>
            </w:r>
          </w:p>
        </w:tc>
        <w:tc>
          <w:tcPr>
            <w:tcW w:w="11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78"/>
              <w:spacing w:after="0"/>
              <w:rPr>
                <w:sz w:val="20"/>
                <w:szCs w:val="20"/>
                <w:color w:val="auto"/>
              </w:rPr>
            </w:pPr>
            <w:r>
              <w:rPr>
                <w:rFonts w:ascii="Arial" w:cs="Arial" w:eastAsia="Arial" w:hAnsi="Arial"/>
                <w:sz w:val="12"/>
                <w:szCs w:val="12"/>
                <w:b w:val="1"/>
                <w:bCs w:val="1"/>
                <w:color w:val="auto"/>
              </w:rPr>
              <w:t>139</w:t>
            </w: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(40)</w:t>
            </w: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w:t>
            </w:r>
          </w:p>
        </w:tc>
      </w:tr>
      <w:tr>
        <w:trPr>
          <w:trHeight w:val="144"/>
        </w:trPr>
        <w:tc>
          <w:tcPr>
            <w:tcW w:w="4860" w:type="dxa"/>
            <w:vAlign w:val="bottom"/>
          </w:tcPr>
          <w:p>
            <w:pPr>
              <w:ind w:left="240"/>
              <w:spacing w:after="0"/>
              <w:rPr>
                <w:sz w:val="20"/>
                <w:szCs w:val="20"/>
                <w:color w:val="auto"/>
              </w:rPr>
            </w:pPr>
            <w:r>
              <w:rPr>
                <w:rFonts w:ascii="Arial" w:cs="Arial" w:eastAsia="Arial" w:hAnsi="Arial"/>
                <w:sz w:val="12"/>
                <w:szCs w:val="12"/>
                <w:color w:val="auto"/>
              </w:rPr>
              <w:t>Pension litigation accrual</w:t>
            </w:r>
          </w:p>
        </w:tc>
        <w:tc>
          <w:tcPr>
            <w:tcW w:w="1180" w:type="dxa"/>
            <w:vAlign w:val="bottom"/>
          </w:tcPr>
          <w:p>
            <w:pPr>
              <w:spacing w:after="0"/>
              <w:rPr>
                <w:sz w:val="12"/>
                <w:szCs w:val="12"/>
                <w:color w:val="auto"/>
              </w:rPr>
            </w:pPr>
          </w:p>
        </w:tc>
        <w:tc>
          <w:tcPr>
            <w:tcW w:w="460" w:type="dxa"/>
            <w:vAlign w:val="bottom"/>
          </w:tcPr>
          <w:p>
            <w:pPr>
              <w:jc w:val="right"/>
              <w:ind w:right="78"/>
              <w:spacing w:after="0"/>
              <w:rPr>
                <w:sz w:val="20"/>
                <w:szCs w:val="20"/>
                <w:color w:val="auto"/>
              </w:rPr>
            </w:pPr>
            <w:r>
              <w:rPr>
                <w:rFonts w:ascii="Arial" w:cs="Arial" w:eastAsia="Arial" w:hAnsi="Arial"/>
                <w:sz w:val="12"/>
                <w:szCs w:val="12"/>
                <w:b w:val="1"/>
                <w:bCs w:val="1"/>
                <w:color w:val="auto"/>
              </w:rPr>
              <w:t>—</w:t>
            </w:r>
          </w:p>
        </w:tc>
        <w:tc>
          <w:tcPr>
            <w:tcW w:w="900" w:type="dxa"/>
            <w:vAlign w:val="bottom"/>
          </w:tcPr>
          <w:p>
            <w:pPr>
              <w:spacing w:after="0"/>
              <w:rPr>
                <w:sz w:val="12"/>
                <w:szCs w:val="12"/>
                <w:color w:val="auto"/>
              </w:rPr>
            </w:pPr>
          </w:p>
        </w:tc>
        <w:tc>
          <w:tcPr>
            <w:tcW w:w="4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13</w:t>
            </w:r>
          </w:p>
        </w:tc>
      </w:tr>
      <w:tr>
        <w:trPr>
          <w:trHeight w:val="144"/>
        </w:trPr>
        <w:tc>
          <w:tcPr>
            <w:tcW w:w="4860" w:type="dxa"/>
            <w:vAlign w:val="bottom"/>
            <w:shd w:val="clear" w:color="auto" w:fill="CCEEFF"/>
          </w:tcPr>
          <w:p>
            <w:pPr>
              <w:ind w:left="240"/>
              <w:spacing w:after="0"/>
              <w:rPr>
                <w:sz w:val="20"/>
                <w:szCs w:val="20"/>
                <w:color w:val="auto"/>
              </w:rPr>
            </w:pPr>
            <w:r>
              <w:rPr>
                <w:rFonts w:ascii="Arial" w:cs="Arial" w:eastAsia="Arial" w:hAnsi="Arial"/>
                <w:sz w:val="12"/>
                <w:szCs w:val="12"/>
                <w:color w:val="auto"/>
              </w:rPr>
              <w:t>Class counsel fees paid in connection with pension litigation</w:t>
            </w:r>
          </w:p>
        </w:tc>
        <w:tc>
          <w:tcPr>
            <w:tcW w:w="11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78"/>
              <w:spacing w:after="0"/>
              <w:rPr>
                <w:sz w:val="20"/>
                <w:szCs w:val="20"/>
                <w:color w:val="auto"/>
              </w:rPr>
            </w:pPr>
            <w:r>
              <w:rPr>
                <w:rFonts w:ascii="Arial" w:cs="Arial" w:eastAsia="Arial" w:hAnsi="Arial"/>
                <w:sz w:val="12"/>
                <w:szCs w:val="12"/>
                <w:b w:val="1"/>
                <w:bCs w:val="1"/>
                <w:color w:val="auto"/>
              </w:rPr>
              <w:t>—</w:t>
            </w: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(97)</w:t>
            </w:r>
          </w:p>
        </w:tc>
      </w:tr>
      <w:tr>
        <w:trPr>
          <w:trHeight w:val="144"/>
        </w:trPr>
        <w:tc>
          <w:tcPr>
            <w:tcW w:w="4860" w:type="dxa"/>
            <w:vAlign w:val="bottom"/>
            <w:tcBorders>
              <w:bottom w:val="single" w:sz="8" w:color="auto"/>
            </w:tcBorders>
          </w:tcPr>
          <w:p>
            <w:pPr>
              <w:ind w:left="240"/>
              <w:spacing w:after="0"/>
              <w:rPr>
                <w:sz w:val="20"/>
                <w:szCs w:val="20"/>
                <w:color w:val="auto"/>
              </w:rPr>
            </w:pPr>
            <w:r>
              <w:rPr>
                <w:rFonts w:ascii="Arial" w:cs="Arial" w:eastAsia="Arial" w:hAnsi="Arial"/>
                <w:sz w:val="12"/>
                <w:szCs w:val="12"/>
                <w:color w:val="auto"/>
              </w:rPr>
              <w:t>Other, net</w:t>
            </w:r>
          </w:p>
        </w:tc>
        <w:tc>
          <w:tcPr>
            <w:tcW w:w="1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b w:val="1"/>
                <w:bCs w:val="1"/>
                <w:color w:val="auto"/>
              </w:rPr>
              <w:t>159</w:t>
            </w:r>
          </w:p>
        </w:tc>
        <w:tc>
          <w:tcPr>
            <w:tcW w:w="9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54</w:t>
            </w:r>
          </w:p>
        </w:tc>
        <w:tc>
          <w:tcPr>
            <w:tcW w:w="3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w:t>
            </w:r>
          </w:p>
        </w:tc>
      </w:tr>
      <w:tr>
        <w:trPr>
          <w:trHeight w:val="134"/>
        </w:trPr>
        <w:tc>
          <w:tcPr>
            <w:tcW w:w="4860" w:type="dxa"/>
            <w:vAlign w:val="bottom"/>
            <w:tcBorders>
              <w:bottom w:val="single" w:sz="8" w:color="auto"/>
            </w:tcBorders>
            <w:shd w:val="clear" w:color="auto" w:fill="CCEEFF"/>
          </w:tcPr>
          <w:p>
            <w:pPr>
              <w:spacing w:after="0" w:line="134" w:lineRule="exact"/>
              <w:rPr>
                <w:sz w:val="20"/>
                <w:szCs w:val="20"/>
                <w:color w:val="auto"/>
              </w:rPr>
            </w:pPr>
            <w:r>
              <w:rPr>
                <w:rFonts w:ascii="Arial" w:cs="Arial" w:eastAsia="Arial" w:hAnsi="Arial"/>
                <w:sz w:val="12"/>
                <w:szCs w:val="12"/>
                <w:color w:val="auto"/>
              </w:rPr>
              <w:t>Net cash provided by operating activities</w:t>
            </w:r>
          </w:p>
        </w:tc>
        <w:tc>
          <w:tcPr>
            <w:tcW w:w="118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ind w:right="78"/>
              <w:spacing w:after="0" w:line="134" w:lineRule="exact"/>
              <w:rPr>
                <w:sz w:val="20"/>
                <w:szCs w:val="20"/>
                <w:color w:val="auto"/>
              </w:rPr>
            </w:pPr>
            <w:r>
              <w:rPr>
                <w:rFonts w:ascii="Arial" w:cs="Arial" w:eastAsia="Arial" w:hAnsi="Arial"/>
                <w:sz w:val="12"/>
                <w:szCs w:val="12"/>
                <w:b w:val="1"/>
                <w:bCs w:val="1"/>
                <w:color w:val="auto"/>
                <w:w w:val="99"/>
              </w:rPr>
              <w:t>1,062</w:t>
            </w:r>
          </w:p>
        </w:tc>
        <w:tc>
          <w:tcPr>
            <w:tcW w:w="90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ind w:right="78"/>
              <w:spacing w:after="0" w:line="134" w:lineRule="exact"/>
              <w:rPr>
                <w:sz w:val="20"/>
                <w:szCs w:val="20"/>
                <w:color w:val="auto"/>
              </w:rPr>
            </w:pPr>
            <w:r>
              <w:rPr>
                <w:rFonts w:ascii="Arial" w:cs="Arial" w:eastAsia="Arial" w:hAnsi="Arial"/>
                <w:sz w:val="12"/>
                <w:szCs w:val="12"/>
                <w:color w:val="auto"/>
              </w:rPr>
              <w:t>696</w:t>
            </w:r>
          </w:p>
        </w:tc>
        <w:tc>
          <w:tcPr>
            <w:tcW w:w="34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781</w:t>
            </w:r>
          </w:p>
        </w:tc>
      </w:tr>
      <w:tr>
        <w:trPr>
          <w:trHeight w:val="134"/>
        </w:trPr>
        <w:tc>
          <w:tcPr>
            <w:tcW w:w="48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44"/>
        </w:trPr>
        <w:tc>
          <w:tcPr>
            <w:tcW w:w="48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From investing activities:</w:t>
            </w:r>
          </w:p>
        </w:tc>
        <w:tc>
          <w:tcPr>
            <w:tcW w:w="1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44"/>
        </w:trPr>
        <w:tc>
          <w:tcPr>
            <w:tcW w:w="4860" w:type="dxa"/>
            <w:vAlign w:val="bottom"/>
          </w:tcPr>
          <w:p>
            <w:pPr>
              <w:ind w:left="80"/>
              <w:spacing w:after="0"/>
              <w:rPr>
                <w:sz w:val="20"/>
                <w:szCs w:val="20"/>
                <w:color w:val="auto"/>
              </w:rPr>
            </w:pPr>
            <w:r>
              <w:rPr>
                <w:rFonts w:ascii="Arial" w:cs="Arial" w:eastAsia="Arial" w:hAnsi="Arial"/>
                <w:sz w:val="12"/>
                <w:szCs w:val="12"/>
                <w:color w:val="auto"/>
              </w:rPr>
              <w:t>Capital expenditures</w:t>
            </w:r>
          </w:p>
        </w:tc>
        <w:tc>
          <w:tcPr>
            <w:tcW w:w="1180" w:type="dxa"/>
            <w:vAlign w:val="bottom"/>
          </w:tcPr>
          <w:p>
            <w:pPr>
              <w:spacing w:after="0"/>
              <w:rPr>
                <w:sz w:val="12"/>
                <w:szCs w:val="12"/>
                <w:color w:val="auto"/>
              </w:rPr>
            </w:pPr>
          </w:p>
        </w:tc>
        <w:tc>
          <w:tcPr>
            <w:tcW w:w="460" w:type="dxa"/>
            <w:vAlign w:val="bottom"/>
          </w:tcPr>
          <w:p>
            <w:pPr>
              <w:jc w:val="right"/>
              <w:ind w:right="38"/>
              <w:spacing w:after="0"/>
              <w:rPr>
                <w:sz w:val="20"/>
                <w:szCs w:val="20"/>
                <w:color w:val="auto"/>
              </w:rPr>
            </w:pPr>
            <w:r>
              <w:rPr>
                <w:rFonts w:ascii="Arial" w:cs="Arial" w:eastAsia="Arial" w:hAnsi="Arial"/>
                <w:sz w:val="12"/>
                <w:szCs w:val="12"/>
                <w:b w:val="1"/>
                <w:bCs w:val="1"/>
                <w:color w:val="auto"/>
              </w:rPr>
              <w:t>(159)</w:t>
            </w:r>
          </w:p>
        </w:tc>
        <w:tc>
          <w:tcPr>
            <w:tcW w:w="900" w:type="dxa"/>
            <w:vAlign w:val="bottom"/>
          </w:tcPr>
          <w:p>
            <w:pPr>
              <w:spacing w:after="0"/>
              <w:rPr>
                <w:sz w:val="12"/>
                <w:szCs w:val="12"/>
                <w:color w:val="auto"/>
              </w:rPr>
            </w:pPr>
          </w:p>
        </w:tc>
        <w:tc>
          <w:tcPr>
            <w:tcW w:w="460" w:type="dxa"/>
            <w:vAlign w:val="bottom"/>
          </w:tcPr>
          <w:p>
            <w:pPr>
              <w:jc w:val="right"/>
              <w:ind w:right="38"/>
              <w:spacing w:after="0"/>
              <w:rPr>
                <w:sz w:val="20"/>
                <w:szCs w:val="20"/>
                <w:color w:val="auto"/>
              </w:rPr>
            </w:pPr>
            <w:r>
              <w:rPr>
                <w:rFonts w:ascii="Arial" w:cs="Arial" w:eastAsia="Arial" w:hAnsi="Arial"/>
                <w:sz w:val="12"/>
                <w:szCs w:val="12"/>
                <w:color w:val="auto"/>
              </w:rPr>
              <w:t>(187)</w:t>
            </w:r>
          </w:p>
        </w:tc>
        <w:tc>
          <w:tcPr>
            <w:tcW w:w="3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(187)</w:t>
            </w:r>
          </w:p>
        </w:tc>
      </w:tr>
      <w:tr>
        <w:trPr>
          <w:trHeight w:val="144"/>
        </w:trPr>
        <w:tc>
          <w:tcPr>
            <w:tcW w:w="4860" w:type="dxa"/>
            <w:vAlign w:val="bottom"/>
            <w:shd w:val="clear" w:color="auto" w:fill="CCEEFF"/>
          </w:tcPr>
          <w:p>
            <w:pPr>
              <w:ind w:left="80"/>
              <w:spacing w:after="0"/>
              <w:rPr>
                <w:sz w:val="20"/>
                <w:szCs w:val="20"/>
                <w:color w:val="auto"/>
              </w:rPr>
            </w:pPr>
            <w:r>
              <w:rPr>
                <w:rFonts w:ascii="Arial" w:cs="Arial" w:eastAsia="Arial" w:hAnsi="Arial"/>
                <w:sz w:val="12"/>
                <w:szCs w:val="12"/>
                <w:color w:val="auto"/>
              </w:rPr>
              <w:t>Minority investments</w:t>
            </w:r>
          </w:p>
        </w:tc>
        <w:tc>
          <w:tcPr>
            <w:tcW w:w="11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8"/>
              <w:spacing w:after="0"/>
              <w:rPr>
                <w:sz w:val="20"/>
                <w:szCs w:val="20"/>
                <w:color w:val="auto"/>
              </w:rPr>
            </w:pPr>
            <w:r>
              <w:rPr>
                <w:rFonts w:ascii="Arial" w:cs="Arial" w:eastAsia="Arial" w:hAnsi="Arial"/>
                <w:sz w:val="12"/>
                <w:szCs w:val="12"/>
                <w:b w:val="1"/>
                <w:bCs w:val="1"/>
                <w:color w:val="auto"/>
              </w:rPr>
              <w:t>(9)</w:t>
            </w: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(50)</w:t>
            </w: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w:t>
            </w:r>
          </w:p>
        </w:tc>
      </w:tr>
      <w:tr>
        <w:trPr>
          <w:trHeight w:val="144"/>
        </w:trPr>
        <w:tc>
          <w:tcPr>
            <w:tcW w:w="4860" w:type="dxa"/>
            <w:vAlign w:val="bottom"/>
          </w:tcPr>
          <w:p>
            <w:pPr>
              <w:ind w:left="80"/>
              <w:spacing w:after="0"/>
              <w:rPr>
                <w:sz w:val="20"/>
                <w:szCs w:val="20"/>
                <w:color w:val="auto"/>
              </w:rPr>
            </w:pPr>
            <w:r>
              <w:rPr>
                <w:rFonts w:ascii="Arial" w:cs="Arial" w:eastAsia="Arial" w:hAnsi="Arial"/>
                <w:sz w:val="12"/>
                <w:szCs w:val="12"/>
                <w:color w:val="auto"/>
              </w:rPr>
              <w:t>Proceeds from sale of property</w:t>
            </w:r>
          </w:p>
        </w:tc>
        <w:tc>
          <w:tcPr>
            <w:tcW w:w="1180" w:type="dxa"/>
            <w:vAlign w:val="bottom"/>
          </w:tcPr>
          <w:p>
            <w:pPr>
              <w:spacing w:after="0"/>
              <w:rPr>
                <w:sz w:val="12"/>
                <w:szCs w:val="12"/>
                <w:color w:val="auto"/>
              </w:rPr>
            </w:pPr>
          </w:p>
        </w:tc>
        <w:tc>
          <w:tcPr>
            <w:tcW w:w="460" w:type="dxa"/>
            <w:vAlign w:val="bottom"/>
          </w:tcPr>
          <w:p>
            <w:pPr>
              <w:jc w:val="right"/>
              <w:ind w:right="78"/>
              <w:spacing w:after="0"/>
              <w:rPr>
                <w:sz w:val="20"/>
                <w:szCs w:val="20"/>
                <w:color w:val="auto"/>
              </w:rPr>
            </w:pPr>
            <w:r>
              <w:rPr>
                <w:rFonts w:ascii="Arial" w:cs="Arial" w:eastAsia="Arial" w:hAnsi="Arial"/>
                <w:sz w:val="12"/>
                <w:szCs w:val="12"/>
                <w:b w:val="1"/>
                <w:bCs w:val="1"/>
                <w:color w:val="auto"/>
              </w:rPr>
              <w:t>—</w:t>
            </w:r>
          </w:p>
        </w:tc>
        <w:tc>
          <w:tcPr>
            <w:tcW w:w="900" w:type="dxa"/>
            <w:vAlign w:val="bottom"/>
          </w:tcPr>
          <w:p>
            <w:pPr>
              <w:spacing w:after="0"/>
              <w:rPr>
                <w:sz w:val="12"/>
                <w:szCs w:val="12"/>
                <w:color w:val="auto"/>
              </w:rPr>
            </w:pPr>
          </w:p>
        </w:tc>
        <w:tc>
          <w:tcPr>
            <w:tcW w:w="460" w:type="dxa"/>
            <w:vAlign w:val="bottom"/>
          </w:tcPr>
          <w:p>
            <w:pPr>
              <w:jc w:val="right"/>
              <w:ind w:right="78"/>
              <w:spacing w:after="0"/>
              <w:rPr>
                <w:sz w:val="20"/>
                <w:szCs w:val="20"/>
                <w:color w:val="auto"/>
              </w:rPr>
            </w:pPr>
            <w:r>
              <w:rPr>
                <w:rFonts w:ascii="Arial" w:cs="Arial" w:eastAsia="Arial" w:hAnsi="Arial"/>
                <w:sz w:val="12"/>
                <w:szCs w:val="12"/>
                <w:color w:val="auto"/>
              </w:rPr>
              <w:t>2</w:t>
            </w:r>
          </w:p>
        </w:tc>
        <w:tc>
          <w:tcPr>
            <w:tcW w:w="3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48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2"/>
                <w:szCs w:val="12"/>
                <w:color w:val="auto"/>
              </w:rPr>
              <w:t>Insurance proceeds related to loss on property and equipment</w:t>
            </w:r>
          </w:p>
        </w:tc>
        <w:tc>
          <w:tcPr>
            <w:tcW w:w="11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2"/>
                <w:szCs w:val="12"/>
                <w:b w:val="1"/>
                <w:bCs w:val="1"/>
                <w:color w:val="auto"/>
              </w:rPr>
              <w:t>—</w:t>
            </w:r>
          </w:p>
        </w:tc>
        <w:tc>
          <w:tcPr>
            <w:tcW w:w="9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w:t>
            </w:r>
          </w:p>
        </w:tc>
      </w:tr>
      <w:tr>
        <w:trPr>
          <w:trHeight w:val="134"/>
        </w:trPr>
        <w:tc>
          <w:tcPr>
            <w:tcW w:w="4860" w:type="dxa"/>
            <w:vAlign w:val="bottom"/>
            <w:tcBorders>
              <w:bottom w:val="single" w:sz="8" w:color="auto"/>
            </w:tcBorders>
          </w:tcPr>
          <w:p>
            <w:pPr>
              <w:spacing w:after="0" w:line="134" w:lineRule="exact"/>
              <w:rPr>
                <w:sz w:val="20"/>
                <w:szCs w:val="20"/>
                <w:color w:val="auto"/>
              </w:rPr>
            </w:pPr>
            <w:r>
              <w:rPr>
                <w:rFonts w:ascii="Arial" w:cs="Arial" w:eastAsia="Arial" w:hAnsi="Arial"/>
                <w:sz w:val="12"/>
                <w:szCs w:val="12"/>
                <w:color w:val="auto"/>
              </w:rPr>
              <w:t>Net cash used in investing activities</w:t>
            </w:r>
          </w:p>
        </w:tc>
        <w:tc>
          <w:tcPr>
            <w:tcW w:w="1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38"/>
              <w:spacing w:after="0" w:line="134" w:lineRule="exact"/>
              <w:rPr>
                <w:sz w:val="20"/>
                <w:szCs w:val="20"/>
                <w:color w:val="auto"/>
              </w:rPr>
            </w:pPr>
            <w:r>
              <w:rPr>
                <w:rFonts w:ascii="Arial" w:cs="Arial" w:eastAsia="Arial" w:hAnsi="Arial"/>
                <w:sz w:val="12"/>
                <w:szCs w:val="12"/>
                <w:b w:val="1"/>
                <w:bCs w:val="1"/>
                <w:color w:val="auto"/>
              </w:rPr>
              <w:t>(168)</w:t>
            </w:r>
          </w:p>
        </w:tc>
        <w:tc>
          <w:tcPr>
            <w:tcW w:w="9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38"/>
              <w:spacing w:after="0" w:line="134" w:lineRule="exact"/>
              <w:rPr>
                <w:sz w:val="20"/>
                <w:szCs w:val="20"/>
                <w:color w:val="auto"/>
              </w:rPr>
            </w:pPr>
            <w:r>
              <w:rPr>
                <w:rFonts w:ascii="Arial" w:cs="Arial" w:eastAsia="Arial" w:hAnsi="Arial"/>
                <w:sz w:val="12"/>
                <w:szCs w:val="12"/>
                <w:color w:val="auto"/>
              </w:rPr>
              <w:t>(235)</w:t>
            </w:r>
          </w:p>
        </w:tc>
        <w:tc>
          <w:tcPr>
            <w:tcW w:w="3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(274)</w:t>
            </w:r>
          </w:p>
        </w:tc>
      </w:tr>
      <w:tr>
        <w:trPr>
          <w:trHeight w:val="134"/>
        </w:trPr>
        <w:tc>
          <w:tcPr>
            <w:tcW w:w="48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44"/>
        </w:trPr>
        <w:tc>
          <w:tcPr>
            <w:tcW w:w="4860" w:type="dxa"/>
            <w:vAlign w:val="bottom"/>
          </w:tcPr>
          <w:p>
            <w:pPr>
              <w:spacing w:after="0"/>
              <w:rPr>
                <w:sz w:val="20"/>
                <w:szCs w:val="20"/>
                <w:color w:val="auto"/>
              </w:rPr>
            </w:pPr>
            <w:r>
              <w:rPr>
                <w:rFonts w:ascii="Arial" w:cs="Arial" w:eastAsia="Arial" w:hAnsi="Arial"/>
                <w:sz w:val="12"/>
                <w:szCs w:val="12"/>
                <w:b w:val="1"/>
                <w:bCs w:val="1"/>
                <w:color w:val="auto"/>
              </w:rPr>
              <w:t>From financing activities:</w:t>
            </w: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4"/>
        </w:trPr>
        <w:tc>
          <w:tcPr>
            <w:tcW w:w="4860" w:type="dxa"/>
            <w:vAlign w:val="bottom"/>
            <w:shd w:val="clear" w:color="auto" w:fill="CCEEFF"/>
          </w:tcPr>
          <w:p>
            <w:pPr>
              <w:ind w:left="80"/>
              <w:spacing w:after="0"/>
              <w:rPr>
                <w:sz w:val="20"/>
                <w:szCs w:val="20"/>
                <w:color w:val="auto"/>
              </w:rPr>
            </w:pPr>
            <w:r>
              <w:rPr>
                <w:rFonts w:ascii="Arial" w:cs="Arial" w:eastAsia="Arial" w:hAnsi="Arial"/>
                <w:sz w:val="12"/>
                <w:szCs w:val="12"/>
                <w:color w:val="auto"/>
              </w:rPr>
              <w:t>Proceeds from the revolving credit facility</w:t>
            </w:r>
          </w:p>
        </w:tc>
        <w:tc>
          <w:tcPr>
            <w:tcW w:w="11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78"/>
              <w:spacing w:after="0"/>
              <w:rPr>
                <w:sz w:val="20"/>
                <w:szCs w:val="20"/>
                <w:color w:val="auto"/>
              </w:rPr>
            </w:pPr>
            <w:r>
              <w:rPr>
                <w:rFonts w:ascii="Arial" w:cs="Arial" w:eastAsia="Arial" w:hAnsi="Arial"/>
                <w:sz w:val="12"/>
                <w:szCs w:val="12"/>
                <w:b w:val="1"/>
                <w:bCs w:val="1"/>
                <w:color w:val="auto"/>
              </w:rPr>
              <w:t>330</w:t>
            </w: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4860" w:type="dxa"/>
            <w:vAlign w:val="bottom"/>
          </w:tcPr>
          <w:p>
            <w:pPr>
              <w:ind w:left="80"/>
              <w:spacing w:after="0"/>
              <w:rPr>
                <w:sz w:val="20"/>
                <w:szCs w:val="20"/>
                <w:color w:val="auto"/>
              </w:rPr>
            </w:pPr>
            <w:r>
              <w:rPr>
                <w:rFonts w:ascii="Arial" w:cs="Arial" w:eastAsia="Arial" w:hAnsi="Arial"/>
                <w:sz w:val="12"/>
                <w:szCs w:val="12"/>
                <w:color w:val="auto"/>
              </w:rPr>
              <w:t>Repayment of the revolving credit facility</w:t>
            </w:r>
          </w:p>
        </w:tc>
        <w:tc>
          <w:tcPr>
            <w:tcW w:w="1180" w:type="dxa"/>
            <w:vAlign w:val="bottom"/>
          </w:tcPr>
          <w:p>
            <w:pPr>
              <w:spacing w:after="0"/>
              <w:rPr>
                <w:sz w:val="12"/>
                <w:szCs w:val="12"/>
                <w:color w:val="auto"/>
              </w:rPr>
            </w:pPr>
          </w:p>
        </w:tc>
        <w:tc>
          <w:tcPr>
            <w:tcW w:w="460" w:type="dxa"/>
            <w:vAlign w:val="bottom"/>
          </w:tcPr>
          <w:p>
            <w:pPr>
              <w:jc w:val="right"/>
              <w:ind w:right="38"/>
              <w:spacing w:after="0"/>
              <w:rPr>
                <w:sz w:val="20"/>
                <w:szCs w:val="20"/>
                <w:color w:val="auto"/>
              </w:rPr>
            </w:pPr>
            <w:r>
              <w:rPr>
                <w:rFonts w:ascii="Arial" w:cs="Arial" w:eastAsia="Arial" w:hAnsi="Arial"/>
                <w:sz w:val="12"/>
                <w:szCs w:val="12"/>
                <w:b w:val="1"/>
                <w:bCs w:val="1"/>
                <w:color w:val="auto"/>
              </w:rPr>
              <w:t>(330)</w:t>
            </w:r>
          </w:p>
        </w:tc>
        <w:tc>
          <w:tcPr>
            <w:tcW w:w="900" w:type="dxa"/>
            <w:vAlign w:val="bottom"/>
          </w:tcPr>
          <w:p>
            <w:pPr>
              <w:spacing w:after="0"/>
              <w:rPr>
                <w:sz w:val="12"/>
                <w:szCs w:val="12"/>
                <w:color w:val="auto"/>
              </w:rPr>
            </w:pPr>
          </w:p>
        </w:tc>
        <w:tc>
          <w:tcPr>
            <w:tcW w:w="4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4860" w:type="dxa"/>
            <w:vAlign w:val="bottom"/>
            <w:shd w:val="clear" w:color="auto" w:fill="CCEEFF"/>
          </w:tcPr>
          <w:p>
            <w:pPr>
              <w:ind w:left="80"/>
              <w:spacing w:after="0"/>
              <w:rPr>
                <w:sz w:val="20"/>
                <w:szCs w:val="20"/>
                <w:color w:val="auto"/>
              </w:rPr>
            </w:pPr>
            <w:r>
              <w:rPr>
                <w:rFonts w:ascii="Arial" w:cs="Arial" w:eastAsia="Arial" w:hAnsi="Arial"/>
                <w:sz w:val="12"/>
                <w:szCs w:val="12"/>
                <w:color w:val="auto"/>
              </w:rPr>
              <w:t>Payment of long-term debt and obligations under finance leases</w:t>
            </w:r>
          </w:p>
        </w:tc>
        <w:tc>
          <w:tcPr>
            <w:tcW w:w="11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8"/>
              <w:spacing w:after="0"/>
              <w:rPr>
                <w:sz w:val="20"/>
                <w:szCs w:val="20"/>
                <w:color w:val="auto"/>
              </w:rPr>
            </w:pPr>
            <w:r>
              <w:rPr>
                <w:rFonts w:ascii="Arial" w:cs="Arial" w:eastAsia="Arial" w:hAnsi="Arial"/>
                <w:sz w:val="12"/>
                <w:szCs w:val="12"/>
                <w:b w:val="1"/>
                <w:bCs w:val="1"/>
                <w:color w:val="auto"/>
              </w:rPr>
              <w:t>(23)</w:t>
            </w: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4860" w:type="dxa"/>
            <w:vAlign w:val="bottom"/>
          </w:tcPr>
          <w:p>
            <w:pPr>
              <w:ind w:left="80"/>
              <w:spacing w:after="0"/>
              <w:rPr>
                <w:sz w:val="20"/>
                <w:szCs w:val="20"/>
                <w:color w:val="auto"/>
              </w:rPr>
            </w:pPr>
            <w:r>
              <w:rPr>
                <w:rFonts w:ascii="Arial" w:cs="Arial" w:eastAsia="Arial" w:hAnsi="Arial"/>
                <w:sz w:val="12"/>
                <w:szCs w:val="12"/>
                <w:color w:val="auto"/>
              </w:rPr>
              <w:t>Payment of debt issuance costs</w:t>
            </w:r>
          </w:p>
        </w:tc>
        <w:tc>
          <w:tcPr>
            <w:tcW w:w="1180" w:type="dxa"/>
            <w:vAlign w:val="bottom"/>
          </w:tcPr>
          <w:p>
            <w:pPr>
              <w:spacing w:after="0"/>
              <w:rPr>
                <w:sz w:val="12"/>
                <w:szCs w:val="12"/>
                <w:color w:val="auto"/>
              </w:rPr>
            </w:pPr>
          </w:p>
        </w:tc>
        <w:tc>
          <w:tcPr>
            <w:tcW w:w="460" w:type="dxa"/>
            <w:vAlign w:val="bottom"/>
          </w:tcPr>
          <w:p>
            <w:pPr>
              <w:jc w:val="right"/>
              <w:ind w:right="38"/>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spacing w:after="0"/>
              <w:rPr>
                <w:sz w:val="12"/>
                <w:szCs w:val="12"/>
                <w:color w:val="auto"/>
              </w:rPr>
            </w:pPr>
          </w:p>
        </w:tc>
        <w:tc>
          <w:tcPr>
            <w:tcW w:w="4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4860" w:type="dxa"/>
            <w:vAlign w:val="bottom"/>
            <w:shd w:val="clear" w:color="auto" w:fill="CCEEFF"/>
          </w:tcPr>
          <w:p>
            <w:pPr>
              <w:ind w:left="80"/>
              <w:spacing w:after="0"/>
              <w:rPr>
                <w:sz w:val="20"/>
                <w:szCs w:val="20"/>
                <w:color w:val="auto"/>
              </w:rPr>
            </w:pPr>
            <w:r>
              <w:rPr>
                <w:rFonts w:ascii="Arial" w:cs="Arial" w:eastAsia="Arial" w:hAnsi="Arial"/>
                <w:sz w:val="12"/>
                <w:szCs w:val="12"/>
                <w:color w:val="auto"/>
              </w:rPr>
              <w:t>Contribution from non-controlling interest</w:t>
            </w:r>
          </w:p>
        </w:tc>
        <w:tc>
          <w:tcPr>
            <w:tcW w:w="11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78"/>
              <w:spacing w:after="0"/>
              <w:rPr>
                <w:sz w:val="20"/>
                <w:szCs w:val="20"/>
                <w:color w:val="auto"/>
              </w:rPr>
            </w:pPr>
            <w:r>
              <w:rPr>
                <w:rFonts w:ascii="Arial" w:cs="Arial" w:eastAsia="Arial" w:hAnsi="Arial"/>
                <w:sz w:val="12"/>
                <w:szCs w:val="12"/>
                <w:b w:val="1"/>
                <w:bCs w:val="1"/>
                <w:color w:val="auto"/>
              </w:rPr>
              <w:t>6</w:t>
            </w: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4860" w:type="dxa"/>
            <w:vAlign w:val="bottom"/>
          </w:tcPr>
          <w:p>
            <w:pPr>
              <w:ind w:left="80"/>
              <w:spacing w:after="0"/>
              <w:rPr>
                <w:sz w:val="20"/>
                <w:szCs w:val="20"/>
                <w:color w:val="auto"/>
              </w:rPr>
            </w:pPr>
            <w:r>
              <w:rPr>
                <w:rFonts w:ascii="Arial" w:cs="Arial" w:eastAsia="Arial" w:hAnsi="Arial"/>
                <w:sz w:val="12"/>
                <w:szCs w:val="12"/>
                <w:color w:val="auto"/>
              </w:rPr>
              <w:t>Purchase of treasury shares</w:t>
            </w:r>
          </w:p>
        </w:tc>
        <w:tc>
          <w:tcPr>
            <w:tcW w:w="1180" w:type="dxa"/>
            <w:vAlign w:val="bottom"/>
          </w:tcPr>
          <w:p>
            <w:pPr>
              <w:spacing w:after="0"/>
              <w:rPr>
                <w:sz w:val="12"/>
                <w:szCs w:val="12"/>
                <w:color w:val="auto"/>
              </w:rPr>
            </w:pPr>
          </w:p>
        </w:tc>
        <w:tc>
          <w:tcPr>
            <w:tcW w:w="460" w:type="dxa"/>
            <w:vAlign w:val="bottom"/>
          </w:tcPr>
          <w:p>
            <w:pPr>
              <w:jc w:val="right"/>
              <w:ind w:right="38"/>
              <w:spacing w:after="0"/>
              <w:rPr>
                <w:sz w:val="20"/>
                <w:szCs w:val="20"/>
                <w:color w:val="auto"/>
              </w:rPr>
            </w:pPr>
            <w:r>
              <w:rPr>
                <w:rFonts w:ascii="Arial" w:cs="Arial" w:eastAsia="Arial" w:hAnsi="Arial"/>
                <w:sz w:val="12"/>
                <w:szCs w:val="12"/>
                <w:b w:val="1"/>
                <w:bCs w:val="1"/>
                <w:color w:val="auto"/>
              </w:rPr>
              <w:t>(37)</w:t>
            </w:r>
          </w:p>
        </w:tc>
        <w:tc>
          <w:tcPr>
            <w:tcW w:w="900" w:type="dxa"/>
            <w:vAlign w:val="bottom"/>
          </w:tcPr>
          <w:p>
            <w:pPr>
              <w:spacing w:after="0"/>
              <w:rPr>
                <w:sz w:val="12"/>
                <w:szCs w:val="12"/>
                <w:color w:val="auto"/>
              </w:rPr>
            </w:pPr>
          </w:p>
        </w:tc>
        <w:tc>
          <w:tcPr>
            <w:tcW w:w="460" w:type="dxa"/>
            <w:vAlign w:val="bottom"/>
          </w:tcPr>
          <w:p>
            <w:pPr>
              <w:jc w:val="right"/>
              <w:ind w:right="38"/>
              <w:spacing w:after="0"/>
              <w:rPr>
                <w:sz w:val="20"/>
                <w:szCs w:val="20"/>
                <w:color w:val="auto"/>
              </w:rPr>
            </w:pPr>
            <w:r>
              <w:rPr>
                <w:rFonts w:ascii="Arial" w:cs="Arial" w:eastAsia="Arial" w:hAnsi="Arial"/>
                <w:sz w:val="12"/>
                <w:szCs w:val="12"/>
                <w:color w:val="auto"/>
              </w:rPr>
              <w:t>(335)</w:t>
            </w:r>
          </w:p>
        </w:tc>
        <w:tc>
          <w:tcPr>
            <w:tcW w:w="3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(375)</w:t>
            </w:r>
          </w:p>
        </w:tc>
      </w:tr>
      <w:tr>
        <w:trPr>
          <w:trHeight w:val="144"/>
        </w:trPr>
        <w:tc>
          <w:tcPr>
            <w:tcW w:w="4860" w:type="dxa"/>
            <w:vAlign w:val="bottom"/>
            <w:shd w:val="clear" w:color="auto" w:fill="CCEEFF"/>
          </w:tcPr>
          <w:p>
            <w:pPr>
              <w:ind w:left="80"/>
              <w:spacing w:after="0"/>
              <w:rPr>
                <w:sz w:val="20"/>
                <w:szCs w:val="20"/>
                <w:color w:val="auto"/>
              </w:rPr>
            </w:pPr>
            <w:r>
              <w:rPr>
                <w:rFonts w:ascii="Arial" w:cs="Arial" w:eastAsia="Arial" w:hAnsi="Arial"/>
                <w:sz w:val="12"/>
                <w:szCs w:val="12"/>
                <w:color w:val="auto"/>
              </w:rPr>
              <w:t>Dividends paid on common stock</w:t>
            </w:r>
          </w:p>
        </w:tc>
        <w:tc>
          <w:tcPr>
            <w:tcW w:w="11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8"/>
              <w:spacing w:after="0"/>
              <w:rPr>
                <w:sz w:val="20"/>
                <w:szCs w:val="20"/>
                <w:color w:val="auto"/>
              </w:rPr>
            </w:pPr>
            <w:r>
              <w:rPr>
                <w:rFonts w:ascii="Arial" w:cs="Arial" w:eastAsia="Arial" w:hAnsi="Arial"/>
                <w:sz w:val="12"/>
                <w:szCs w:val="12"/>
                <w:b w:val="1"/>
                <w:bCs w:val="1"/>
                <w:color w:val="auto"/>
              </w:rPr>
              <w:t>(73)</w:t>
            </w: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8"/>
              <w:spacing w:after="0"/>
              <w:rPr>
                <w:sz w:val="20"/>
                <w:szCs w:val="20"/>
                <w:color w:val="auto"/>
              </w:rPr>
            </w:pPr>
            <w:r>
              <w:rPr>
                <w:rFonts w:ascii="Arial" w:cs="Arial" w:eastAsia="Arial" w:hAnsi="Arial"/>
                <w:sz w:val="12"/>
                <w:szCs w:val="12"/>
                <w:color w:val="auto"/>
              </w:rPr>
              <w:t>(164)</w:t>
            </w: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w:t>
            </w:r>
          </w:p>
        </w:tc>
      </w:tr>
      <w:tr>
        <w:trPr>
          <w:trHeight w:val="144"/>
        </w:trPr>
        <w:tc>
          <w:tcPr>
            <w:tcW w:w="4860" w:type="dxa"/>
            <w:vAlign w:val="bottom"/>
          </w:tcPr>
          <w:p>
            <w:pPr>
              <w:ind w:left="80"/>
              <w:spacing w:after="0"/>
              <w:rPr>
                <w:sz w:val="20"/>
                <w:szCs w:val="20"/>
                <w:color w:val="auto"/>
              </w:rPr>
            </w:pPr>
            <w:r>
              <w:rPr>
                <w:rFonts w:ascii="Arial" w:cs="Arial" w:eastAsia="Arial" w:hAnsi="Arial"/>
                <w:sz w:val="12"/>
                <w:szCs w:val="12"/>
                <w:color w:val="auto"/>
              </w:rPr>
              <w:t>Proceeds from exercise of stock options</w:t>
            </w:r>
          </w:p>
        </w:tc>
        <w:tc>
          <w:tcPr>
            <w:tcW w:w="1180" w:type="dxa"/>
            <w:vAlign w:val="bottom"/>
          </w:tcPr>
          <w:p>
            <w:pPr>
              <w:spacing w:after="0"/>
              <w:rPr>
                <w:sz w:val="12"/>
                <w:szCs w:val="12"/>
                <w:color w:val="auto"/>
              </w:rPr>
            </w:pPr>
          </w:p>
        </w:tc>
        <w:tc>
          <w:tcPr>
            <w:tcW w:w="460" w:type="dxa"/>
            <w:vAlign w:val="bottom"/>
          </w:tcPr>
          <w:p>
            <w:pPr>
              <w:jc w:val="right"/>
              <w:ind w:right="78"/>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spacing w:after="0"/>
              <w:rPr>
                <w:sz w:val="12"/>
                <w:szCs w:val="12"/>
                <w:color w:val="auto"/>
              </w:rPr>
            </w:pPr>
          </w:p>
        </w:tc>
        <w:tc>
          <w:tcPr>
            <w:tcW w:w="460" w:type="dxa"/>
            <w:vAlign w:val="bottom"/>
          </w:tcPr>
          <w:p>
            <w:pPr>
              <w:jc w:val="right"/>
              <w:ind w:right="78"/>
              <w:spacing w:after="0"/>
              <w:rPr>
                <w:sz w:val="20"/>
                <w:szCs w:val="20"/>
                <w:color w:val="auto"/>
              </w:rPr>
            </w:pPr>
            <w:r>
              <w:rPr>
                <w:rFonts w:ascii="Arial" w:cs="Arial" w:eastAsia="Arial" w:hAnsi="Arial"/>
                <w:sz w:val="12"/>
                <w:szCs w:val="12"/>
                <w:color w:val="auto"/>
              </w:rPr>
              <w:t>5</w:t>
            </w:r>
          </w:p>
        </w:tc>
        <w:tc>
          <w:tcPr>
            <w:tcW w:w="3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5</w:t>
            </w:r>
          </w:p>
        </w:tc>
      </w:tr>
      <w:tr>
        <w:trPr>
          <w:trHeight w:val="144"/>
        </w:trPr>
        <w:tc>
          <w:tcPr>
            <w:tcW w:w="4860" w:type="dxa"/>
            <w:vAlign w:val="bottom"/>
            <w:shd w:val="clear" w:color="auto" w:fill="CCEEFF"/>
          </w:tcPr>
          <w:p>
            <w:pPr>
              <w:ind w:left="80"/>
              <w:spacing w:after="0"/>
              <w:rPr>
                <w:sz w:val="20"/>
                <w:szCs w:val="20"/>
                <w:color w:val="auto"/>
              </w:rPr>
            </w:pPr>
            <w:r>
              <w:rPr>
                <w:rFonts w:ascii="Arial" w:cs="Arial" w:eastAsia="Arial" w:hAnsi="Arial"/>
                <w:sz w:val="12"/>
                <w:szCs w:val="12"/>
                <w:color w:val="auto"/>
              </w:rPr>
              <w:t>Proceeds from common stock issued under employee stock plans</w:t>
            </w:r>
          </w:p>
        </w:tc>
        <w:tc>
          <w:tcPr>
            <w:tcW w:w="11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78"/>
              <w:spacing w:after="0"/>
              <w:rPr>
                <w:sz w:val="20"/>
                <w:szCs w:val="20"/>
                <w:color w:val="auto"/>
              </w:rPr>
            </w:pPr>
            <w:r>
              <w:rPr>
                <w:rFonts w:ascii="Arial" w:cs="Arial" w:eastAsia="Arial" w:hAnsi="Arial"/>
                <w:sz w:val="12"/>
                <w:szCs w:val="12"/>
                <w:b w:val="1"/>
                <w:bCs w:val="1"/>
                <w:color w:val="auto"/>
              </w:rPr>
              <w:t>2</w:t>
            </w: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78"/>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4860" w:type="dxa"/>
            <w:vAlign w:val="bottom"/>
          </w:tcPr>
          <w:p>
            <w:pPr>
              <w:ind w:left="80"/>
              <w:spacing w:after="0"/>
              <w:rPr>
                <w:sz w:val="20"/>
                <w:szCs w:val="20"/>
                <w:color w:val="auto"/>
              </w:rPr>
            </w:pPr>
            <w:r>
              <w:rPr>
                <w:rFonts w:ascii="Arial" w:cs="Arial" w:eastAsia="Arial" w:hAnsi="Arial"/>
                <w:sz w:val="12"/>
                <w:szCs w:val="12"/>
                <w:color w:val="auto"/>
              </w:rPr>
              <w:t>Treasury stock reissued under employee stock plan</w:t>
            </w:r>
          </w:p>
        </w:tc>
        <w:tc>
          <w:tcPr>
            <w:tcW w:w="1180" w:type="dxa"/>
            <w:vAlign w:val="bottom"/>
          </w:tcPr>
          <w:p>
            <w:pPr>
              <w:spacing w:after="0"/>
              <w:rPr>
                <w:sz w:val="12"/>
                <w:szCs w:val="12"/>
                <w:color w:val="auto"/>
              </w:rPr>
            </w:pPr>
          </w:p>
        </w:tc>
        <w:tc>
          <w:tcPr>
            <w:tcW w:w="460" w:type="dxa"/>
            <w:vAlign w:val="bottom"/>
          </w:tcPr>
          <w:p>
            <w:pPr>
              <w:jc w:val="right"/>
              <w:ind w:right="78"/>
              <w:spacing w:after="0"/>
              <w:rPr>
                <w:sz w:val="20"/>
                <w:szCs w:val="20"/>
                <w:color w:val="auto"/>
              </w:rPr>
            </w:pPr>
            <w:r>
              <w:rPr>
                <w:rFonts w:ascii="Arial" w:cs="Arial" w:eastAsia="Arial" w:hAnsi="Arial"/>
                <w:sz w:val="12"/>
                <w:szCs w:val="12"/>
                <w:b w:val="1"/>
                <w:bCs w:val="1"/>
                <w:color w:val="auto"/>
              </w:rPr>
              <w:t>—</w:t>
            </w:r>
          </w:p>
        </w:tc>
        <w:tc>
          <w:tcPr>
            <w:tcW w:w="900" w:type="dxa"/>
            <w:vAlign w:val="bottom"/>
          </w:tcPr>
          <w:p>
            <w:pPr>
              <w:spacing w:after="0"/>
              <w:rPr>
                <w:sz w:val="12"/>
                <w:szCs w:val="12"/>
                <w:color w:val="auto"/>
              </w:rPr>
            </w:pPr>
          </w:p>
        </w:tc>
        <w:tc>
          <w:tcPr>
            <w:tcW w:w="460" w:type="dxa"/>
            <w:vAlign w:val="bottom"/>
          </w:tcPr>
          <w:p>
            <w:pPr>
              <w:jc w:val="right"/>
              <w:ind w:right="78"/>
              <w:spacing w:after="0"/>
              <w:rPr>
                <w:sz w:val="20"/>
                <w:szCs w:val="20"/>
                <w:color w:val="auto"/>
              </w:rPr>
            </w:pPr>
            <w:r>
              <w:rPr>
                <w:rFonts w:ascii="Arial" w:cs="Arial" w:eastAsia="Arial" w:hAnsi="Arial"/>
                <w:sz w:val="12"/>
                <w:szCs w:val="12"/>
                <w:color w:val="auto"/>
              </w:rPr>
              <w:t>3</w:t>
            </w:r>
          </w:p>
        </w:tc>
        <w:tc>
          <w:tcPr>
            <w:tcW w:w="3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144"/>
        </w:trPr>
        <w:tc>
          <w:tcPr>
            <w:tcW w:w="48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2"/>
                <w:szCs w:val="12"/>
                <w:color w:val="auto"/>
              </w:rPr>
              <w:t>Shares of common stock repurchased to satisfy tax withholding obligations</w:t>
            </w:r>
          </w:p>
        </w:tc>
        <w:tc>
          <w:tcPr>
            <w:tcW w:w="118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b w:val="1"/>
                <w:bCs w:val="1"/>
                <w:color w:val="auto"/>
              </w:rPr>
              <w:t>(1)</w:t>
            </w:r>
          </w:p>
        </w:tc>
        <w:tc>
          <w:tcPr>
            <w:tcW w:w="9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2"/>
                <w:szCs w:val="12"/>
                <w:color w:val="auto"/>
              </w:rPr>
              <w:t>(2)</w:t>
            </w:r>
          </w:p>
        </w:tc>
        <w:tc>
          <w:tcPr>
            <w:tcW w:w="34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r>
      <w:tr>
        <w:trPr>
          <w:trHeight w:val="134"/>
        </w:trPr>
        <w:tc>
          <w:tcPr>
            <w:tcW w:w="4860" w:type="dxa"/>
            <w:vAlign w:val="bottom"/>
            <w:tcBorders>
              <w:bottom w:val="single" w:sz="8" w:color="auto"/>
            </w:tcBorders>
          </w:tcPr>
          <w:p>
            <w:pPr>
              <w:spacing w:after="0" w:line="134" w:lineRule="exact"/>
              <w:rPr>
                <w:sz w:val="20"/>
                <w:szCs w:val="20"/>
                <w:color w:val="auto"/>
              </w:rPr>
            </w:pPr>
            <w:r>
              <w:rPr>
                <w:rFonts w:ascii="Arial" w:cs="Arial" w:eastAsia="Arial" w:hAnsi="Arial"/>
                <w:sz w:val="12"/>
                <w:szCs w:val="12"/>
                <w:color w:val="auto"/>
              </w:rPr>
              <w:t>Net cash used in financing activities</w:t>
            </w:r>
          </w:p>
        </w:tc>
        <w:tc>
          <w:tcPr>
            <w:tcW w:w="118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38"/>
              <w:spacing w:after="0" w:line="134" w:lineRule="exact"/>
              <w:rPr>
                <w:sz w:val="20"/>
                <w:szCs w:val="20"/>
                <w:color w:val="auto"/>
              </w:rPr>
            </w:pPr>
            <w:r>
              <w:rPr>
                <w:rFonts w:ascii="Arial" w:cs="Arial" w:eastAsia="Arial" w:hAnsi="Arial"/>
                <w:sz w:val="12"/>
                <w:szCs w:val="12"/>
                <w:b w:val="1"/>
                <w:bCs w:val="1"/>
                <w:color w:val="auto"/>
              </w:rPr>
              <w:t>(126)</w:t>
            </w:r>
          </w:p>
        </w:tc>
        <w:tc>
          <w:tcPr>
            <w:tcW w:w="9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38"/>
              <w:spacing w:after="0" w:line="134" w:lineRule="exact"/>
              <w:rPr>
                <w:sz w:val="20"/>
                <w:szCs w:val="20"/>
                <w:color w:val="auto"/>
              </w:rPr>
            </w:pPr>
            <w:r>
              <w:rPr>
                <w:rFonts w:ascii="Arial" w:cs="Arial" w:eastAsia="Arial" w:hAnsi="Arial"/>
                <w:sz w:val="12"/>
                <w:szCs w:val="12"/>
                <w:color w:val="auto"/>
              </w:rPr>
              <w:t>(493)</w:t>
            </w:r>
          </w:p>
        </w:tc>
        <w:tc>
          <w:tcPr>
            <w:tcW w:w="3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(527)</w:t>
            </w:r>
          </w:p>
        </w:tc>
      </w:tr>
      <w:tr>
        <w:trPr>
          <w:trHeight w:val="134"/>
        </w:trPr>
        <w:tc>
          <w:tcPr>
            <w:tcW w:w="48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44"/>
        </w:trPr>
        <w:tc>
          <w:tcPr>
            <w:tcW w:w="48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Effect of exchange rate fluctuations on cash, cash equivalents, and restricted cash</w:t>
            </w:r>
          </w:p>
        </w:tc>
        <w:tc>
          <w:tcPr>
            <w:tcW w:w="1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b w:val="1"/>
                <w:bCs w:val="1"/>
                <w:color w:val="auto"/>
              </w:rPr>
              <w:t>8</w:t>
            </w:r>
          </w:p>
        </w:tc>
        <w:tc>
          <w:tcPr>
            <w:tcW w:w="9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38"/>
              <w:spacing w:after="0"/>
              <w:rPr>
                <w:sz w:val="20"/>
                <w:szCs w:val="20"/>
                <w:color w:val="auto"/>
              </w:rPr>
            </w:pPr>
            <w:r>
              <w:rPr>
                <w:rFonts w:ascii="Arial" w:cs="Arial" w:eastAsia="Arial" w:hAnsi="Arial"/>
                <w:sz w:val="12"/>
                <w:szCs w:val="12"/>
                <w:color w:val="auto"/>
              </w:rPr>
              <w:t>(7)</w:t>
            </w:r>
          </w:p>
        </w:tc>
        <w:tc>
          <w:tcPr>
            <w:tcW w:w="3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w:t>
            </w:r>
          </w:p>
        </w:tc>
      </w:tr>
      <w:tr>
        <w:trPr>
          <w:trHeight w:val="134"/>
        </w:trPr>
        <w:tc>
          <w:tcPr>
            <w:tcW w:w="486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Net change in cash, cash equivalents, and restricted cash</w:t>
            </w:r>
          </w:p>
        </w:tc>
        <w:tc>
          <w:tcPr>
            <w:tcW w:w="118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78"/>
              <w:spacing w:after="0" w:line="134" w:lineRule="exact"/>
              <w:rPr>
                <w:sz w:val="20"/>
                <w:szCs w:val="20"/>
                <w:color w:val="auto"/>
              </w:rPr>
            </w:pPr>
            <w:r>
              <w:rPr>
                <w:rFonts w:ascii="Arial" w:cs="Arial" w:eastAsia="Arial" w:hAnsi="Arial"/>
                <w:sz w:val="12"/>
                <w:szCs w:val="12"/>
                <w:b w:val="1"/>
                <w:bCs w:val="1"/>
                <w:color w:val="auto"/>
              </w:rPr>
              <w:t>776</w:t>
            </w:r>
          </w:p>
        </w:tc>
        <w:tc>
          <w:tcPr>
            <w:tcW w:w="90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38"/>
              <w:spacing w:after="0" w:line="134" w:lineRule="exact"/>
              <w:rPr>
                <w:sz w:val="20"/>
                <w:szCs w:val="20"/>
                <w:color w:val="auto"/>
              </w:rPr>
            </w:pPr>
            <w:r>
              <w:rPr>
                <w:rFonts w:ascii="Arial" w:cs="Arial" w:eastAsia="Arial" w:hAnsi="Arial"/>
                <w:sz w:val="12"/>
                <w:szCs w:val="12"/>
                <w:color w:val="auto"/>
              </w:rPr>
              <w:t>(39)</w:t>
            </w:r>
          </w:p>
        </w:tc>
        <w:tc>
          <w:tcPr>
            <w:tcW w:w="34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(50)</w:t>
            </w:r>
          </w:p>
        </w:tc>
      </w:tr>
      <w:tr>
        <w:trPr>
          <w:trHeight w:val="144"/>
        </w:trPr>
        <w:tc>
          <w:tcPr>
            <w:tcW w:w="48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Cash, cash equivalents, and restricted cash at beginning of year</w:t>
            </w:r>
          </w:p>
        </w:tc>
        <w:tc>
          <w:tcPr>
            <w:tcW w:w="11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b w:val="1"/>
                <w:bCs w:val="1"/>
                <w:color w:val="auto"/>
              </w:rPr>
              <w:t>942</w:t>
            </w:r>
          </w:p>
        </w:tc>
        <w:tc>
          <w:tcPr>
            <w:tcW w:w="9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8"/>
              <w:spacing w:after="0"/>
              <w:rPr>
                <w:sz w:val="20"/>
                <w:szCs w:val="20"/>
                <w:color w:val="auto"/>
              </w:rPr>
            </w:pPr>
            <w:r>
              <w:rPr>
                <w:rFonts w:ascii="Arial" w:cs="Arial" w:eastAsia="Arial" w:hAnsi="Arial"/>
                <w:sz w:val="12"/>
                <w:szCs w:val="12"/>
                <w:color w:val="auto"/>
              </w:rPr>
              <w:t>981</w:t>
            </w:r>
          </w:p>
        </w:tc>
        <w:tc>
          <w:tcPr>
            <w:tcW w:w="34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1,031</w:t>
            </w:r>
          </w:p>
        </w:tc>
      </w:tr>
      <w:tr>
        <w:trPr>
          <w:trHeight w:val="134"/>
        </w:trPr>
        <w:tc>
          <w:tcPr>
            <w:tcW w:w="4860" w:type="dxa"/>
            <w:vAlign w:val="bottom"/>
            <w:tcBorders>
              <w:bottom w:val="single" w:sz="8" w:color="auto"/>
            </w:tcBorders>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Cash, cash equivalents, and restricted cash at end of period</w:t>
            </w:r>
          </w:p>
        </w:tc>
        <w:tc>
          <w:tcPr>
            <w:tcW w:w="1180" w:type="dxa"/>
            <w:vAlign w:val="bottom"/>
            <w:tcBorders>
              <w:bottom w:val="single" w:sz="8" w:color="auto"/>
            </w:tcBorders>
            <w:shd w:val="clear" w:color="auto" w:fill="CCEEFF"/>
          </w:tcPr>
          <w:p>
            <w:pPr>
              <w:jc w:val="right"/>
              <w:ind w:right="658"/>
              <w:spacing w:after="0" w:line="134" w:lineRule="exact"/>
              <w:rPr>
                <w:sz w:val="20"/>
                <w:szCs w:val="20"/>
                <w:color w:val="auto"/>
              </w:rPr>
            </w:pPr>
            <w:r>
              <w:rPr>
                <w:rFonts w:ascii="Arial" w:cs="Arial" w:eastAsia="Arial" w:hAnsi="Arial"/>
                <w:sz w:val="12"/>
                <w:szCs w:val="12"/>
                <w:b w:val="1"/>
                <w:bCs w:val="1"/>
                <w:color w:val="auto"/>
              </w:rPr>
              <w:t>$</w:t>
            </w:r>
          </w:p>
        </w:tc>
        <w:tc>
          <w:tcPr>
            <w:tcW w:w="460" w:type="dxa"/>
            <w:vAlign w:val="bottom"/>
            <w:tcBorders>
              <w:bottom w:val="single" w:sz="8" w:color="auto"/>
            </w:tcBorders>
            <w:shd w:val="clear" w:color="auto" w:fill="CCEEFF"/>
          </w:tcPr>
          <w:p>
            <w:pPr>
              <w:jc w:val="right"/>
              <w:ind w:right="78"/>
              <w:spacing w:after="0" w:line="134" w:lineRule="exact"/>
              <w:rPr>
                <w:sz w:val="20"/>
                <w:szCs w:val="20"/>
                <w:color w:val="auto"/>
              </w:rPr>
            </w:pPr>
            <w:r>
              <w:rPr>
                <w:rFonts w:ascii="Arial" w:cs="Arial" w:eastAsia="Arial" w:hAnsi="Arial"/>
                <w:sz w:val="12"/>
                <w:szCs w:val="12"/>
                <w:b w:val="1"/>
                <w:bCs w:val="1"/>
                <w:color w:val="auto"/>
                <w:w w:val="99"/>
              </w:rPr>
              <w:t>1,718</w:t>
            </w:r>
          </w:p>
        </w:tc>
        <w:tc>
          <w:tcPr>
            <w:tcW w:w="900" w:type="dxa"/>
            <w:vAlign w:val="bottom"/>
            <w:tcBorders>
              <w:bottom w:val="single" w:sz="8" w:color="auto"/>
            </w:tcBorders>
            <w:shd w:val="clear" w:color="auto" w:fill="CCEEFF"/>
          </w:tcPr>
          <w:p>
            <w:pPr>
              <w:jc w:val="right"/>
              <w:ind w:right="678"/>
              <w:spacing w:after="0" w:line="134" w:lineRule="exact"/>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shd w:val="clear" w:color="auto" w:fill="CCEEFF"/>
          </w:tcPr>
          <w:p>
            <w:pPr>
              <w:jc w:val="right"/>
              <w:ind w:right="78"/>
              <w:spacing w:after="0" w:line="134" w:lineRule="exact"/>
              <w:rPr>
                <w:sz w:val="20"/>
                <w:szCs w:val="20"/>
                <w:color w:val="auto"/>
              </w:rPr>
            </w:pPr>
            <w:r>
              <w:rPr>
                <w:rFonts w:ascii="Arial" w:cs="Arial" w:eastAsia="Arial" w:hAnsi="Arial"/>
                <w:sz w:val="12"/>
                <w:szCs w:val="12"/>
                <w:color w:val="auto"/>
              </w:rPr>
              <w:t>942</w:t>
            </w:r>
          </w:p>
        </w:tc>
        <w:tc>
          <w:tcPr>
            <w:tcW w:w="340" w:type="dxa"/>
            <w:vAlign w:val="bottom"/>
            <w:tcBorders>
              <w:bottom w:val="single" w:sz="8" w:color="auto"/>
            </w:tcBorders>
            <w:shd w:val="clear" w:color="auto" w:fill="CCEEFF"/>
          </w:tcPr>
          <w:p>
            <w:pPr>
              <w:jc w:val="right"/>
              <w:ind w:right="118"/>
              <w:spacing w:after="0" w:line="134" w:lineRule="exact"/>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981</w:t>
            </w: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14"/>
        </w:trPr>
        <w:tc>
          <w:tcPr>
            <w:tcW w:w="48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90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144"/>
        </w:trPr>
        <w:tc>
          <w:tcPr>
            <w:tcW w:w="486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paid during the year:</w:t>
            </w:r>
          </w:p>
        </w:tc>
        <w:tc>
          <w:tcPr>
            <w:tcW w:w="1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44"/>
        </w:trPr>
        <w:tc>
          <w:tcPr>
            <w:tcW w:w="4860" w:type="dxa"/>
            <w:vAlign w:val="bottom"/>
          </w:tcPr>
          <w:p>
            <w:pPr>
              <w:ind w:left="80"/>
              <w:spacing w:after="0"/>
              <w:rPr>
                <w:sz w:val="20"/>
                <w:szCs w:val="20"/>
                <w:color w:val="auto"/>
              </w:rPr>
            </w:pPr>
            <w:r>
              <w:rPr>
                <w:rFonts w:ascii="Arial" w:cs="Arial" w:eastAsia="Arial" w:hAnsi="Arial"/>
                <w:sz w:val="12"/>
                <w:szCs w:val="12"/>
                <w:color w:val="auto"/>
              </w:rPr>
              <w:t>Interest</w:t>
            </w:r>
          </w:p>
        </w:tc>
        <w:tc>
          <w:tcPr>
            <w:tcW w:w="1180" w:type="dxa"/>
            <w:vAlign w:val="bottom"/>
          </w:tcPr>
          <w:p>
            <w:pPr>
              <w:jc w:val="right"/>
              <w:ind w:right="658"/>
              <w:spacing w:after="0"/>
              <w:rPr>
                <w:sz w:val="20"/>
                <w:szCs w:val="20"/>
                <w:color w:val="auto"/>
              </w:rPr>
            </w:pPr>
            <w:r>
              <w:rPr>
                <w:rFonts w:ascii="Arial" w:cs="Arial" w:eastAsia="Arial" w:hAnsi="Arial"/>
                <w:sz w:val="12"/>
                <w:szCs w:val="12"/>
                <w:b w:val="1"/>
                <w:bCs w:val="1"/>
                <w:color w:val="auto"/>
              </w:rPr>
              <w:t>$</w:t>
            </w:r>
          </w:p>
        </w:tc>
        <w:tc>
          <w:tcPr>
            <w:tcW w:w="460" w:type="dxa"/>
            <w:vAlign w:val="bottom"/>
          </w:tcPr>
          <w:p>
            <w:pPr>
              <w:jc w:val="right"/>
              <w:ind w:right="78"/>
              <w:spacing w:after="0"/>
              <w:rPr>
                <w:sz w:val="20"/>
                <w:szCs w:val="20"/>
                <w:color w:val="auto"/>
              </w:rPr>
            </w:pPr>
            <w:r>
              <w:rPr>
                <w:rFonts w:ascii="Arial" w:cs="Arial" w:eastAsia="Arial" w:hAnsi="Arial"/>
                <w:sz w:val="12"/>
                <w:szCs w:val="12"/>
                <w:b w:val="1"/>
                <w:bCs w:val="1"/>
                <w:color w:val="auto"/>
              </w:rPr>
              <w:t>14</w:t>
            </w:r>
          </w:p>
        </w:tc>
        <w:tc>
          <w:tcPr>
            <w:tcW w:w="900" w:type="dxa"/>
            <w:vAlign w:val="bottom"/>
          </w:tcPr>
          <w:p>
            <w:pPr>
              <w:jc w:val="right"/>
              <w:ind w:right="678"/>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78"/>
              <w:spacing w:after="0"/>
              <w:rPr>
                <w:sz w:val="20"/>
                <w:szCs w:val="20"/>
                <w:color w:val="auto"/>
              </w:rPr>
            </w:pPr>
            <w:r>
              <w:rPr>
                <w:rFonts w:ascii="Arial" w:cs="Arial" w:eastAsia="Arial" w:hAnsi="Arial"/>
                <w:sz w:val="12"/>
                <w:szCs w:val="12"/>
                <w:color w:val="auto"/>
              </w:rPr>
              <w:t>11</w:t>
            </w:r>
          </w:p>
        </w:tc>
        <w:tc>
          <w:tcPr>
            <w:tcW w:w="34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920" w:type="dxa"/>
            <w:vAlign w:val="bottom"/>
          </w:tcPr>
          <w:p>
            <w:pPr>
              <w:jc w:val="right"/>
              <w:spacing w:after="0"/>
              <w:rPr>
                <w:sz w:val="20"/>
                <w:szCs w:val="20"/>
                <w:color w:val="auto"/>
              </w:rPr>
            </w:pPr>
            <w:r>
              <w:rPr>
                <w:rFonts w:ascii="Arial" w:cs="Arial" w:eastAsia="Arial" w:hAnsi="Arial"/>
                <w:sz w:val="12"/>
                <w:szCs w:val="12"/>
                <w:color w:val="auto"/>
              </w:rPr>
              <w:t>11</w:t>
            </w:r>
          </w:p>
        </w:tc>
      </w:tr>
      <w:tr>
        <w:trPr>
          <w:trHeight w:val="144"/>
        </w:trPr>
        <w:tc>
          <w:tcPr>
            <w:tcW w:w="48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2"/>
                <w:szCs w:val="12"/>
                <w:color w:val="auto"/>
              </w:rPr>
              <w:t>Income taxes</w:t>
            </w:r>
          </w:p>
        </w:tc>
        <w:tc>
          <w:tcPr>
            <w:tcW w:w="1180" w:type="dxa"/>
            <w:vAlign w:val="bottom"/>
            <w:tcBorders>
              <w:bottom w:val="single" w:sz="8" w:color="auto"/>
            </w:tcBorders>
            <w:shd w:val="clear" w:color="auto" w:fill="CCEEFF"/>
          </w:tcPr>
          <w:p>
            <w:pPr>
              <w:jc w:val="right"/>
              <w:ind w:right="658"/>
              <w:spacing w:after="0"/>
              <w:rPr>
                <w:sz w:val="20"/>
                <w:szCs w:val="20"/>
                <w:color w:val="auto"/>
              </w:rPr>
            </w:pPr>
            <w:r>
              <w:rPr>
                <w:rFonts w:ascii="Arial" w:cs="Arial" w:eastAsia="Arial" w:hAnsi="Arial"/>
                <w:sz w:val="12"/>
                <w:szCs w:val="12"/>
                <w:b w:val="1"/>
                <w:bCs w:val="1"/>
                <w:color w:val="auto"/>
              </w:rPr>
              <w:t>$</w:t>
            </w:r>
          </w:p>
        </w:tc>
        <w:tc>
          <w:tcPr>
            <w:tcW w:w="4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2"/>
                <w:szCs w:val="12"/>
                <w:b w:val="1"/>
                <w:bCs w:val="1"/>
                <w:color w:val="auto"/>
              </w:rPr>
              <w:t>100</w:t>
            </w:r>
          </w:p>
        </w:tc>
        <w:tc>
          <w:tcPr>
            <w:tcW w:w="900" w:type="dxa"/>
            <w:vAlign w:val="bottom"/>
            <w:tcBorders>
              <w:bottom w:val="single" w:sz="8" w:color="auto"/>
            </w:tcBorders>
            <w:shd w:val="clear" w:color="auto" w:fill="CCEEFF"/>
          </w:tcPr>
          <w:p>
            <w:pPr>
              <w:jc w:val="right"/>
              <w:ind w:right="678"/>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2"/>
                <w:szCs w:val="12"/>
                <w:color w:val="auto"/>
              </w:rPr>
              <w:t>201</w:t>
            </w:r>
          </w:p>
        </w:tc>
        <w:tc>
          <w:tcPr>
            <w:tcW w:w="3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2"/>
                <w:szCs w:val="12"/>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184</w:t>
            </w:r>
          </w:p>
        </w:tc>
      </w:tr>
    </w:tbl>
    <w:p>
      <w:pPr>
        <w:spacing w:after="0" w:line="14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2934335</wp:posOffset>
            </wp:positionH>
            <wp:positionV relativeFrom="page">
              <wp:posOffset>434340</wp:posOffset>
            </wp:positionV>
            <wp:extent cx="1569720" cy="169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569720" cy="16954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7660"/>
        <w:spacing w:after="0"/>
        <w:rPr>
          <w:sz w:val="20"/>
          <w:szCs w:val="20"/>
          <w:color w:val="auto"/>
        </w:rPr>
      </w:pPr>
      <w:r>
        <w:rPr>
          <w:rFonts w:ascii="Arial" w:cs="Arial" w:eastAsia="Arial" w:hAnsi="Arial"/>
          <w:sz w:val="12"/>
          <w:szCs w:val="12"/>
          <w:color w:val="auto"/>
        </w:rPr>
        <w:t>2020 Form 10-K 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365125</wp:posOffset>
            </wp:positionV>
            <wp:extent cx="5790565" cy="196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90565" cy="19685"/>
                    </a:xfrm>
                    <a:prstGeom prst="rect">
                      <a:avLst/>
                    </a:prstGeom>
                    <a:noFill/>
                  </pic:spPr>
                </pic:pic>
              </a:graphicData>
            </a:graphic>
          </wp:anchor>
        </w:drawing>
      </w:r>
    </w:p>
    <w:p>
      <w:pPr>
        <w:sectPr>
          <w:pgSz w:w="11900" w:h="16838" w:orient="portrait"/>
          <w:cols w:equalWidth="0" w:num="1">
            <w:col w:w="9159"/>
          </w:cols>
          <w:pgMar w:left="1300" w:top="1060" w:right="1440"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2992755</wp:posOffset>
            </wp:positionH>
            <wp:positionV relativeFrom="page">
              <wp:posOffset>375285</wp:posOffset>
            </wp:positionV>
            <wp:extent cx="1563370" cy="169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1563370" cy="169545"/>
                    </a:xfrm>
                    <a:prstGeom prst="rect">
                      <a:avLst/>
                    </a:prstGeom>
                    <a:noFill/>
                  </pic:spPr>
                </pic:pic>
              </a:graphicData>
            </a:graphic>
          </wp:anchor>
        </w:drawing>
        <w:t>NOTES TO CONSOLIDATED FINANCIAL STATEMENTS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1. Summary of Significant Accounting Policies</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Basis of Presentation</w:t>
      </w:r>
    </w:p>
    <w:p>
      <w:pPr>
        <w:spacing w:after="0" w:line="121" w:lineRule="exact"/>
        <w:rPr>
          <w:sz w:val="20"/>
          <w:szCs w:val="20"/>
          <w:color w:val="auto"/>
        </w:rPr>
      </w:pPr>
    </w:p>
    <w:p>
      <w:pPr>
        <w:jc w:val="both"/>
        <w:ind w:left="20" w:right="39"/>
        <w:spacing w:after="0" w:line="235" w:lineRule="auto"/>
        <w:rPr>
          <w:sz w:val="20"/>
          <w:szCs w:val="20"/>
          <w:color w:val="auto"/>
        </w:rPr>
      </w:pPr>
      <w:r>
        <w:rPr>
          <w:rFonts w:ascii="Arial" w:cs="Arial" w:eastAsia="Arial" w:hAnsi="Arial"/>
          <w:sz w:val="13"/>
          <w:szCs w:val="13"/>
          <w:color w:val="auto"/>
        </w:rPr>
        <w:t>The consolidated financial statements include the accounts of Foot Locker, Inc. and its domestic and international subsidiaries, as well as any entities in which we have a controlling voting interest that are required to be consolidated. All significant intercompany amounts have been eliminated. As used in these Notes to Consolidated Financial Statements the terms “Foot Locker,” “Company,” “we,” “our,” and “us” refer to Foot Locker, Inc. and its consolidated subsidiaries.</w:t>
      </w:r>
    </w:p>
    <w:p>
      <w:pPr>
        <w:spacing w:after="0" w:line="102" w:lineRule="exact"/>
        <w:rPr>
          <w:sz w:val="20"/>
          <w:szCs w:val="20"/>
          <w:color w:val="auto"/>
        </w:rPr>
      </w:pPr>
    </w:p>
    <w:p>
      <w:pPr>
        <w:jc w:val="both"/>
        <w:ind w:left="20" w:right="39"/>
        <w:spacing w:after="0" w:line="236" w:lineRule="auto"/>
        <w:rPr>
          <w:sz w:val="20"/>
          <w:szCs w:val="20"/>
          <w:color w:val="auto"/>
        </w:rPr>
      </w:pPr>
      <w:r>
        <w:rPr>
          <w:rFonts w:ascii="Arial" w:cs="Arial" w:eastAsia="Arial" w:hAnsi="Arial"/>
          <w:sz w:val="13"/>
          <w:szCs w:val="13"/>
          <w:color w:val="auto"/>
        </w:rPr>
        <w:t>The preparation of financial statements in conformity with U.S. generally accepted accounting principles requires management to make estimates and assumptions relating to the reporting of assets and liabilities and the disclosure of contingent liabilities at the date of the financial statements, and the reported amounts of revenues and expenses during the reporting period. Actual results may differ from those estimates.</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COVID-19 Pandemic</w:t>
      </w:r>
    </w:p>
    <w:p>
      <w:pPr>
        <w:spacing w:after="0" w:line="121" w:lineRule="exact"/>
        <w:rPr>
          <w:sz w:val="20"/>
          <w:szCs w:val="20"/>
          <w:color w:val="auto"/>
        </w:rPr>
      </w:pPr>
    </w:p>
    <w:p>
      <w:pPr>
        <w:jc w:val="both"/>
        <w:ind w:left="20" w:right="39"/>
        <w:spacing w:after="0" w:line="234" w:lineRule="auto"/>
        <w:rPr>
          <w:sz w:val="20"/>
          <w:szCs w:val="20"/>
          <w:color w:val="auto"/>
        </w:rPr>
      </w:pPr>
      <w:r>
        <w:rPr>
          <w:rFonts w:ascii="Arial" w:cs="Arial" w:eastAsia="Arial" w:hAnsi="Arial"/>
          <w:sz w:val="13"/>
          <w:szCs w:val="13"/>
          <w:color w:val="auto"/>
        </w:rPr>
        <w:t>In March 2020, the World Health Organization designated COVID-19 a pandemic. COVID-19 had a significant effect on overall economic conditions in nearly all regions around the world and resulted in travel restrictions and business slowdowns or shutdowns. As a result of the COVID-19 pandemic, we temporarily closed our stores in North America, EMEA (Europe, Middle East, and Africa), and Asia Pacific throughout 2020 but primarily during the first and second quarters. We have been and will continue to operate in-store fulfillment activities to mitigate the effect of the temporary closures caused by COVID-19.</w:t>
      </w:r>
    </w:p>
    <w:p>
      <w:pPr>
        <w:spacing w:after="0" w:line="123" w:lineRule="exact"/>
        <w:rPr>
          <w:sz w:val="20"/>
          <w:szCs w:val="20"/>
          <w:color w:val="auto"/>
        </w:rPr>
      </w:pPr>
    </w:p>
    <w:p>
      <w:pPr>
        <w:jc w:val="both"/>
        <w:ind w:left="20" w:right="39"/>
        <w:spacing w:after="0" w:line="234" w:lineRule="auto"/>
        <w:rPr>
          <w:sz w:val="20"/>
          <w:szCs w:val="20"/>
          <w:color w:val="auto"/>
        </w:rPr>
      </w:pPr>
      <w:r>
        <w:rPr>
          <w:rFonts w:ascii="Arial" w:cs="Arial" w:eastAsia="Arial" w:hAnsi="Arial"/>
          <w:sz w:val="13"/>
          <w:szCs w:val="13"/>
          <w:color w:val="auto"/>
        </w:rPr>
        <w:t>We considered the ongoing effects of the COVID-19 pandemic on our operations, as well as the assumptions and estimates used when preparing our financial statements, including inventory valuation, income taxes, and evaluating the impairment of long-lived tangible assets and right-of-use lease assets. These assumptions and estimates may change as the current situation evolves or new events occur and additional information is obtained. If the economic conditions caused by COVID-19 worsen beyond what is currently estimated by management, such future changes may have an adverse effect on our results of operations, financial position, and liquidity.</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Reporting Year</w:t>
      </w:r>
    </w:p>
    <w:p>
      <w:pPr>
        <w:spacing w:after="0" w:line="121" w:lineRule="exact"/>
        <w:rPr>
          <w:sz w:val="20"/>
          <w:szCs w:val="20"/>
          <w:color w:val="auto"/>
        </w:rPr>
      </w:pPr>
    </w:p>
    <w:p>
      <w:pPr>
        <w:jc w:val="both"/>
        <w:ind w:left="20" w:right="39"/>
        <w:spacing w:after="0" w:line="236" w:lineRule="auto"/>
        <w:rPr>
          <w:sz w:val="20"/>
          <w:szCs w:val="20"/>
          <w:color w:val="auto"/>
        </w:rPr>
      </w:pPr>
      <w:r>
        <w:rPr>
          <w:rFonts w:ascii="Arial" w:cs="Arial" w:eastAsia="Arial" w:hAnsi="Arial"/>
          <w:sz w:val="13"/>
          <w:szCs w:val="13"/>
          <w:color w:val="auto"/>
        </w:rPr>
        <w:t>Our fiscal year end is a 52-week or 53-week period ending the Saturday closest to the last day in January. Fiscal year 2020, 2019, and 2018 represented the 52 weeks ended January 30, 2021, February 1, 2020, and February 2, 2019, respectively. References to years in this annual report relate to fiscal years rather than calendar years.</w:t>
      </w:r>
    </w:p>
    <w:p>
      <w:pPr>
        <w:spacing w:after="0" w:line="89"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Revenue Recognition</w:t>
      </w:r>
    </w:p>
    <w:p>
      <w:pPr>
        <w:spacing w:after="0" w:line="111" w:lineRule="exact"/>
        <w:rPr>
          <w:sz w:val="20"/>
          <w:szCs w:val="20"/>
          <w:color w:val="auto"/>
        </w:rPr>
      </w:pPr>
    </w:p>
    <w:p>
      <w:pPr>
        <w:jc w:val="both"/>
        <w:ind w:left="20" w:right="39"/>
        <w:spacing w:after="0" w:line="234" w:lineRule="auto"/>
        <w:rPr>
          <w:sz w:val="20"/>
          <w:szCs w:val="20"/>
          <w:color w:val="auto"/>
        </w:rPr>
      </w:pPr>
      <w:r>
        <w:rPr>
          <w:rFonts w:ascii="Arial" w:cs="Arial" w:eastAsia="Arial" w:hAnsi="Arial"/>
          <w:sz w:val="13"/>
          <w:szCs w:val="13"/>
          <w:color w:val="auto"/>
        </w:rPr>
        <w:t>Store revenue is recognized at the point of sale and includes merchandise, net of returns, and excludes taxes. Revenue from layaway sales is recognized when the customer receives the product, rather than when the initial deposit is paid. We recognize revenue for merchandise that is shipped to our customers from our distribution centers and stores upon shipment as the customer has control of the product upon shipment. We account for shipping and handling as a fulfillment activity. We accrue the cost and recognize revenue for these activities upon shipment date, therefore total sales recognized includes shipping and handling fees.</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Gift Cards</w:t>
      </w:r>
    </w:p>
    <w:p>
      <w:pPr>
        <w:spacing w:after="0" w:line="121" w:lineRule="exact"/>
        <w:rPr>
          <w:sz w:val="20"/>
          <w:szCs w:val="20"/>
          <w:color w:val="auto"/>
        </w:rPr>
      </w:pPr>
    </w:p>
    <w:p>
      <w:pPr>
        <w:jc w:val="both"/>
        <w:ind w:left="20" w:right="39"/>
        <w:spacing w:after="0" w:line="236" w:lineRule="auto"/>
        <w:rPr>
          <w:sz w:val="20"/>
          <w:szCs w:val="20"/>
          <w:color w:val="auto"/>
        </w:rPr>
      </w:pPr>
      <w:r>
        <w:rPr>
          <w:rFonts w:ascii="Arial" w:cs="Arial" w:eastAsia="Arial" w:hAnsi="Arial"/>
          <w:sz w:val="13"/>
          <w:szCs w:val="13"/>
          <w:color w:val="auto"/>
        </w:rPr>
        <w:t>We sell gift cards which do not have expiration dates. Revenue from gift card sales is recorded when the gift cards are redeemed by customers. Gift card breakage is recognized as revenue in proportion to the pattern of rights exercised by the customer, unless there is a legal obligation to remit the value of unredeemed gift cards to the relevant jurisdictions.</w:t>
      </w:r>
    </w:p>
    <w:p>
      <w:pPr>
        <w:spacing w:after="0" w:line="133" w:lineRule="exact"/>
        <w:rPr>
          <w:sz w:val="20"/>
          <w:szCs w:val="20"/>
          <w:color w:val="auto"/>
        </w:rPr>
      </w:pPr>
    </w:p>
    <w:p>
      <w:pPr>
        <w:ind w:left="7520"/>
        <w:spacing w:after="0"/>
        <w:rPr>
          <w:sz w:val="20"/>
          <w:szCs w:val="20"/>
          <w:color w:val="auto"/>
        </w:rPr>
      </w:pPr>
      <w:r>
        <w:rPr>
          <w:rFonts w:ascii="Arial" w:cs="Arial" w:eastAsia="Arial" w:hAnsi="Arial"/>
          <w:sz w:val="12"/>
          <w:szCs w:val="12"/>
          <w:color w:val="auto"/>
        </w:rPr>
        <w:t>2020 Form 10-K 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365125</wp:posOffset>
            </wp:positionV>
            <wp:extent cx="5680075" cy="196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80075" cy="19685"/>
                    </a:xfrm>
                    <a:prstGeom prst="rect">
                      <a:avLst/>
                    </a:prstGeom>
                    <a:noFill/>
                  </pic:spPr>
                </pic:pic>
              </a:graphicData>
            </a:graphic>
          </wp:anchor>
        </w:drawing>
      </w:r>
    </w:p>
    <w:p>
      <w:pPr>
        <w:sectPr>
          <w:pgSz w:w="11900" w:h="16838" w:orient="portrait"/>
          <w:cols w:equalWidth="0" w:num="1">
            <w:col w:w="9019"/>
          </w:cols>
          <w:pgMar w:left="1440" w:top="995" w:right="1440"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2992755</wp:posOffset>
            </wp:positionH>
            <wp:positionV relativeFrom="page">
              <wp:posOffset>375285</wp:posOffset>
            </wp:positionV>
            <wp:extent cx="1563370" cy="169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1563370" cy="169545"/>
                    </a:xfrm>
                    <a:prstGeom prst="rect">
                      <a:avLst/>
                    </a:prstGeom>
                    <a:noFill/>
                  </pic:spPr>
                </pic:pic>
              </a:graphicData>
            </a:graphic>
          </wp:anchor>
        </w:drawing>
        <w:t>NOTES TO CONSOLIDATED FINANCIAL STATEMENTS</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4980" w:type="dxa"/>
            <w:vAlign w:val="bottom"/>
            <w:gridSpan w:val="2"/>
          </w:tcPr>
          <w:p>
            <w:pPr>
              <w:spacing w:after="0"/>
              <w:rPr>
                <w:sz w:val="20"/>
                <w:szCs w:val="20"/>
                <w:color w:val="auto"/>
              </w:rPr>
            </w:pPr>
            <w:r>
              <w:rPr>
                <w:rFonts w:ascii="Arial" w:cs="Arial" w:eastAsia="Arial" w:hAnsi="Arial"/>
                <w:sz w:val="13"/>
                <w:szCs w:val="13"/>
                <w:color w:val="auto"/>
              </w:rPr>
              <w:t>The table below presents the activity of our gift card liability balance:</w:t>
            </w:r>
          </w:p>
        </w:tc>
        <w:tc>
          <w:tcPr>
            <w:tcW w:w="1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90"/>
        </w:trPr>
        <w:tc>
          <w:tcPr>
            <w:tcW w:w="4980" w:type="dxa"/>
            <w:vAlign w:val="bottom"/>
            <w:gridSpan w:val="2"/>
          </w:tcPr>
          <w:p>
            <w:pPr>
              <w:spacing w:after="0"/>
              <w:rPr>
                <w:sz w:val="20"/>
                <w:szCs w:val="20"/>
                <w:color w:val="auto"/>
              </w:rPr>
            </w:pPr>
            <w:r>
              <w:rPr>
                <w:rFonts w:ascii="Arial" w:cs="Arial" w:eastAsia="Arial" w:hAnsi="Arial"/>
                <w:sz w:val="13"/>
                <w:szCs w:val="13"/>
                <w:color w:val="auto"/>
              </w:rPr>
              <w:t>($ in millions)</w:t>
            </w:r>
          </w:p>
        </w:tc>
        <w:tc>
          <w:tcPr>
            <w:tcW w:w="1320" w:type="dxa"/>
            <w:vAlign w:val="bottom"/>
          </w:tcPr>
          <w:p>
            <w:pPr>
              <w:spacing w:after="0"/>
              <w:rPr>
                <w:sz w:val="24"/>
                <w:szCs w:val="24"/>
                <w:color w:val="auto"/>
              </w:rPr>
            </w:pPr>
          </w:p>
        </w:tc>
        <w:tc>
          <w:tcPr>
            <w:tcW w:w="1200" w:type="dxa"/>
            <w:vAlign w:val="bottom"/>
          </w:tcPr>
          <w:p>
            <w:pPr>
              <w:jc w:val="right"/>
              <w:ind w:right="635"/>
              <w:spacing w:after="0"/>
              <w:rPr>
                <w:sz w:val="20"/>
                <w:szCs w:val="20"/>
                <w:color w:val="auto"/>
              </w:rPr>
            </w:pPr>
            <w:r>
              <w:rPr>
                <w:rFonts w:ascii="Arial" w:cs="Arial" w:eastAsia="Arial" w:hAnsi="Arial"/>
                <w:sz w:val="13"/>
                <w:szCs w:val="13"/>
                <w:b w:val="1"/>
                <w:bCs w:val="1"/>
                <w:color w:val="auto"/>
              </w:rPr>
              <w:t>2020</w:t>
            </w:r>
          </w:p>
        </w:tc>
        <w:tc>
          <w:tcPr>
            <w:tcW w:w="440" w:type="dxa"/>
            <w:vAlign w:val="bottom"/>
          </w:tcPr>
          <w:p>
            <w:pPr>
              <w:spacing w:after="0"/>
              <w:rPr>
                <w:sz w:val="24"/>
                <w:szCs w:val="24"/>
                <w:color w:val="auto"/>
              </w:rPr>
            </w:pPr>
          </w:p>
        </w:tc>
        <w:tc>
          <w:tcPr>
            <w:tcW w:w="1040" w:type="dxa"/>
            <w:vAlign w:val="bottom"/>
          </w:tcPr>
          <w:p>
            <w:pPr>
              <w:jc w:val="right"/>
              <w:ind w:right="475"/>
              <w:spacing w:after="0"/>
              <w:rPr>
                <w:sz w:val="20"/>
                <w:szCs w:val="20"/>
                <w:color w:val="auto"/>
              </w:rPr>
            </w:pPr>
            <w:r>
              <w:rPr>
                <w:rFonts w:ascii="Arial" w:cs="Arial" w:eastAsia="Arial" w:hAnsi="Arial"/>
                <w:sz w:val="13"/>
                <w:szCs w:val="13"/>
                <w:color w:val="auto"/>
              </w:rPr>
              <w:t>2019</w:t>
            </w:r>
          </w:p>
        </w:tc>
      </w:tr>
      <w:tr>
        <w:trPr>
          <w:trHeight w:val="134"/>
        </w:trPr>
        <w:tc>
          <w:tcPr>
            <w:tcW w:w="20" w:type="dxa"/>
            <w:vAlign w:val="bottom"/>
          </w:tcPr>
          <w:p>
            <w:pPr>
              <w:spacing w:after="0"/>
              <w:rPr>
                <w:sz w:val="11"/>
                <w:szCs w:val="11"/>
                <w:color w:val="auto"/>
              </w:rPr>
            </w:pPr>
          </w:p>
        </w:tc>
        <w:tc>
          <w:tcPr>
            <w:tcW w:w="4960" w:type="dxa"/>
            <w:vAlign w:val="bottom"/>
            <w:tcBorders>
              <w:top w:val="single" w:sz="8" w:color="auto"/>
            </w:tcBorders>
            <w:shd w:val="clear" w:color="auto" w:fill="CCEEFF"/>
          </w:tcPr>
          <w:p>
            <w:pPr>
              <w:spacing w:after="0" w:line="134" w:lineRule="exact"/>
              <w:rPr>
                <w:sz w:val="20"/>
                <w:szCs w:val="20"/>
                <w:color w:val="auto"/>
              </w:rPr>
            </w:pPr>
            <w:r>
              <w:rPr>
                <w:rFonts w:ascii="Arial" w:cs="Arial" w:eastAsia="Arial" w:hAnsi="Arial"/>
                <w:sz w:val="13"/>
                <w:szCs w:val="13"/>
                <w:color w:val="auto"/>
              </w:rPr>
              <w:t>Gift card liability at beginning of year</w:t>
            </w:r>
          </w:p>
        </w:tc>
        <w:tc>
          <w:tcPr>
            <w:tcW w:w="1320" w:type="dxa"/>
            <w:vAlign w:val="bottom"/>
            <w:tcBorders>
              <w:top w:val="single" w:sz="8" w:color="auto"/>
            </w:tcBorders>
            <w:shd w:val="clear" w:color="auto" w:fill="CCEEFF"/>
          </w:tcPr>
          <w:p>
            <w:pPr>
              <w:jc w:val="right"/>
              <w:ind w:right="135"/>
              <w:spacing w:after="0" w:line="134" w:lineRule="exact"/>
              <w:rPr>
                <w:sz w:val="20"/>
                <w:szCs w:val="20"/>
                <w:color w:val="auto"/>
              </w:rPr>
            </w:pPr>
            <w:r>
              <w:rPr>
                <w:rFonts w:ascii="Arial" w:cs="Arial" w:eastAsia="Arial" w:hAnsi="Arial"/>
                <w:sz w:val="13"/>
                <w:szCs w:val="13"/>
                <w:b w:val="1"/>
                <w:bCs w:val="1"/>
                <w:color w:val="auto"/>
              </w:rPr>
              <w:t>$</w:t>
            </w:r>
          </w:p>
        </w:tc>
        <w:tc>
          <w:tcPr>
            <w:tcW w:w="1200" w:type="dxa"/>
            <w:vAlign w:val="bottom"/>
            <w:tcBorders>
              <w:top w:val="single" w:sz="8" w:color="auto"/>
            </w:tcBorders>
            <w:shd w:val="clear" w:color="auto" w:fill="CCEEFF"/>
          </w:tcPr>
          <w:p>
            <w:pPr>
              <w:jc w:val="right"/>
              <w:ind w:right="135"/>
              <w:spacing w:after="0" w:line="134" w:lineRule="exact"/>
              <w:rPr>
                <w:sz w:val="20"/>
                <w:szCs w:val="20"/>
                <w:color w:val="auto"/>
              </w:rPr>
            </w:pPr>
            <w:r>
              <w:rPr>
                <w:rFonts w:ascii="Arial" w:cs="Arial" w:eastAsia="Arial" w:hAnsi="Arial"/>
                <w:sz w:val="13"/>
                <w:szCs w:val="13"/>
                <w:b w:val="1"/>
                <w:bCs w:val="1"/>
                <w:color w:val="auto"/>
              </w:rPr>
              <w:t>35</w:t>
            </w:r>
          </w:p>
        </w:tc>
        <w:tc>
          <w:tcPr>
            <w:tcW w:w="440" w:type="dxa"/>
            <w:vAlign w:val="bottom"/>
            <w:tcBorders>
              <w:top w:val="single" w:sz="8" w:color="auto"/>
            </w:tcBorders>
            <w:shd w:val="clear" w:color="auto" w:fill="CCEEFF"/>
          </w:tcPr>
          <w:p>
            <w:pPr>
              <w:jc w:val="right"/>
              <w:ind w:right="135"/>
              <w:spacing w:after="0" w:line="134" w:lineRule="exact"/>
              <w:rPr>
                <w:sz w:val="20"/>
                <w:szCs w:val="20"/>
                <w:color w:val="auto"/>
              </w:rPr>
            </w:pPr>
            <w:r>
              <w:rPr>
                <w:rFonts w:ascii="Arial" w:cs="Arial" w:eastAsia="Arial" w:hAnsi="Arial"/>
                <w:sz w:val="13"/>
                <w:szCs w:val="13"/>
                <w:color w:val="auto"/>
              </w:rPr>
              <w:t>$</w:t>
            </w:r>
          </w:p>
        </w:tc>
        <w:tc>
          <w:tcPr>
            <w:tcW w:w="104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35</w:t>
            </w:r>
          </w:p>
        </w:tc>
      </w:tr>
      <w:tr>
        <w:trPr>
          <w:trHeight w:val="144"/>
        </w:trPr>
        <w:tc>
          <w:tcPr>
            <w:tcW w:w="20" w:type="dxa"/>
            <w:vAlign w:val="bottom"/>
          </w:tcPr>
          <w:p>
            <w:pPr>
              <w:spacing w:after="0"/>
              <w:rPr>
                <w:sz w:val="12"/>
                <w:szCs w:val="12"/>
                <w:color w:val="auto"/>
              </w:rPr>
            </w:pPr>
          </w:p>
        </w:tc>
        <w:tc>
          <w:tcPr>
            <w:tcW w:w="4960" w:type="dxa"/>
            <w:vAlign w:val="bottom"/>
          </w:tcPr>
          <w:p>
            <w:pPr>
              <w:ind w:left="160"/>
              <w:spacing w:after="0" w:line="144" w:lineRule="exact"/>
              <w:rPr>
                <w:sz w:val="20"/>
                <w:szCs w:val="20"/>
                <w:color w:val="auto"/>
              </w:rPr>
            </w:pPr>
            <w:r>
              <w:rPr>
                <w:rFonts w:ascii="Arial" w:cs="Arial" w:eastAsia="Arial" w:hAnsi="Arial"/>
                <w:sz w:val="13"/>
                <w:szCs w:val="13"/>
                <w:color w:val="auto"/>
              </w:rPr>
              <w:t>Redemptions</w:t>
            </w:r>
          </w:p>
        </w:tc>
        <w:tc>
          <w:tcPr>
            <w:tcW w:w="1320" w:type="dxa"/>
            <w:vAlign w:val="bottom"/>
          </w:tcPr>
          <w:p>
            <w:pPr>
              <w:spacing w:after="0"/>
              <w:rPr>
                <w:sz w:val="12"/>
                <w:szCs w:val="12"/>
                <w:color w:val="auto"/>
              </w:rPr>
            </w:pPr>
          </w:p>
        </w:tc>
        <w:tc>
          <w:tcPr>
            <w:tcW w:w="1200" w:type="dxa"/>
            <w:vAlign w:val="bottom"/>
          </w:tcPr>
          <w:p>
            <w:pPr>
              <w:jc w:val="right"/>
              <w:ind w:right="95"/>
              <w:spacing w:after="0" w:line="144" w:lineRule="exact"/>
              <w:rPr>
                <w:sz w:val="20"/>
                <w:szCs w:val="20"/>
                <w:color w:val="auto"/>
              </w:rPr>
            </w:pPr>
            <w:r>
              <w:rPr>
                <w:rFonts w:ascii="Arial" w:cs="Arial" w:eastAsia="Arial" w:hAnsi="Arial"/>
                <w:sz w:val="13"/>
                <w:szCs w:val="13"/>
                <w:b w:val="1"/>
                <w:bCs w:val="1"/>
                <w:color w:val="auto"/>
              </w:rPr>
              <w:t>(118)</w:t>
            </w:r>
          </w:p>
        </w:tc>
        <w:tc>
          <w:tcPr>
            <w:tcW w:w="440" w:type="dxa"/>
            <w:vAlign w:val="bottom"/>
          </w:tcPr>
          <w:p>
            <w:pPr>
              <w:spacing w:after="0"/>
              <w:rPr>
                <w:sz w:val="12"/>
                <w:szCs w:val="12"/>
                <w:color w:val="auto"/>
              </w:rPr>
            </w:pPr>
          </w:p>
        </w:tc>
        <w:tc>
          <w:tcPr>
            <w:tcW w:w="1040" w:type="dxa"/>
            <w:vAlign w:val="bottom"/>
          </w:tcPr>
          <w:p>
            <w:pPr>
              <w:jc w:val="right"/>
              <w:spacing w:after="0" w:line="144" w:lineRule="exact"/>
              <w:rPr>
                <w:sz w:val="20"/>
                <w:szCs w:val="20"/>
                <w:color w:val="auto"/>
              </w:rPr>
            </w:pPr>
            <w:r>
              <w:rPr>
                <w:rFonts w:ascii="Arial" w:cs="Arial" w:eastAsia="Arial" w:hAnsi="Arial"/>
                <w:sz w:val="13"/>
                <w:szCs w:val="13"/>
                <w:color w:val="auto"/>
              </w:rPr>
              <w:t>(105)</w:t>
            </w:r>
          </w:p>
        </w:tc>
      </w:tr>
      <w:tr>
        <w:trPr>
          <w:trHeight w:val="144"/>
        </w:trPr>
        <w:tc>
          <w:tcPr>
            <w:tcW w:w="20" w:type="dxa"/>
            <w:vAlign w:val="bottom"/>
          </w:tcPr>
          <w:p>
            <w:pPr>
              <w:spacing w:after="0"/>
              <w:rPr>
                <w:sz w:val="12"/>
                <w:szCs w:val="12"/>
                <w:color w:val="auto"/>
              </w:rPr>
            </w:pPr>
          </w:p>
        </w:tc>
        <w:tc>
          <w:tcPr>
            <w:tcW w:w="4960" w:type="dxa"/>
            <w:vAlign w:val="bottom"/>
            <w:shd w:val="clear" w:color="auto" w:fill="CCEEFF"/>
          </w:tcPr>
          <w:p>
            <w:pPr>
              <w:ind w:left="160"/>
              <w:spacing w:after="0" w:line="144" w:lineRule="exact"/>
              <w:rPr>
                <w:sz w:val="20"/>
                <w:szCs w:val="20"/>
                <w:color w:val="auto"/>
              </w:rPr>
            </w:pPr>
            <w:r>
              <w:rPr>
                <w:rFonts w:ascii="Arial" w:cs="Arial" w:eastAsia="Arial" w:hAnsi="Arial"/>
                <w:sz w:val="13"/>
                <w:szCs w:val="13"/>
                <w:color w:val="auto"/>
              </w:rPr>
              <w:t>Breakage recognized in sales</w:t>
            </w:r>
          </w:p>
        </w:tc>
        <w:tc>
          <w:tcPr>
            <w:tcW w:w="132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95"/>
              <w:spacing w:after="0" w:line="144" w:lineRule="exact"/>
              <w:rPr>
                <w:sz w:val="20"/>
                <w:szCs w:val="20"/>
                <w:color w:val="auto"/>
              </w:rPr>
            </w:pPr>
            <w:r>
              <w:rPr>
                <w:rFonts w:ascii="Arial" w:cs="Arial" w:eastAsia="Arial" w:hAnsi="Arial"/>
                <w:sz w:val="13"/>
                <w:szCs w:val="13"/>
                <w:b w:val="1"/>
                <w:bCs w:val="1"/>
                <w:color w:val="auto"/>
              </w:rPr>
              <w:t>(8)</w:t>
            </w:r>
          </w:p>
        </w:tc>
        <w:tc>
          <w:tcPr>
            <w:tcW w:w="44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w:t>
            </w:r>
          </w:p>
        </w:tc>
      </w:tr>
      <w:tr>
        <w:trPr>
          <w:trHeight w:val="144"/>
        </w:trPr>
        <w:tc>
          <w:tcPr>
            <w:tcW w:w="20" w:type="dxa"/>
            <w:vAlign w:val="bottom"/>
          </w:tcPr>
          <w:p>
            <w:pPr>
              <w:spacing w:after="0"/>
              <w:rPr>
                <w:sz w:val="12"/>
                <w:szCs w:val="12"/>
                <w:color w:val="auto"/>
              </w:rPr>
            </w:pPr>
          </w:p>
        </w:tc>
        <w:tc>
          <w:tcPr>
            <w:tcW w:w="4960" w:type="dxa"/>
            <w:vAlign w:val="bottom"/>
          </w:tcPr>
          <w:p>
            <w:pPr>
              <w:ind w:left="160"/>
              <w:spacing w:after="0" w:line="144" w:lineRule="exact"/>
              <w:rPr>
                <w:sz w:val="20"/>
                <w:szCs w:val="20"/>
                <w:color w:val="auto"/>
              </w:rPr>
            </w:pPr>
            <w:r>
              <w:rPr>
                <w:rFonts w:ascii="Arial" w:cs="Arial" w:eastAsia="Arial" w:hAnsi="Arial"/>
                <w:sz w:val="13"/>
                <w:szCs w:val="13"/>
                <w:color w:val="auto"/>
              </w:rPr>
              <w:t>Activations</w:t>
            </w:r>
          </w:p>
        </w:tc>
        <w:tc>
          <w:tcPr>
            <w:tcW w:w="1320" w:type="dxa"/>
            <w:vAlign w:val="bottom"/>
          </w:tcPr>
          <w:p>
            <w:pPr>
              <w:spacing w:after="0"/>
              <w:rPr>
                <w:sz w:val="12"/>
                <w:szCs w:val="12"/>
                <w:color w:val="auto"/>
              </w:rPr>
            </w:pPr>
          </w:p>
        </w:tc>
        <w:tc>
          <w:tcPr>
            <w:tcW w:w="1200" w:type="dxa"/>
            <w:vAlign w:val="bottom"/>
          </w:tcPr>
          <w:p>
            <w:pPr>
              <w:jc w:val="right"/>
              <w:ind w:right="135"/>
              <w:spacing w:after="0" w:line="144" w:lineRule="exact"/>
              <w:rPr>
                <w:sz w:val="20"/>
                <w:szCs w:val="20"/>
                <w:color w:val="auto"/>
              </w:rPr>
            </w:pPr>
            <w:r>
              <w:rPr>
                <w:rFonts w:ascii="Arial" w:cs="Arial" w:eastAsia="Arial" w:hAnsi="Arial"/>
                <w:sz w:val="13"/>
                <w:szCs w:val="13"/>
                <w:b w:val="1"/>
                <w:bCs w:val="1"/>
                <w:color w:val="auto"/>
              </w:rPr>
              <w:t>131</w:t>
            </w:r>
          </w:p>
        </w:tc>
        <w:tc>
          <w:tcPr>
            <w:tcW w:w="440" w:type="dxa"/>
            <w:vAlign w:val="bottom"/>
          </w:tcPr>
          <w:p>
            <w:pPr>
              <w:spacing w:after="0"/>
              <w:rPr>
                <w:sz w:val="12"/>
                <w:szCs w:val="12"/>
                <w:color w:val="auto"/>
              </w:rPr>
            </w:pPr>
          </w:p>
        </w:tc>
        <w:tc>
          <w:tcPr>
            <w:tcW w:w="1040" w:type="dxa"/>
            <w:vAlign w:val="bottom"/>
          </w:tcPr>
          <w:p>
            <w:pPr>
              <w:jc w:val="right"/>
              <w:spacing w:after="0" w:line="144" w:lineRule="exact"/>
              <w:rPr>
                <w:sz w:val="20"/>
                <w:szCs w:val="20"/>
                <w:color w:val="auto"/>
              </w:rPr>
            </w:pPr>
            <w:r>
              <w:rPr>
                <w:rFonts w:ascii="Arial" w:cs="Arial" w:eastAsia="Arial" w:hAnsi="Arial"/>
                <w:sz w:val="13"/>
                <w:szCs w:val="13"/>
                <w:color w:val="auto"/>
              </w:rPr>
              <w:t>112</w:t>
            </w:r>
          </w:p>
        </w:tc>
      </w:tr>
      <w:tr>
        <w:trPr>
          <w:trHeight w:val="144"/>
        </w:trPr>
        <w:tc>
          <w:tcPr>
            <w:tcW w:w="20" w:type="dxa"/>
            <w:vAlign w:val="bottom"/>
          </w:tcPr>
          <w:p>
            <w:pPr>
              <w:spacing w:after="0"/>
              <w:rPr>
                <w:sz w:val="12"/>
                <w:szCs w:val="12"/>
                <w:color w:val="auto"/>
              </w:rPr>
            </w:pPr>
          </w:p>
        </w:tc>
        <w:tc>
          <w:tcPr>
            <w:tcW w:w="4960" w:type="dxa"/>
            <w:vAlign w:val="bottom"/>
            <w:tcBorders>
              <w:bottom w:val="single" w:sz="8" w:color="auto"/>
            </w:tcBorders>
            <w:shd w:val="clear" w:color="auto" w:fill="CCEEFF"/>
          </w:tcPr>
          <w:p>
            <w:pPr>
              <w:ind w:left="160"/>
              <w:spacing w:after="0" w:line="144" w:lineRule="exact"/>
              <w:rPr>
                <w:sz w:val="20"/>
                <w:szCs w:val="20"/>
                <w:color w:val="auto"/>
              </w:rPr>
            </w:pPr>
            <w:r>
              <w:rPr>
                <w:rFonts w:ascii="Arial" w:cs="Arial" w:eastAsia="Arial" w:hAnsi="Arial"/>
                <w:sz w:val="13"/>
                <w:szCs w:val="13"/>
                <w:color w:val="auto"/>
              </w:rPr>
              <w:t>Foreign currency fluctuations</w:t>
            </w:r>
          </w:p>
        </w:tc>
        <w:tc>
          <w:tcPr>
            <w:tcW w:w="132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ind w:right="135"/>
              <w:spacing w:after="0" w:line="144" w:lineRule="exact"/>
              <w:rPr>
                <w:sz w:val="20"/>
                <w:szCs w:val="20"/>
                <w:color w:val="auto"/>
              </w:rPr>
            </w:pPr>
            <w:r>
              <w:rPr>
                <w:rFonts w:ascii="Arial" w:cs="Arial" w:eastAsia="Arial" w:hAnsi="Arial"/>
                <w:sz w:val="13"/>
                <w:szCs w:val="13"/>
                <w:b w:val="1"/>
                <w:bCs w:val="1"/>
                <w:color w:val="auto"/>
              </w:rPr>
              <w:t>1</w:t>
            </w:r>
          </w:p>
        </w:tc>
        <w:tc>
          <w:tcPr>
            <w:tcW w:w="4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r>
      <w:tr>
        <w:trPr>
          <w:trHeight w:val="134"/>
        </w:trPr>
        <w:tc>
          <w:tcPr>
            <w:tcW w:w="20" w:type="dxa"/>
            <w:vAlign w:val="bottom"/>
            <w:tcBorders>
              <w:bottom w:val="single" w:sz="8" w:color="auto"/>
            </w:tcBorders>
          </w:tcPr>
          <w:p>
            <w:pPr>
              <w:spacing w:after="0"/>
              <w:rPr>
                <w:sz w:val="11"/>
                <w:szCs w:val="11"/>
                <w:color w:val="auto"/>
              </w:rPr>
            </w:pPr>
          </w:p>
        </w:tc>
        <w:tc>
          <w:tcPr>
            <w:tcW w:w="4960" w:type="dxa"/>
            <w:vAlign w:val="bottom"/>
            <w:tcBorders>
              <w:bottom w:val="single" w:sz="8" w:color="auto"/>
            </w:tcBorders>
          </w:tcPr>
          <w:p>
            <w:pPr>
              <w:spacing w:after="0" w:line="134" w:lineRule="exact"/>
              <w:rPr>
                <w:sz w:val="20"/>
                <w:szCs w:val="20"/>
                <w:color w:val="auto"/>
              </w:rPr>
            </w:pPr>
            <w:r>
              <w:rPr>
                <w:rFonts w:ascii="Arial" w:cs="Arial" w:eastAsia="Arial" w:hAnsi="Arial"/>
                <w:sz w:val="13"/>
                <w:szCs w:val="13"/>
                <w:color w:val="auto"/>
              </w:rPr>
              <w:t>Gift card liability at end of year</w:t>
            </w:r>
          </w:p>
        </w:tc>
        <w:tc>
          <w:tcPr>
            <w:tcW w:w="1320" w:type="dxa"/>
            <w:vAlign w:val="bottom"/>
            <w:tcBorders>
              <w:bottom w:val="single" w:sz="8" w:color="auto"/>
            </w:tcBorders>
          </w:tcPr>
          <w:p>
            <w:pPr>
              <w:jc w:val="right"/>
              <w:ind w:right="135"/>
              <w:spacing w:after="0" w:line="134" w:lineRule="exact"/>
              <w:rPr>
                <w:sz w:val="20"/>
                <w:szCs w:val="20"/>
                <w:color w:val="auto"/>
              </w:rPr>
            </w:pPr>
            <w:r>
              <w:rPr>
                <w:rFonts w:ascii="Arial" w:cs="Arial" w:eastAsia="Arial" w:hAnsi="Arial"/>
                <w:sz w:val="13"/>
                <w:szCs w:val="13"/>
                <w:b w:val="1"/>
                <w:bCs w:val="1"/>
                <w:color w:val="auto"/>
              </w:rPr>
              <w:t>$</w:t>
            </w:r>
          </w:p>
        </w:tc>
        <w:tc>
          <w:tcPr>
            <w:tcW w:w="1200" w:type="dxa"/>
            <w:vAlign w:val="bottom"/>
            <w:tcBorders>
              <w:bottom w:val="single" w:sz="8" w:color="auto"/>
            </w:tcBorders>
          </w:tcPr>
          <w:p>
            <w:pPr>
              <w:jc w:val="right"/>
              <w:ind w:right="135"/>
              <w:spacing w:after="0" w:line="134" w:lineRule="exact"/>
              <w:rPr>
                <w:sz w:val="20"/>
                <w:szCs w:val="20"/>
                <w:color w:val="auto"/>
              </w:rPr>
            </w:pPr>
            <w:r>
              <w:rPr>
                <w:rFonts w:ascii="Arial" w:cs="Arial" w:eastAsia="Arial" w:hAnsi="Arial"/>
                <w:sz w:val="13"/>
                <w:szCs w:val="13"/>
                <w:b w:val="1"/>
                <w:bCs w:val="1"/>
                <w:color w:val="auto"/>
              </w:rPr>
              <w:t>41</w:t>
            </w:r>
          </w:p>
        </w:tc>
        <w:tc>
          <w:tcPr>
            <w:tcW w:w="440" w:type="dxa"/>
            <w:vAlign w:val="bottom"/>
            <w:tcBorders>
              <w:bottom w:val="single" w:sz="8" w:color="auto"/>
            </w:tcBorders>
          </w:tcPr>
          <w:p>
            <w:pPr>
              <w:jc w:val="right"/>
              <w:ind w:right="135"/>
              <w:spacing w:after="0" w:line="134" w:lineRule="exact"/>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35</w:t>
            </w:r>
          </w:p>
        </w:tc>
      </w:tr>
      <w:tr>
        <w:trPr>
          <w:trHeight w:val="20"/>
        </w:trPr>
        <w:tc>
          <w:tcPr>
            <w:tcW w:w="20" w:type="dxa"/>
            <w:vAlign w:val="bottom"/>
          </w:tcPr>
          <w:p>
            <w:pPr>
              <w:spacing w:after="0" w:line="20" w:lineRule="exact"/>
              <w:rPr>
                <w:sz w:val="1"/>
                <w:szCs w:val="1"/>
                <w:color w:val="auto"/>
              </w:rPr>
            </w:pPr>
          </w:p>
        </w:tc>
        <w:tc>
          <w:tcPr>
            <w:tcW w:w="49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jc w:val="both"/>
        <w:ind w:left="20" w:right="39"/>
        <w:spacing w:after="0"/>
        <w:rPr>
          <w:sz w:val="20"/>
          <w:szCs w:val="20"/>
          <w:color w:val="auto"/>
        </w:rPr>
      </w:pPr>
      <w:r>
        <w:rPr>
          <w:rFonts w:ascii="Arial" w:cs="Arial" w:eastAsia="Arial" w:hAnsi="Arial"/>
          <w:sz w:val="13"/>
          <w:szCs w:val="13"/>
          <w:color w:val="auto"/>
        </w:rPr>
        <w:t>We elected not to disclose the information about remaining performance obligations since the amount of gift cards redeemed after 12 months is not significant for both 2020 and 2019.</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Advertising Costs and Sales Promotion</w:t>
      </w:r>
    </w:p>
    <w:p>
      <w:pPr>
        <w:spacing w:after="0" w:line="131" w:lineRule="exact"/>
        <w:rPr>
          <w:sz w:val="20"/>
          <w:szCs w:val="20"/>
          <w:color w:val="auto"/>
        </w:rPr>
      </w:pPr>
    </w:p>
    <w:p>
      <w:pPr>
        <w:jc w:val="both"/>
        <w:ind w:left="20" w:right="39"/>
        <w:spacing w:after="0" w:line="236" w:lineRule="auto"/>
        <w:rPr>
          <w:sz w:val="20"/>
          <w:szCs w:val="20"/>
          <w:color w:val="auto"/>
        </w:rPr>
      </w:pPr>
      <w:r>
        <w:rPr>
          <w:rFonts w:ascii="Arial" w:cs="Arial" w:eastAsia="Arial" w:hAnsi="Arial"/>
          <w:sz w:val="13"/>
          <w:szCs w:val="13"/>
          <w:color w:val="auto"/>
        </w:rPr>
        <w:t>Advertising and sales promotion costs are expensed at the time the advertising or promotion takes place, net of reimbursements for cooperative advertising. Cooperative advertising reimbursements earned for the launch and promotion of certain products agreed upon with vendors are recorded in the same period as the associated expenses are incurred.</w:t>
      </w:r>
    </w:p>
    <w:p>
      <w:pPr>
        <w:spacing w:after="0" w:line="123" w:lineRule="exact"/>
        <w:rPr>
          <w:sz w:val="20"/>
          <w:szCs w:val="20"/>
          <w:color w:val="auto"/>
        </w:rPr>
      </w:pPr>
    </w:p>
    <w:p>
      <w:pPr>
        <w:jc w:val="both"/>
        <w:ind w:left="20" w:right="39"/>
        <w:spacing w:after="0" w:line="235" w:lineRule="auto"/>
        <w:rPr>
          <w:sz w:val="20"/>
          <w:szCs w:val="20"/>
          <w:color w:val="auto"/>
        </w:rPr>
      </w:pPr>
      <w:r>
        <w:rPr>
          <w:rFonts w:ascii="Arial" w:cs="Arial" w:eastAsia="Arial" w:hAnsi="Arial"/>
          <w:sz w:val="13"/>
          <w:szCs w:val="13"/>
          <w:color w:val="auto"/>
        </w:rPr>
        <w:t>Digital advertising costs are expensed as incurred, net of reimbursements for cooperative advertising. Digital advertising includes search engine marketing, such as display ads and keyword search terms, and other various forms of digital advertising. Reimbursements received in excess of expenses incurred related to specific, incremental, and identifiable advertising costs are accounted for as a reduction to the cost of merchandise and are reflected in cost of sales when the merchandise is sold.</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3"/>
          <w:szCs w:val="13"/>
          <w:color w:val="auto"/>
        </w:rPr>
        <w:t>Advertising costs, including digital advertising, which are included as a component of SG&amp;A, were as follows:</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64"/>
        </w:trPr>
        <w:tc>
          <w:tcPr>
            <w:tcW w:w="3400" w:type="dxa"/>
            <w:vAlign w:val="bottom"/>
            <w:gridSpan w:val="2"/>
          </w:tcPr>
          <w:p>
            <w:pPr>
              <w:spacing w:after="0"/>
              <w:rPr>
                <w:sz w:val="20"/>
                <w:szCs w:val="20"/>
                <w:color w:val="auto"/>
              </w:rPr>
            </w:pPr>
            <w:r>
              <w:rPr>
                <w:rFonts w:ascii="Arial" w:cs="Arial" w:eastAsia="Arial" w:hAnsi="Arial"/>
                <w:sz w:val="13"/>
                <w:szCs w:val="13"/>
                <w:color w:val="auto"/>
              </w:rPr>
              <w:t>($ in millions)</w:t>
            </w:r>
          </w:p>
        </w:tc>
        <w:tc>
          <w:tcPr>
            <w:tcW w:w="1340" w:type="dxa"/>
            <w:vAlign w:val="bottom"/>
          </w:tcPr>
          <w:p>
            <w:pPr>
              <w:spacing w:after="0"/>
              <w:rPr>
                <w:sz w:val="14"/>
                <w:szCs w:val="14"/>
                <w:color w:val="auto"/>
              </w:rPr>
            </w:pPr>
          </w:p>
        </w:tc>
        <w:tc>
          <w:tcPr>
            <w:tcW w:w="1160" w:type="dxa"/>
            <w:vAlign w:val="bottom"/>
          </w:tcPr>
          <w:p>
            <w:pPr>
              <w:jc w:val="right"/>
              <w:ind w:right="575"/>
              <w:spacing w:after="0"/>
              <w:rPr>
                <w:sz w:val="20"/>
                <w:szCs w:val="20"/>
                <w:color w:val="auto"/>
              </w:rPr>
            </w:pPr>
            <w:r>
              <w:rPr>
                <w:rFonts w:ascii="Arial" w:cs="Arial" w:eastAsia="Arial" w:hAnsi="Arial"/>
                <w:sz w:val="13"/>
                <w:szCs w:val="13"/>
                <w:b w:val="1"/>
                <w:bCs w:val="1"/>
                <w:color w:val="auto"/>
              </w:rPr>
              <w:t>2020</w:t>
            </w:r>
          </w:p>
        </w:tc>
        <w:tc>
          <w:tcPr>
            <w:tcW w:w="420" w:type="dxa"/>
            <w:vAlign w:val="bottom"/>
          </w:tcPr>
          <w:p>
            <w:pPr>
              <w:spacing w:after="0"/>
              <w:rPr>
                <w:sz w:val="14"/>
                <w:szCs w:val="14"/>
                <w:color w:val="auto"/>
              </w:rPr>
            </w:pPr>
          </w:p>
        </w:tc>
        <w:tc>
          <w:tcPr>
            <w:tcW w:w="1160" w:type="dxa"/>
            <w:vAlign w:val="bottom"/>
          </w:tcPr>
          <w:p>
            <w:pPr>
              <w:jc w:val="right"/>
              <w:ind w:right="575"/>
              <w:spacing w:after="0"/>
              <w:rPr>
                <w:sz w:val="20"/>
                <w:szCs w:val="20"/>
                <w:color w:val="auto"/>
              </w:rPr>
            </w:pPr>
            <w:r>
              <w:rPr>
                <w:rFonts w:ascii="Arial" w:cs="Arial" w:eastAsia="Arial" w:hAnsi="Arial"/>
                <w:sz w:val="13"/>
                <w:szCs w:val="13"/>
                <w:color w:val="auto"/>
              </w:rPr>
              <w:t>2019</w:t>
            </w:r>
          </w:p>
        </w:tc>
        <w:tc>
          <w:tcPr>
            <w:tcW w:w="420" w:type="dxa"/>
            <w:vAlign w:val="bottom"/>
          </w:tcPr>
          <w:p>
            <w:pPr>
              <w:spacing w:after="0"/>
              <w:rPr>
                <w:sz w:val="14"/>
                <w:szCs w:val="14"/>
                <w:color w:val="auto"/>
              </w:rPr>
            </w:pPr>
          </w:p>
        </w:tc>
        <w:tc>
          <w:tcPr>
            <w:tcW w:w="1060" w:type="dxa"/>
            <w:vAlign w:val="bottom"/>
          </w:tcPr>
          <w:p>
            <w:pPr>
              <w:jc w:val="right"/>
              <w:ind w:right="475"/>
              <w:spacing w:after="0"/>
              <w:rPr>
                <w:sz w:val="20"/>
                <w:szCs w:val="20"/>
                <w:color w:val="auto"/>
              </w:rPr>
            </w:pPr>
            <w:r>
              <w:rPr>
                <w:rFonts w:ascii="Arial" w:cs="Arial" w:eastAsia="Arial" w:hAnsi="Arial"/>
                <w:sz w:val="13"/>
                <w:szCs w:val="13"/>
                <w:color w:val="auto"/>
              </w:rPr>
              <w:t>2018</w:t>
            </w:r>
          </w:p>
        </w:tc>
      </w:tr>
      <w:tr>
        <w:trPr>
          <w:trHeight w:val="134"/>
        </w:trPr>
        <w:tc>
          <w:tcPr>
            <w:tcW w:w="20" w:type="dxa"/>
            <w:vAlign w:val="bottom"/>
          </w:tcPr>
          <w:p>
            <w:pPr>
              <w:spacing w:after="0"/>
              <w:rPr>
                <w:sz w:val="11"/>
                <w:szCs w:val="11"/>
                <w:color w:val="auto"/>
              </w:rPr>
            </w:pPr>
          </w:p>
        </w:tc>
        <w:tc>
          <w:tcPr>
            <w:tcW w:w="3380" w:type="dxa"/>
            <w:vAlign w:val="bottom"/>
            <w:tcBorders>
              <w:top w:val="single" w:sz="8" w:color="auto"/>
            </w:tcBorders>
            <w:shd w:val="clear" w:color="auto" w:fill="CCEEFF"/>
          </w:tcPr>
          <w:p>
            <w:pPr>
              <w:spacing w:after="0" w:line="134" w:lineRule="exact"/>
              <w:rPr>
                <w:sz w:val="20"/>
                <w:szCs w:val="20"/>
                <w:color w:val="auto"/>
              </w:rPr>
            </w:pPr>
            <w:r>
              <w:rPr>
                <w:rFonts w:ascii="Arial" w:cs="Arial" w:eastAsia="Arial" w:hAnsi="Arial"/>
                <w:sz w:val="11"/>
                <w:szCs w:val="11"/>
                <w:color w:val="auto"/>
              </w:rPr>
              <w:t xml:space="preserve">Advertising expenses </w:t>
            </w:r>
            <w:r>
              <w:rPr>
                <w:rFonts w:ascii="Arial" w:cs="Arial" w:eastAsia="Arial" w:hAnsi="Arial"/>
                <w:sz w:val="15"/>
                <w:szCs w:val="15"/>
                <w:color w:val="auto"/>
                <w:vertAlign w:val="superscript"/>
              </w:rPr>
              <w:t>(1)</w:t>
            </w:r>
          </w:p>
        </w:tc>
        <w:tc>
          <w:tcPr>
            <w:tcW w:w="1340" w:type="dxa"/>
            <w:vAlign w:val="bottom"/>
            <w:tcBorders>
              <w:top w:val="single" w:sz="8" w:color="auto"/>
            </w:tcBorders>
            <w:shd w:val="clear" w:color="auto" w:fill="CCEEFF"/>
          </w:tcPr>
          <w:p>
            <w:pPr>
              <w:jc w:val="right"/>
              <w:ind w:right="155"/>
              <w:spacing w:after="0" w:line="134" w:lineRule="exact"/>
              <w:rPr>
                <w:sz w:val="20"/>
                <w:szCs w:val="20"/>
                <w:color w:val="auto"/>
              </w:rPr>
            </w:pPr>
            <w:r>
              <w:rPr>
                <w:rFonts w:ascii="Arial" w:cs="Arial" w:eastAsia="Arial" w:hAnsi="Arial"/>
                <w:sz w:val="13"/>
                <w:szCs w:val="13"/>
                <w:b w:val="1"/>
                <w:bCs w:val="1"/>
                <w:color w:val="auto"/>
              </w:rPr>
              <w:t>$</w:t>
            </w:r>
          </w:p>
        </w:tc>
        <w:tc>
          <w:tcPr>
            <w:tcW w:w="1160" w:type="dxa"/>
            <w:vAlign w:val="bottom"/>
            <w:tcBorders>
              <w:top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b w:val="1"/>
                <w:bCs w:val="1"/>
                <w:color w:val="auto"/>
              </w:rPr>
              <w:t>69</w:t>
            </w:r>
          </w:p>
        </w:tc>
        <w:tc>
          <w:tcPr>
            <w:tcW w:w="420" w:type="dxa"/>
            <w:vAlign w:val="bottom"/>
            <w:tcBorders>
              <w:top w:val="single" w:sz="8" w:color="auto"/>
            </w:tcBorders>
            <w:shd w:val="clear" w:color="auto" w:fill="CCEEFF"/>
          </w:tcPr>
          <w:p>
            <w:pPr>
              <w:jc w:val="right"/>
              <w:ind w:right="155"/>
              <w:spacing w:after="0" w:line="134" w:lineRule="exact"/>
              <w:rPr>
                <w:sz w:val="20"/>
                <w:szCs w:val="20"/>
                <w:color w:val="auto"/>
              </w:rPr>
            </w:pPr>
            <w:r>
              <w:rPr>
                <w:rFonts w:ascii="Arial" w:cs="Arial" w:eastAsia="Arial" w:hAnsi="Arial"/>
                <w:sz w:val="13"/>
                <w:szCs w:val="13"/>
                <w:color w:val="auto"/>
              </w:rPr>
              <w:t>$</w:t>
            </w:r>
          </w:p>
        </w:tc>
        <w:tc>
          <w:tcPr>
            <w:tcW w:w="1160" w:type="dxa"/>
            <w:vAlign w:val="bottom"/>
            <w:tcBorders>
              <w:top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color w:val="auto"/>
              </w:rPr>
              <w:t>91</w:t>
            </w:r>
          </w:p>
        </w:tc>
        <w:tc>
          <w:tcPr>
            <w:tcW w:w="420" w:type="dxa"/>
            <w:vAlign w:val="bottom"/>
            <w:tcBorders>
              <w:top w:val="single" w:sz="8" w:color="auto"/>
            </w:tcBorders>
            <w:shd w:val="clear" w:color="auto" w:fill="CCEEFF"/>
          </w:tcPr>
          <w:p>
            <w:pPr>
              <w:jc w:val="right"/>
              <w:ind w:right="155"/>
              <w:spacing w:after="0" w:line="134" w:lineRule="exact"/>
              <w:rPr>
                <w:sz w:val="20"/>
                <w:szCs w:val="20"/>
                <w:color w:val="auto"/>
              </w:rPr>
            </w:pPr>
            <w:r>
              <w:rPr>
                <w:rFonts w:ascii="Arial" w:cs="Arial" w:eastAsia="Arial" w:hAnsi="Arial"/>
                <w:sz w:val="13"/>
                <w:szCs w:val="13"/>
                <w:color w:val="auto"/>
              </w:rPr>
              <w:t>$</w:t>
            </w:r>
          </w:p>
        </w:tc>
        <w:tc>
          <w:tcPr>
            <w:tcW w:w="106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111</w:t>
            </w:r>
          </w:p>
        </w:tc>
      </w:tr>
      <w:tr>
        <w:trPr>
          <w:trHeight w:val="144"/>
        </w:trPr>
        <w:tc>
          <w:tcPr>
            <w:tcW w:w="20" w:type="dxa"/>
            <w:vAlign w:val="bottom"/>
          </w:tcPr>
          <w:p>
            <w:pPr>
              <w:spacing w:after="0"/>
              <w:rPr>
                <w:sz w:val="12"/>
                <w:szCs w:val="12"/>
                <w:color w:val="auto"/>
              </w:rPr>
            </w:pPr>
          </w:p>
        </w:tc>
        <w:tc>
          <w:tcPr>
            <w:tcW w:w="3380" w:type="dxa"/>
            <w:vAlign w:val="bottom"/>
          </w:tcPr>
          <w:p>
            <w:pPr>
              <w:spacing w:after="0" w:line="144" w:lineRule="exact"/>
              <w:rPr>
                <w:sz w:val="20"/>
                <w:szCs w:val="20"/>
                <w:color w:val="auto"/>
              </w:rPr>
            </w:pPr>
            <w:r>
              <w:rPr>
                <w:rFonts w:ascii="Arial" w:cs="Arial" w:eastAsia="Arial" w:hAnsi="Arial"/>
                <w:sz w:val="13"/>
                <w:szCs w:val="13"/>
                <w:color w:val="auto"/>
              </w:rPr>
              <w:t>Digital advertising expenses</w:t>
            </w:r>
          </w:p>
        </w:tc>
        <w:tc>
          <w:tcPr>
            <w:tcW w:w="1340" w:type="dxa"/>
            <w:vAlign w:val="bottom"/>
          </w:tcPr>
          <w:p>
            <w:pPr>
              <w:spacing w:after="0"/>
              <w:rPr>
                <w:sz w:val="12"/>
                <w:szCs w:val="12"/>
                <w:color w:val="auto"/>
              </w:rPr>
            </w:pPr>
          </w:p>
        </w:tc>
        <w:tc>
          <w:tcPr>
            <w:tcW w:w="1160" w:type="dxa"/>
            <w:vAlign w:val="bottom"/>
          </w:tcPr>
          <w:p>
            <w:pPr>
              <w:jc w:val="right"/>
              <w:ind w:right="75"/>
              <w:spacing w:after="0" w:line="144" w:lineRule="exact"/>
              <w:rPr>
                <w:sz w:val="20"/>
                <w:szCs w:val="20"/>
                <w:color w:val="auto"/>
              </w:rPr>
            </w:pPr>
            <w:r>
              <w:rPr>
                <w:rFonts w:ascii="Arial" w:cs="Arial" w:eastAsia="Arial" w:hAnsi="Arial"/>
                <w:sz w:val="13"/>
                <w:szCs w:val="13"/>
                <w:b w:val="1"/>
                <w:bCs w:val="1"/>
                <w:color w:val="auto"/>
              </w:rPr>
              <w:t>89</w:t>
            </w:r>
          </w:p>
        </w:tc>
        <w:tc>
          <w:tcPr>
            <w:tcW w:w="420" w:type="dxa"/>
            <w:vAlign w:val="bottom"/>
          </w:tcPr>
          <w:p>
            <w:pPr>
              <w:spacing w:after="0"/>
              <w:rPr>
                <w:sz w:val="12"/>
                <w:szCs w:val="12"/>
                <w:color w:val="auto"/>
              </w:rPr>
            </w:pPr>
          </w:p>
        </w:tc>
        <w:tc>
          <w:tcPr>
            <w:tcW w:w="1160" w:type="dxa"/>
            <w:vAlign w:val="bottom"/>
          </w:tcPr>
          <w:p>
            <w:pPr>
              <w:jc w:val="right"/>
              <w:ind w:right="75"/>
              <w:spacing w:after="0" w:line="144" w:lineRule="exact"/>
              <w:rPr>
                <w:sz w:val="20"/>
                <w:szCs w:val="20"/>
                <w:color w:val="auto"/>
              </w:rPr>
            </w:pPr>
            <w:r>
              <w:rPr>
                <w:rFonts w:ascii="Arial" w:cs="Arial" w:eastAsia="Arial" w:hAnsi="Arial"/>
                <w:sz w:val="13"/>
                <w:szCs w:val="13"/>
                <w:color w:val="auto"/>
              </w:rPr>
              <w:t>95</w:t>
            </w:r>
          </w:p>
        </w:tc>
        <w:tc>
          <w:tcPr>
            <w:tcW w:w="420" w:type="dxa"/>
            <w:vAlign w:val="bottom"/>
          </w:tcPr>
          <w:p>
            <w:pPr>
              <w:spacing w:after="0"/>
              <w:rPr>
                <w:sz w:val="12"/>
                <w:szCs w:val="12"/>
                <w:color w:val="auto"/>
              </w:rPr>
            </w:pPr>
          </w:p>
        </w:tc>
        <w:tc>
          <w:tcPr>
            <w:tcW w:w="1060" w:type="dxa"/>
            <w:vAlign w:val="bottom"/>
          </w:tcPr>
          <w:p>
            <w:pPr>
              <w:jc w:val="right"/>
              <w:spacing w:after="0" w:line="144" w:lineRule="exact"/>
              <w:rPr>
                <w:sz w:val="20"/>
                <w:szCs w:val="20"/>
                <w:color w:val="auto"/>
              </w:rPr>
            </w:pPr>
            <w:r>
              <w:rPr>
                <w:rFonts w:ascii="Arial" w:cs="Arial" w:eastAsia="Arial" w:hAnsi="Arial"/>
                <w:sz w:val="13"/>
                <w:szCs w:val="13"/>
                <w:color w:val="auto"/>
              </w:rPr>
              <w:t>96</w:t>
            </w:r>
          </w:p>
        </w:tc>
      </w:tr>
      <w:tr>
        <w:trPr>
          <w:trHeight w:val="144"/>
        </w:trPr>
        <w:tc>
          <w:tcPr>
            <w:tcW w:w="20" w:type="dxa"/>
            <w:vAlign w:val="bottom"/>
          </w:tcPr>
          <w:p>
            <w:pPr>
              <w:spacing w:after="0"/>
              <w:rPr>
                <w:sz w:val="12"/>
                <w:szCs w:val="12"/>
                <w:color w:val="auto"/>
              </w:rPr>
            </w:pPr>
          </w:p>
        </w:tc>
        <w:tc>
          <w:tcPr>
            <w:tcW w:w="3380" w:type="dxa"/>
            <w:vAlign w:val="bottom"/>
            <w:tcBorders>
              <w:bottom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rPr>
              <w:t>Cooperative advertising reimbursements</w:t>
            </w:r>
          </w:p>
        </w:tc>
        <w:tc>
          <w:tcPr>
            <w:tcW w:w="134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ind w:right="35"/>
              <w:spacing w:after="0" w:line="144" w:lineRule="exact"/>
              <w:rPr>
                <w:sz w:val="20"/>
                <w:szCs w:val="20"/>
                <w:color w:val="auto"/>
              </w:rPr>
            </w:pPr>
            <w:r>
              <w:rPr>
                <w:rFonts w:ascii="Arial" w:cs="Arial" w:eastAsia="Arial" w:hAnsi="Arial"/>
                <w:sz w:val="13"/>
                <w:szCs w:val="13"/>
                <w:b w:val="1"/>
                <w:bCs w:val="1"/>
                <w:color w:val="auto"/>
              </w:rPr>
              <w:t>(14)</w:t>
            </w:r>
          </w:p>
        </w:tc>
        <w:tc>
          <w:tcPr>
            <w:tcW w:w="42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ind w:right="35"/>
              <w:spacing w:after="0" w:line="144" w:lineRule="exact"/>
              <w:rPr>
                <w:sz w:val="20"/>
                <w:szCs w:val="20"/>
                <w:color w:val="auto"/>
              </w:rPr>
            </w:pPr>
            <w:r>
              <w:rPr>
                <w:rFonts w:ascii="Arial" w:cs="Arial" w:eastAsia="Arial" w:hAnsi="Arial"/>
                <w:sz w:val="13"/>
                <w:szCs w:val="13"/>
                <w:color w:val="auto"/>
              </w:rPr>
              <w:t>(20)</w:t>
            </w:r>
          </w:p>
        </w:tc>
        <w:tc>
          <w:tcPr>
            <w:tcW w:w="4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(25)</w:t>
            </w:r>
          </w:p>
        </w:tc>
      </w:tr>
      <w:tr>
        <w:trPr>
          <w:trHeight w:val="134"/>
        </w:trPr>
        <w:tc>
          <w:tcPr>
            <w:tcW w:w="20" w:type="dxa"/>
            <w:vAlign w:val="bottom"/>
            <w:tcBorders>
              <w:bottom w:val="single" w:sz="8" w:color="auto"/>
            </w:tcBorders>
          </w:tcPr>
          <w:p>
            <w:pPr>
              <w:spacing w:after="0"/>
              <w:rPr>
                <w:sz w:val="11"/>
                <w:szCs w:val="11"/>
                <w:color w:val="auto"/>
              </w:rPr>
            </w:pPr>
          </w:p>
        </w:tc>
        <w:tc>
          <w:tcPr>
            <w:tcW w:w="3380" w:type="dxa"/>
            <w:vAlign w:val="bottom"/>
            <w:tcBorders>
              <w:bottom w:val="single" w:sz="8" w:color="auto"/>
            </w:tcBorders>
          </w:tcPr>
          <w:p>
            <w:pPr>
              <w:spacing w:after="0" w:line="134" w:lineRule="exact"/>
              <w:rPr>
                <w:sz w:val="20"/>
                <w:szCs w:val="20"/>
                <w:color w:val="auto"/>
              </w:rPr>
            </w:pPr>
            <w:r>
              <w:rPr>
                <w:rFonts w:ascii="Arial" w:cs="Arial" w:eastAsia="Arial" w:hAnsi="Arial"/>
                <w:sz w:val="13"/>
                <w:szCs w:val="13"/>
                <w:color w:val="auto"/>
              </w:rPr>
              <w:t>Net advertising expense</w:t>
            </w:r>
          </w:p>
        </w:tc>
        <w:tc>
          <w:tcPr>
            <w:tcW w:w="1340" w:type="dxa"/>
            <w:vAlign w:val="bottom"/>
            <w:tcBorders>
              <w:bottom w:val="single" w:sz="8" w:color="auto"/>
            </w:tcBorders>
          </w:tcPr>
          <w:p>
            <w:pPr>
              <w:jc w:val="right"/>
              <w:ind w:right="155"/>
              <w:spacing w:after="0" w:line="134" w:lineRule="exact"/>
              <w:rPr>
                <w:sz w:val="20"/>
                <w:szCs w:val="20"/>
                <w:color w:val="auto"/>
              </w:rPr>
            </w:pPr>
            <w:r>
              <w:rPr>
                <w:rFonts w:ascii="Arial" w:cs="Arial" w:eastAsia="Arial" w:hAnsi="Arial"/>
                <w:sz w:val="13"/>
                <w:szCs w:val="13"/>
                <w:b w:val="1"/>
                <w:bCs w:val="1"/>
                <w:color w:val="auto"/>
              </w:rPr>
              <w:t>$</w:t>
            </w:r>
          </w:p>
        </w:tc>
        <w:tc>
          <w:tcPr>
            <w:tcW w:w="1160" w:type="dxa"/>
            <w:vAlign w:val="bottom"/>
            <w:tcBorders>
              <w:bottom w:val="single" w:sz="8" w:color="auto"/>
            </w:tcBorders>
          </w:tcPr>
          <w:p>
            <w:pPr>
              <w:jc w:val="right"/>
              <w:ind w:right="75"/>
              <w:spacing w:after="0" w:line="134" w:lineRule="exact"/>
              <w:rPr>
                <w:sz w:val="20"/>
                <w:szCs w:val="20"/>
                <w:color w:val="auto"/>
              </w:rPr>
            </w:pPr>
            <w:r>
              <w:rPr>
                <w:rFonts w:ascii="Arial" w:cs="Arial" w:eastAsia="Arial" w:hAnsi="Arial"/>
                <w:sz w:val="13"/>
                <w:szCs w:val="13"/>
                <w:b w:val="1"/>
                <w:bCs w:val="1"/>
                <w:color w:val="auto"/>
              </w:rPr>
              <w:t>144</w:t>
            </w:r>
          </w:p>
        </w:tc>
        <w:tc>
          <w:tcPr>
            <w:tcW w:w="420" w:type="dxa"/>
            <w:vAlign w:val="bottom"/>
            <w:tcBorders>
              <w:bottom w:val="single" w:sz="8" w:color="auto"/>
            </w:tcBorders>
          </w:tcPr>
          <w:p>
            <w:pPr>
              <w:jc w:val="right"/>
              <w:ind w:right="155"/>
              <w:spacing w:after="0" w:line="134" w:lineRule="exact"/>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ind w:right="75"/>
              <w:spacing w:after="0" w:line="134" w:lineRule="exact"/>
              <w:rPr>
                <w:sz w:val="20"/>
                <w:szCs w:val="20"/>
                <w:color w:val="auto"/>
              </w:rPr>
            </w:pPr>
            <w:r>
              <w:rPr>
                <w:rFonts w:ascii="Arial" w:cs="Arial" w:eastAsia="Arial" w:hAnsi="Arial"/>
                <w:sz w:val="13"/>
                <w:szCs w:val="13"/>
                <w:color w:val="auto"/>
              </w:rPr>
              <w:t>166</w:t>
            </w:r>
          </w:p>
        </w:tc>
        <w:tc>
          <w:tcPr>
            <w:tcW w:w="420" w:type="dxa"/>
            <w:vAlign w:val="bottom"/>
            <w:tcBorders>
              <w:bottom w:val="single" w:sz="8" w:color="auto"/>
            </w:tcBorders>
          </w:tcPr>
          <w:p>
            <w:pPr>
              <w:jc w:val="right"/>
              <w:ind w:right="155"/>
              <w:spacing w:after="0" w:line="134"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182</w:t>
            </w:r>
          </w:p>
        </w:tc>
      </w:tr>
      <w:tr>
        <w:trPr>
          <w:trHeight w:val="20"/>
        </w:trPr>
        <w:tc>
          <w:tcPr>
            <w:tcW w:w="20" w:type="dxa"/>
            <w:vAlign w:val="bottom"/>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280" w:right="59" w:hanging="250"/>
        <w:spacing w:after="0" w:line="251" w:lineRule="auto"/>
        <w:tabs>
          <w:tab w:leader="none" w:pos="280" w:val="left"/>
        </w:tabs>
        <w:numPr>
          <w:ilvl w:val="0"/>
          <w:numId w:val="15"/>
        </w:numPr>
        <w:rPr>
          <w:rFonts w:ascii="Arial" w:cs="Arial" w:eastAsia="Arial" w:hAnsi="Arial"/>
          <w:sz w:val="10"/>
          <w:szCs w:val="10"/>
          <w:color w:val="auto"/>
        </w:rPr>
      </w:pPr>
      <w:r>
        <w:rPr>
          <w:rFonts w:ascii="Arial" w:cs="Arial" w:eastAsia="Arial" w:hAnsi="Arial"/>
          <w:sz w:val="10"/>
          <w:szCs w:val="10"/>
          <w:color w:val="auto"/>
        </w:rPr>
        <w:t>Effective with the adoption of the new lease standard in 2019, advertising costs that are required by some of our mall-based leases are recorded as an element of rent expense. These costs were $14 million for 2018.</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Catalog Costs</w:t>
      </w:r>
    </w:p>
    <w:p>
      <w:pPr>
        <w:spacing w:after="0" w:line="131" w:lineRule="exact"/>
        <w:rPr>
          <w:sz w:val="20"/>
          <w:szCs w:val="20"/>
          <w:color w:val="auto"/>
        </w:rPr>
      </w:pPr>
    </w:p>
    <w:p>
      <w:pPr>
        <w:jc w:val="both"/>
        <w:ind w:left="20" w:right="39"/>
        <w:spacing w:after="0" w:line="236" w:lineRule="auto"/>
        <w:rPr>
          <w:sz w:val="20"/>
          <w:szCs w:val="20"/>
          <w:color w:val="auto"/>
        </w:rPr>
      </w:pPr>
      <w:r>
        <w:rPr>
          <w:rFonts w:ascii="Arial" w:cs="Arial" w:eastAsia="Arial" w:hAnsi="Arial"/>
          <w:sz w:val="13"/>
          <w:szCs w:val="13"/>
          <w:color w:val="auto"/>
        </w:rPr>
        <w:t>Catalog costs, which are primarily comprised of paper, printing, and postage, are expensed at the time the catalogs are distributed. Cooperative reimbursements earned for the promotion of certain products are agreed upon with vendors and are recorded in the same period as the associated catalog expenses are recorded.</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3"/>
          <w:szCs w:val="13"/>
          <w:color w:val="auto"/>
        </w:rPr>
        <w:t>Catalog costs, which are included as a component of SG&amp;A, were as follows:</w:t>
      </w:r>
    </w:p>
    <w:p>
      <w:pPr>
        <w:spacing w:after="0" w:line="122" w:lineRule="exact"/>
        <w:rPr>
          <w:sz w:val="20"/>
          <w:szCs w:val="20"/>
          <w:color w:val="auto"/>
        </w:rPr>
      </w:pPr>
    </w:p>
    <w:tbl>
      <w:tblPr>
        <w:tblLayout w:type="fixed"/>
        <w:tblInd w:w="20" w:type="dxa"/>
        <w:tblCellMar>
          <w:top w:w="0" w:type="dxa"/>
          <w:left w:w="0" w:type="dxa"/>
          <w:bottom w:w="0" w:type="dxa"/>
          <w:right w:w="0" w:type="dxa"/>
        </w:tblCellMar>
      </w:tblPr>
      <w:tr>
        <w:trPr>
          <w:trHeight w:val="164"/>
        </w:trPr>
        <w:tc>
          <w:tcPr>
            <w:tcW w:w="2620" w:type="dxa"/>
            <w:vAlign w:val="bottom"/>
            <w:gridSpan w:val="2"/>
          </w:tcPr>
          <w:p>
            <w:pPr>
              <w:spacing w:after="0"/>
              <w:rPr>
                <w:sz w:val="20"/>
                <w:szCs w:val="20"/>
                <w:color w:val="auto"/>
              </w:rPr>
            </w:pPr>
            <w:r>
              <w:rPr>
                <w:rFonts w:ascii="Arial" w:cs="Arial" w:eastAsia="Arial" w:hAnsi="Arial"/>
                <w:sz w:val="13"/>
                <w:szCs w:val="13"/>
                <w:color w:val="auto"/>
              </w:rPr>
              <w:t>($ in millions)</w:t>
            </w:r>
          </w:p>
        </w:tc>
        <w:tc>
          <w:tcPr>
            <w:tcW w:w="2860" w:type="dxa"/>
            <w:vAlign w:val="bottom"/>
          </w:tcPr>
          <w:p>
            <w:pPr>
              <w:jc w:val="right"/>
              <w:ind w:right="155"/>
              <w:spacing w:after="0"/>
              <w:rPr>
                <w:sz w:val="20"/>
                <w:szCs w:val="20"/>
                <w:color w:val="auto"/>
              </w:rPr>
            </w:pPr>
            <w:r>
              <w:rPr>
                <w:rFonts w:ascii="Arial" w:cs="Arial" w:eastAsia="Arial" w:hAnsi="Arial"/>
                <w:sz w:val="13"/>
                <w:szCs w:val="13"/>
                <w:b w:val="1"/>
                <w:bCs w:val="1"/>
                <w:color w:val="auto"/>
              </w:rPr>
              <w:t>2020</w:t>
            </w: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jc w:val="right"/>
              <w:ind w:right="555"/>
              <w:spacing w:after="0"/>
              <w:rPr>
                <w:sz w:val="20"/>
                <w:szCs w:val="20"/>
                <w:color w:val="auto"/>
              </w:rPr>
            </w:pPr>
            <w:r>
              <w:rPr>
                <w:rFonts w:ascii="Arial" w:cs="Arial" w:eastAsia="Arial" w:hAnsi="Arial"/>
                <w:sz w:val="13"/>
                <w:szCs w:val="13"/>
                <w:color w:val="auto"/>
              </w:rPr>
              <w:t>2019</w:t>
            </w:r>
          </w:p>
        </w:tc>
        <w:tc>
          <w:tcPr>
            <w:tcW w:w="440" w:type="dxa"/>
            <w:vAlign w:val="bottom"/>
          </w:tcPr>
          <w:p>
            <w:pPr>
              <w:spacing w:after="0"/>
              <w:rPr>
                <w:sz w:val="14"/>
                <w:szCs w:val="14"/>
                <w:color w:val="auto"/>
              </w:rPr>
            </w:pPr>
          </w:p>
        </w:tc>
        <w:tc>
          <w:tcPr>
            <w:tcW w:w="1060" w:type="dxa"/>
            <w:vAlign w:val="bottom"/>
          </w:tcPr>
          <w:p>
            <w:pPr>
              <w:jc w:val="right"/>
              <w:ind w:right="475"/>
              <w:spacing w:after="0"/>
              <w:rPr>
                <w:sz w:val="20"/>
                <w:szCs w:val="20"/>
                <w:color w:val="auto"/>
              </w:rPr>
            </w:pPr>
            <w:r>
              <w:rPr>
                <w:rFonts w:ascii="Arial" w:cs="Arial" w:eastAsia="Arial" w:hAnsi="Arial"/>
                <w:sz w:val="13"/>
                <w:szCs w:val="13"/>
                <w:color w:val="auto"/>
              </w:rPr>
              <w:t>2018</w:t>
            </w:r>
          </w:p>
        </w:tc>
      </w:tr>
      <w:tr>
        <w:trPr>
          <w:trHeight w:val="134"/>
        </w:trPr>
        <w:tc>
          <w:tcPr>
            <w:tcW w:w="20" w:type="dxa"/>
            <w:vAlign w:val="bottom"/>
          </w:tcPr>
          <w:p>
            <w:pPr>
              <w:spacing w:after="0"/>
              <w:rPr>
                <w:sz w:val="11"/>
                <w:szCs w:val="11"/>
                <w:color w:val="auto"/>
              </w:rPr>
            </w:pPr>
          </w:p>
        </w:tc>
        <w:tc>
          <w:tcPr>
            <w:tcW w:w="2600" w:type="dxa"/>
            <w:vAlign w:val="bottom"/>
            <w:tcBorders>
              <w:top w:val="single" w:sz="8" w:color="auto"/>
              <w:bottom w:val="single" w:sz="8" w:color="auto"/>
            </w:tcBorders>
            <w:shd w:val="clear" w:color="auto" w:fill="CCEEFF"/>
          </w:tcPr>
          <w:p>
            <w:pPr>
              <w:spacing w:after="0" w:line="134" w:lineRule="exact"/>
              <w:rPr>
                <w:sz w:val="20"/>
                <w:szCs w:val="20"/>
                <w:color w:val="auto"/>
              </w:rPr>
            </w:pPr>
            <w:r>
              <w:rPr>
                <w:rFonts w:ascii="Arial" w:cs="Arial" w:eastAsia="Arial" w:hAnsi="Arial"/>
                <w:sz w:val="13"/>
                <w:szCs w:val="13"/>
                <w:color w:val="auto"/>
              </w:rPr>
              <w:t>Catalog costs</w:t>
            </w:r>
          </w:p>
        </w:tc>
        <w:tc>
          <w:tcPr>
            <w:tcW w:w="2860" w:type="dxa"/>
            <w:vAlign w:val="bottom"/>
            <w:tcBorders>
              <w:top w:val="single" w:sz="8" w:color="auto"/>
              <w:bottom w:val="single" w:sz="8" w:color="auto"/>
            </w:tcBorders>
            <w:shd w:val="clear" w:color="auto" w:fill="CCEEFF"/>
          </w:tcPr>
          <w:p>
            <w:pPr>
              <w:jc w:val="right"/>
              <w:ind w:right="895"/>
              <w:spacing w:after="0" w:line="134" w:lineRule="exact"/>
              <w:rPr>
                <w:sz w:val="20"/>
                <w:szCs w:val="20"/>
                <w:color w:val="auto"/>
              </w:rPr>
            </w:pPr>
            <w:r>
              <w:rPr>
                <w:rFonts w:ascii="Arial" w:cs="Arial" w:eastAsia="Arial" w:hAnsi="Arial"/>
                <w:sz w:val="13"/>
                <w:szCs w:val="13"/>
                <w:b w:val="1"/>
                <w:bCs w:val="1"/>
                <w:color w:val="auto"/>
              </w:rPr>
              <w:t>$</w:t>
            </w:r>
          </w:p>
        </w:tc>
        <w:tc>
          <w:tcPr>
            <w:tcW w:w="400" w:type="dxa"/>
            <w:vAlign w:val="bottom"/>
            <w:tcBorders>
              <w:top w:val="single" w:sz="8" w:color="auto"/>
              <w:bottom w:val="single" w:sz="8" w:color="auto"/>
            </w:tcBorders>
            <w:shd w:val="clear" w:color="auto" w:fill="CCEEFF"/>
          </w:tcPr>
          <w:p>
            <w:pPr>
              <w:jc w:val="right"/>
              <w:ind w:right="55"/>
              <w:spacing w:after="0" w:line="134" w:lineRule="exact"/>
              <w:rPr>
                <w:sz w:val="20"/>
                <w:szCs w:val="20"/>
                <w:color w:val="auto"/>
              </w:rPr>
            </w:pPr>
            <w:r>
              <w:rPr>
                <w:rFonts w:ascii="Arial" w:cs="Arial" w:eastAsia="Arial" w:hAnsi="Arial"/>
                <w:sz w:val="13"/>
                <w:szCs w:val="13"/>
                <w:b w:val="1"/>
                <w:bCs w:val="1"/>
                <w:color w:val="auto"/>
              </w:rPr>
              <w:t>7</w:t>
            </w:r>
          </w:p>
        </w:tc>
        <w:tc>
          <w:tcPr>
            <w:tcW w:w="440" w:type="dxa"/>
            <w:vAlign w:val="bottom"/>
            <w:tcBorders>
              <w:top w:val="single" w:sz="8" w:color="auto"/>
              <w:bottom w:val="single" w:sz="8" w:color="auto"/>
            </w:tcBorders>
            <w:shd w:val="clear" w:color="auto" w:fill="CCEEFF"/>
          </w:tcPr>
          <w:p>
            <w:pPr>
              <w:jc w:val="right"/>
              <w:ind w:right="155"/>
              <w:spacing w:after="0" w:line="134" w:lineRule="exact"/>
              <w:rPr>
                <w:sz w:val="20"/>
                <w:szCs w:val="20"/>
                <w:color w:val="auto"/>
              </w:rPr>
            </w:pPr>
            <w:r>
              <w:rPr>
                <w:rFonts w:ascii="Arial" w:cs="Arial" w:eastAsia="Arial" w:hAnsi="Arial"/>
                <w:sz w:val="13"/>
                <w:szCs w:val="13"/>
                <w:color w:val="auto"/>
              </w:rPr>
              <w:t>$</w:t>
            </w:r>
          </w:p>
        </w:tc>
        <w:tc>
          <w:tcPr>
            <w:tcW w:w="1140" w:type="dxa"/>
            <w:vAlign w:val="bottom"/>
            <w:tcBorders>
              <w:top w:val="single" w:sz="8" w:color="auto"/>
              <w:bottom w:val="single" w:sz="8" w:color="auto"/>
            </w:tcBorders>
            <w:shd w:val="clear" w:color="auto" w:fill="CCEEFF"/>
          </w:tcPr>
          <w:p>
            <w:pPr>
              <w:jc w:val="right"/>
              <w:ind w:right="55"/>
              <w:spacing w:after="0" w:line="134" w:lineRule="exact"/>
              <w:rPr>
                <w:sz w:val="20"/>
                <w:szCs w:val="20"/>
                <w:color w:val="auto"/>
              </w:rPr>
            </w:pPr>
            <w:r>
              <w:rPr>
                <w:rFonts w:ascii="Arial" w:cs="Arial" w:eastAsia="Arial" w:hAnsi="Arial"/>
                <w:sz w:val="13"/>
                <w:szCs w:val="13"/>
                <w:color w:val="auto"/>
              </w:rPr>
              <w:t>15</w:t>
            </w:r>
          </w:p>
        </w:tc>
        <w:tc>
          <w:tcPr>
            <w:tcW w:w="440" w:type="dxa"/>
            <w:vAlign w:val="bottom"/>
            <w:tcBorders>
              <w:top w:val="single" w:sz="8" w:color="auto"/>
              <w:bottom w:val="single" w:sz="8" w:color="auto"/>
            </w:tcBorders>
            <w:shd w:val="clear" w:color="auto" w:fill="CCEEFF"/>
          </w:tcPr>
          <w:p>
            <w:pPr>
              <w:jc w:val="right"/>
              <w:ind w:right="155"/>
              <w:spacing w:after="0" w:line="134" w:lineRule="exact"/>
              <w:rPr>
                <w:sz w:val="20"/>
                <w:szCs w:val="20"/>
                <w:color w:val="auto"/>
              </w:rPr>
            </w:pPr>
            <w:r>
              <w:rPr>
                <w:rFonts w:ascii="Arial" w:cs="Arial" w:eastAsia="Arial" w:hAnsi="Arial"/>
                <w:sz w:val="13"/>
                <w:szCs w:val="13"/>
                <w:color w:val="auto"/>
              </w:rPr>
              <w:t>$</w:t>
            </w:r>
          </w:p>
        </w:tc>
        <w:tc>
          <w:tcPr>
            <w:tcW w:w="10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18</w:t>
            </w:r>
          </w:p>
        </w:tc>
      </w:tr>
    </w:tbl>
    <w:p>
      <w:pPr>
        <w:spacing w:after="0" w:line="200" w:lineRule="exact"/>
        <w:rPr>
          <w:sz w:val="20"/>
          <w:szCs w:val="20"/>
          <w:color w:val="auto"/>
        </w:rPr>
      </w:pPr>
    </w:p>
    <w:p>
      <w:pPr>
        <w:spacing w:after="0" w:line="339" w:lineRule="exact"/>
        <w:rPr>
          <w:sz w:val="20"/>
          <w:szCs w:val="20"/>
          <w:color w:val="auto"/>
        </w:rPr>
      </w:pPr>
    </w:p>
    <w:p>
      <w:pPr>
        <w:ind w:left="7520"/>
        <w:spacing w:after="0"/>
        <w:rPr>
          <w:sz w:val="20"/>
          <w:szCs w:val="20"/>
          <w:color w:val="auto"/>
        </w:rPr>
      </w:pPr>
      <w:r>
        <w:rPr>
          <w:rFonts w:ascii="Arial" w:cs="Arial" w:eastAsia="Arial" w:hAnsi="Arial"/>
          <w:sz w:val="13"/>
          <w:szCs w:val="13"/>
          <w:color w:val="auto"/>
        </w:rPr>
        <w:t>2020 Form 10-K 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357505</wp:posOffset>
            </wp:positionV>
            <wp:extent cx="5680075" cy="196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80075" cy="19685"/>
                    </a:xfrm>
                    <a:prstGeom prst="rect">
                      <a:avLst/>
                    </a:prstGeom>
                    <a:noFill/>
                  </pic:spPr>
                </pic:pic>
              </a:graphicData>
            </a:graphic>
          </wp:anchor>
        </w:drawing>
      </w:r>
    </w:p>
    <w:p>
      <w:pPr>
        <w:sectPr>
          <w:pgSz w:w="11900" w:h="16838" w:orient="portrait"/>
          <w:cols w:equalWidth="0" w:num="1">
            <w:col w:w="9019"/>
          </w:cols>
          <w:pgMar w:left="1440" w:top="995" w:right="1440"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2992755</wp:posOffset>
            </wp:positionH>
            <wp:positionV relativeFrom="page">
              <wp:posOffset>375285</wp:posOffset>
            </wp:positionV>
            <wp:extent cx="1563370" cy="169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1563370" cy="169545"/>
                    </a:xfrm>
                    <a:prstGeom prst="rect">
                      <a:avLst/>
                    </a:prstGeom>
                    <a:noFill/>
                  </pic:spPr>
                </pic:pic>
              </a:graphicData>
            </a:graphic>
          </wp:anchor>
        </w:drawing>
        <w:t>NOTES TO CONSOLIDATED FINANCIAL STATEMENTS</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Share-Based Compensation</w:t>
      </w:r>
    </w:p>
    <w:p>
      <w:pPr>
        <w:spacing w:after="0" w:line="100" w:lineRule="exact"/>
        <w:rPr>
          <w:sz w:val="20"/>
          <w:szCs w:val="20"/>
          <w:color w:val="auto"/>
        </w:rPr>
      </w:pPr>
    </w:p>
    <w:p>
      <w:pPr>
        <w:jc w:val="both"/>
        <w:ind w:left="20" w:right="39"/>
        <w:spacing w:after="0" w:line="233" w:lineRule="auto"/>
        <w:rPr>
          <w:sz w:val="20"/>
          <w:szCs w:val="20"/>
          <w:color w:val="auto"/>
        </w:rPr>
      </w:pPr>
      <w:r>
        <w:rPr>
          <w:rFonts w:ascii="Arial" w:cs="Arial" w:eastAsia="Arial" w:hAnsi="Arial"/>
          <w:sz w:val="13"/>
          <w:szCs w:val="13"/>
          <w:color w:val="auto"/>
        </w:rPr>
        <w:t xml:space="preserve">We recognize compensation expense for share-based awards based on the grant date fair value of those awards. We use the Black-Scholes option-pricing model to determine the fair value of stock options, which requires the input of subjective assumptions regarding the expected term, expected volatility, and risk-free interest rate. See Note 20, </w:t>
      </w:r>
      <w:r>
        <w:rPr>
          <w:rFonts w:ascii="Arial" w:cs="Arial" w:eastAsia="Arial" w:hAnsi="Arial"/>
          <w:sz w:val="13"/>
          <w:szCs w:val="13"/>
          <w:i w:val="1"/>
          <w:iCs w:val="1"/>
          <w:color w:val="auto"/>
        </w:rPr>
        <w:t>Share-Based Compensation,</w:t>
      </w:r>
      <w:r>
        <w:rPr>
          <w:rFonts w:ascii="Arial" w:cs="Arial" w:eastAsia="Arial" w:hAnsi="Arial"/>
          <w:sz w:val="13"/>
          <w:szCs w:val="13"/>
          <w:color w:val="auto"/>
        </w:rPr>
        <w:t xml:space="preserve"> for information on the assumptions used to calculate the fair value of stock options. Share-based compensation expense is recognized on a straight-line basis over the requisite service period for each vesting tranche of the award. Upon exercise of stock options, issuance of restricted stock or units, or issuance of shares under the employee stock purchase plan, we will issue authorized but unissued common stock or use common stock held in treasury.</w:t>
      </w:r>
    </w:p>
    <w:p>
      <w:pPr>
        <w:spacing w:after="0" w:line="83" w:lineRule="exact"/>
        <w:rPr>
          <w:sz w:val="20"/>
          <w:szCs w:val="20"/>
          <w:color w:val="auto"/>
        </w:rPr>
      </w:pPr>
    </w:p>
    <w:p>
      <w:pPr>
        <w:jc w:val="both"/>
        <w:ind w:left="20" w:right="39"/>
        <w:spacing w:after="0"/>
        <w:rPr>
          <w:sz w:val="20"/>
          <w:szCs w:val="20"/>
          <w:color w:val="auto"/>
        </w:rPr>
      </w:pPr>
      <w:r>
        <w:rPr>
          <w:rFonts w:ascii="Arial" w:cs="Arial" w:eastAsia="Arial" w:hAnsi="Arial"/>
          <w:sz w:val="13"/>
          <w:szCs w:val="13"/>
          <w:color w:val="auto"/>
        </w:rPr>
        <w:t>Awards of restricted stock units cliff vest after the passage of time, generally three years. Performance-based restricted stock unit awards are earned on achievement of pre-established goals and with regards to certain awards, vest after an additional one-year period.</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Earnings Per Share</w:t>
      </w:r>
    </w:p>
    <w:p>
      <w:pPr>
        <w:spacing w:after="0" w:line="141" w:lineRule="exact"/>
        <w:rPr>
          <w:sz w:val="20"/>
          <w:szCs w:val="20"/>
          <w:color w:val="auto"/>
        </w:rPr>
      </w:pPr>
    </w:p>
    <w:p>
      <w:pPr>
        <w:jc w:val="both"/>
        <w:ind w:left="20" w:right="39"/>
        <w:spacing w:after="0" w:line="236" w:lineRule="auto"/>
        <w:rPr>
          <w:sz w:val="20"/>
          <w:szCs w:val="20"/>
          <w:color w:val="auto"/>
        </w:rPr>
      </w:pPr>
      <w:r>
        <w:rPr>
          <w:rFonts w:ascii="Arial" w:cs="Arial" w:eastAsia="Arial" w:hAnsi="Arial"/>
          <w:sz w:val="13"/>
          <w:szCs w:val="13"/>
          <w:color w:val="auto"/>
        </w:rPr>
        <w:t>We account for earnings per share (“EPS”) using the treasury stock method. Basic EPS is computed by dividing net income for the period by the weighted-average number of common shares outstanding at the end of the period. Diluted EPS reflects the weighted-average number of common shares outstanding during the period used in the basic EPS computation plus dilutive common stock equivalents. The computation of basic and diluted EPS is as follows: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64"/>
        </w:trPr>
        <w:tc>
          <w:tcPr>
            <w:tcW w:w="4140" w:type="dxa"/>
            <w:vAlign w:val="bottom"/>
            <w:gridSpan w:val="2"/>
          </w:tcPr>
          <w:p>
            <w:pPr>
              <w:spacing w:after="0"/>
              <w:rPr>
                <w:sz w:val="20"/>
                <w:szCs w:val="20"/>
                <w:color w:val="auto"/>
              </w:rPr>
            </w:pPr>
            <w:r>
              <w:rPr>
                <w:rFonts w:ascii="Arial" w:cs="Arial" w:eastAsia="Arial" w:hAnsi="Arial"/>
                <w:sz w:val="13"/>
                <w:szCs w:val="13"/>
                <w:color w:val="auto"/>
              </w:rPr>
              <w:t>(in millions, except per share data)</w:t>
            </w:r>
          </w:p>
        </w:tc>
        <w:tc>
          <w:tcPr>
            <w:tcW w:w="640" w:type="dxa"/>
            <w:vAlign w:val="bottom"/>
          </w:tcPr>
          <w:p>
            <w:pPr>
              <w:spacing w:after="0"/>
              <w:rPr>
                <w:sz w:val="14"/>
                <w:szCs w:val="14"/>
                <w:color w:val="auto"/>
              </w:rPr>
            </w:pPr>
          </w:p>
        </w:tc>
        <w:tc>
          <w:tcPr>
            <w:tcW w:w="1180" w:type="dxa"/>
            <w:vAlign w:val="bottom"/>
          </w:tcPr>
          <w:p>
            <w:pPr>
              <w:jc w:val="right"/>
              <w:ind w:right="595"/>
              <w:spacing w:after="0"/>
              <w:rPr>
                <w:sz w:val="20"/>
                <w:szCs w:val="20"/>
                <w:color w:val="auto"/>
              </w:rPr>
            </w:pPr>
            <w:r>
              <w:rPr>
                <w:rFonts w:ascii="Arial" w:cs="Arial" w:eastAsia="Arial" w:hAnsi="Arial"/>
                <w:sz w:val="13"/>
                <w:szCs w:val="13"/>
                <w:b w:val="1"/>
                <w:bCs w:val="1"/>
                <w:color w:val="auto"/>
              </w:rPr>
              <w:t>2020</w:t>
            </w:r>
          </w:p>
        </w:tc>
        <w:tc>
          <w:tcPr>
            <w:tcW w:w="460" w:type="dxa"/>
            <w:vAlign w:val="bottom"/>
          </w:tcPr>
          <w:p>
            <w:pPr>
              <w:spacing w:after="0"/>
              <w:rPr>
                <w:sz w:val="14"/>
                <w:szCs w:val="14"/>
                <w:color w:val="auto"/>
              </w:rPr>
            </w:pPr>
          </w:p>
        </w:tc>
        <w:tc>
          <w:tcPr>
            <w:tcW w:w="1180" w:type="dxa"/>
            <w:vAlign w:val="bottom"/>
          </w:tcPr>
          <w:p>
            <w:pPr>
              <w:jc w:val="right"/>
              <w:ind w:right="595"/>
              <w:spacing w:after="0"/>
              <w:rPr>
                <w:sz w:val="20"/>
                <w:szCs w:val="20"/>
                <w:color w:val="auto"/>
              </w:rPr>
            </w:pPr>
            <w:r>
              <w:rPr>
                <w:rFonts w:ascii="Arial" w:cs="Arial" w:eastAsia="Arial" w:hAnsi="Arial"/>
                <w:sz w:val="13"/>
                <w:szCs w:val="13"/>
                <w:color w:val="auto"/>
              </w:rPr>
              <w:t>2019</w:t>
            </w:r>
          </w:p>
        </w:tc>
        <w:tc>
          <w:tcPr>
            <w:tcW w:w="420" w:type="dxa"/>
            <w:vAlign w:val="bottom"/>
          </w:tcPr>
          <w:p>
            <w:pPr>
              <w:spacing w:after="0"/>
              <w:rPr>
                <w:sz w:val="14"/>
                <w:szCs w:val="14"/>
                <w:color w:val="auto"/>
              </w:rPr>
            </w:pPr>
          </w:p>
        </w:tc>
        <w:tc>
          <w:tcPr>
            <w:tcW w:w="940" w:type="dxa"/>
            <w:vAlign w:val="bottom"/>
          </w:tcPr>
          <w:p>
            <w:pPr>
              <w:jc w:val="right"/>
              <w:ind w:right="395"/>
              <w:spacing w:after="0"/>
              <w:rPr>
                <w:sz w:val="20"/>
                <w:szCs w:val="20"/>
                <w:color w:val="auto"/>
              </w:rPr>
            </w:pPr>
            <w:r>
              <w:rPr>
                <w:rFonts w:ascii="Arial" w:cs="Arial" w:eastAsia="Arial" w:hAnsi="Arial"/>
                <w:sz w:val="13"/>
                <w:szCs w:val="13"/>
                <w:color w:val="auto"/>
              </w:rPr>
              <w:t>2018</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120" w:type="dxa"/>
            <w:vAlign w:val="bottom"/>
            <w:tcBorders>
              <w:top w:val="single" w:sz="8" w:color="auto"/>
            </w:tcBorders>
            <w:shd w:val="clear" w:color="auto" w:fill="CCEEFF"/>
          </w:tcPr>
          <w:p>
            <w:pPr>
              <w:spacing w:after="0" w:line="134" w:lineRule="exact"/>
              <w:rPr>
                <w:sz w:val="20"/>
                <w:szCs w:val="20"/>
                <w:color w:val="auto"/>
              </w:rPr>
            </w:pPr>
            <w:r>
              <w:rPr>
                <w:rFonts w:ascii="Arial" w:cs="Arial" w:eastAsia="Arial" w:hAnsi="Arial"/>
                <w:sz w:val="13"/>
                <w:szCs w:val="13"/>
                <w:color w:val="auto"/>
              </w:rPr>
              <w:t>Net income</w:t>
            </w:r>
          </w:p>
        </w:tc>
        <w:tc>
          <w:tcPr>
            <w:tcW w:w="640" w:type="dxa"/>
            <w:vAlign w:val="bottom"/>
            <w:tcBorders>
              <w:top w:val="single" w:sz="8" w:color="auto"/>
            </w:tcBorders>
            <w:shd w:val="clear" w:color="auto" w:fill="CCEEFF"/>
          </w:tcPr>
          <w:p>
            <w:pPr>
              <w:jc w:val="right"/>
              <w:ind w:right="175"/>
              <w:spacing w:after="0" w:line="134" w:lineRule="exact"/>
              <w:rPr>
                <w:sz w:val="20"/>
                <w:szCs w:val="20"/>
                <w:color w:val="auto"/>
              </w:rPr>
            </w:pPr>
            <w:r>
              <w:rPr>
                <w:rFonts w:ascii="Arial" w:cs="Arial" w:eastAsia="Arial" w:hAnsi="Arial"/>
                <w:sz w:val="13"/>
                <w:szCs w:val="13"/>
                <w:b w:val="1"/>
                <w:bCs w:val="1"/>
                <w:color w:val="auto"/>
              </w:rPr>
              <w:t>$</w:t>
            </w:r>
          </w:p>
        </w:tc>
        <w:tc>
          <w:tcPr>
            <w:tcW w:w="1180" w:type="dxa"/>
            <w:vAlign w:val="bottom"/>
            <w:tcBorders>
              <w:top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b w:val="1"/>
                <w:bCs w:val="1"/>
                <w:color w:val="auto"/>
              </w:rPr>
              <w:t>323</w:t>
            </w:r>
          </w:p>
        </w:tc>
        <w:tc>
          <w:tcPr>
            <w:tcW w:w="460" w:type="dxa"/>
            <w:vAlign w:val="bottom"/>
            <w:tcBorders>
              <w:top w:val="single" w:sz="8" w:color="auto"/>
            </w:tcBorders>
            <w:shd w:val="clear" w:color="auto" w:fill="CCEEFF"/>
          </w:tcPr>
          <w:p>
            <w:pPr>
              <w:jc w:val="right"/>
              <w:ind w:right="175"/>
              <w:spacing w:after="0" w:line="134" w:lineRule="exact"/>
              <w:rPr>
                <w:sz w:val="20"/>
                <w:szCs w:val="20"/>
                <w:color w:val="auto"/>
              </w:rPr>
            </w:pPr>
            <w:r>
              <w:rPr>
                <w:rFonts w:ascii="Arial" w:cs="Arial" w:eastAsia="Arial" w:hAnsi="Arial"/>
                <w:sz w:val="13"/>
                <w:szCs w:val="13"/>
                <w:color w:val="auto"/>
              </w:rPr>
              <w:t>$</w:t>
            </w:r>
          </w:p>
        </w:tc>
        <w:tc>
          <w:tcPr>
            <w:tcW w:w="1180" w:type="dxa"/>
            <w:vAlign w:val="bottom"/>
            <w:tcBorders>
              <w:top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color w:val="auto"/>
              </w:rPr>
              <w:t>491</w:t>
            </w:r>
          </w:p>
        </w:tc>
        <w:tc>
          <w:tcPr>
            <w:tcW w:w="420" w:type="dxa"/>
            <w:vAlign w:val="bottom"/>
            <w:tcBorders>
              <w:top w:val="single" w:sz="8" w:color="auto"/>
            </w:tcBorders>
            <w:shd w:val="clear" w:color="auto" w:fill="CCEEFF"/>
          </w:tcPr>
          <w:p>
            <w:pPr>
              <w:jc w:val="right"/>
              <w:ind w:right="135"/>
              <w:spacing w:after="0" w:line="134" w:lineRule="exact"/>
              <w:rPr>
                <w:sz w:val="20"/>
                <w:szCs w:val="20"/>
                <w:color w:val="auto"/>
              </w:rPr>
            </w:pPr>
            <w:r>
              <w:rPr>
                <w:rFonts w:ascii="Arial" w:cs="Arial" w:eastAsia="Arial" w:hAnsi="Arial"/>
                <w:sz w:val="13"/>
                <w:szCs w:val="13"/>
                <w:color w:val="auto"/>
              </w:rPr>
              <w:t>$</w:t>
            </w:r>
          </w:p>
        </w:tc>
        <w:tc>
          <w:tcPr>
            <w:tcW w:w="94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541</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1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Weighted-average common shares outstanding</w:t>
            </w:r>
          </w:p>
        </w:tc>
        <w:tc>
          <w:tcPr>
            <w:tcW w:w="64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b w:val="1"/>
                <w:bCs w:val="1"/>
                <w:color w:val="auto"/>
              </w:rPr>
              <w:t>104.3</w:t>
            </w:r>
          </w:p>
        </w:tc>
        <w:tc>
          <w:tcPr>
            <w:tcW w:w="46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color w:val="auto"/>
              </w:rPr>
              <w:t>108.7</w:t>
            </w:r>
          </w:p>
        </w:tc>
        <w:tc>
          <w:tcPr>
            <w:tcW w:w="4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115.6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2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color w:val="auto"/>
              </w:rPr>
              <w:t>Dilutive effect of potential common shares</w:t>
            </w:r>
          </w:p>
        </w:tc>
        <w:tc>
          <w:tcPr>
            <w:tcW w:w="6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75"/>
              <w:spacing w:after="0" w:line="144" w:lineRule="exact"/>
              <w:rPr>
                <w:sz w:val="20"/>
                <w:szCs w:val="20"/>
                <w:color w:val="auto"/>
              </w:rPr>
            </w:pPr>
            <w:r>
              <w:rPr>
                <w:rFonts w:ascii="Arial" w:cs="Arial" w:eastAsia="Arial" w:hAnsi="Arial"/>
                <w:sz w:val="13"/>
                <w:szCs w:val="13"/>
                <w:b w:val="1"/>
                <w:bCs w:val="1"/>
                <w:color w:val="auto"/>
              </w:rPr>
              <w:t>0.8</w:t>
            </w:r>
          </w:p>
        </w:tc>
        <w:tc>
          <w:tcPr>
            <w:tcW w:w="4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75"/>
              <w:spacing w:after="0" w:line="144" w:lineRule="exact"/>
              <w:rPr>
                <w:sz w:val="20"/>
                <w:szCs w:val="20"/>
                <w:color w:val="auto"/>
              </w:rPr>
            </w:pPr>
            <w:r>
              <w:rPr>
                <w:rFonts w:ascii="Arial" w:cs="Arial" w:eastAsia="Arial" w:hAnsi="Arial"/>
                <w:sz w:val="13"/>
                <w:szCs w:val="13"/>
                <w:color w:val="auto"/>
              </w:rPr>
              <w:t>0.4</w:t>
            </w:r>
          </w:p>
        </w:tc>
        <w:tc>
          <w:tcPr>
            <w:tcW w:w="4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120" w:type="dxa"/>
            <w:vAlign w:val="bottom"/>
            <w:tcBorders>
              <w:bottom w:val="single" w:sz="8" w:color="auto"/>
            </w:tcBorders>
            <w:shd w:val="clear" w:color="auto" w:fill="CCEEFF"/>
          </w:tcPr>
          <w:p>
            <w:pPr>
              <w:spacing w:after="0" w:line="134" w:lineRule="exact"/>
              <w:rPr>
                <w:sz w:val="20"/>
                <w:szCs w:val="20"/>
                <w:color w:val="auto"/>
              </w:rPr>
            </w:pPr>
            <w:r>
              <w:rPr>
                <w:rFonts w:ascii="Arial" w:cs="Arial" w:eastAsia="Arial" w:hAnsi="Arial"/>
                <w:sz w:val="13"/>
                <w:szCs w:val="13"/>
                <w:color w:val="auto"/>
              </w:rPr>
              <w:t>Weighted-average common shares outstanding assuming dilution</w:t>
            </w:r>
          </w:p>
        </w:tc>
        <w:tc>
          <w:tcPr>
            <w:tcW w:w="64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b w:val="1"/>
                <w:bCs w:val="1"/>
                <w:color w:val="auto"/>
              </w:rPr>
              <w:t>105.1</w:t>
            </w:r>
          </w:p>
        </w:tc>
        <w:tc>
          <w:tcPr>
            <w:tcW w:w="46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color w:val="auto"/>
              </w:rPr>
              <w:t>109.1</w:t>
            </w:r>
          </w:p>
        </w:tc>
        <w:tc>
          <w:tcPr>
            <w:tcW w:w="42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vMerge w:val="restart"/>
          </w:tcPr>
          <w:p>
            <w:pPr>
              <w:spacing w:after="0"/>
              <w:rPr>
                <w:sz w:val="9"/>
                <w:szCs w:val="9"/>
                <w:color w:val="auto"/>
              </w:rPr>
            </w:pPr>
          </w:p>
        </w:tc>
        <w:tc>
          <w:tcPr>
            <w:tcW w:w="4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1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Earnings per share - basic</w:t>
            </w:r>
          </w:p>
        </w:tc>
        <w:tc>
          <w:tcPr>
            <w:tcW w:w="640" w:type="dxa"/>
            <w:vAlign w:val="bottom"/>
            <w:shd w:val="clear" w:color="auto" w:fill="CCEEFF"/>
          </w:tcPr>
          <w:p>
            <w:pPr>
              <w:jc w:val="right"/>
              <w:ind w:right="175"/>
              <w:spacing w:after="0" w:line="144" w:lineRule="exact"/>
              <w:rPr>
                <w:sz w:val="20"/>
                <w:szCs w:val="20"/>
                <w:color w:val="auto"/>
              </w:rPr>
            </w:pPr>
            <w:r>
              <w:rPr>
                <w:rFonts w:ascii="Arial" w:cs="Arial" w:eastAsia="Arial" w:hAnsi="Arial"/>
                <w:sz w:val="13"/>
                <w:szCs w:val="13"/>
                <w:b w:val="1"/>
                <w:bCs w:val="1"/>
                <w:color w:val="auto"/>
              </w:rPr>
              <w:t>$</w:t>
            </w:r>
          </w:p>
        </w:tc>
        <w:tc>
          <w:tcPr>
            <w:tcW w:w="118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b w:val="1"/>
                <w:bCs w:val="1"/>
                <w:color w:val="auto"/>
              </w:rPr>
              <w:t>3.10</w:t>
            </w:r>
          </w:p>
        </w:tc>
        <w:tc>
          <w:tcPr>
            <w:tcW w:w="460" w:type="dxa"/>
            <w:vAlign w:val="bottom"/>
            <w:shd w:val="clear" w:color="auto" w:fill="CCEEFF"/>
          </w:tcPr>
          <w:p>
            <w:pPr>
              <w:jc w:val="right"/>
              <w:ind w:right="175"/>
              <w:spacing w:after="0" w:line="144" w:lineRule="exact"/>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color w:val="auto"/>
              </w:rPr>
              <w:t>4.52</w:t>
            </w:r>
          </w:p>
        </w:tc>
        <w:tc>
          <w:tcPr>
            <w:tcW w:w="420" w:type="dxa"/>
            <w:vAlign w:val="bottom"/>
            <w:shd w:val="clear" w:color="auto" w:fill="CCEEFF"/>
          </w:tcPr>
          <w:p>
            <w:pPr>
              <w:jc w:val="right"/>
              <w:ind w:right="135"/>
              <w:spacing w:after="0" w:line="144"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4.68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20" w:type="dxa"/>
            <w:vAlign w:val="bottom"/>
          </w:tcPr>
          <w:p>
            <w:pPr>
              <w:spacing w:after="0" w:line="144" w:lineRule="exact"/>
              <w:rPr>
                <w:sz w:val="20"/>
                <w:szCs w:val="20"/>
                <w:color w:val="auto"/>
              </w:rPr>
            </w:pPr>
            <w:r>
              <w:rPr>
                <w:rFonts w:ascii="Arial" w:cs="Arial" w:eastAsia="Arial" w:hAnsi="Arial"/>
                <w:sz w:val="13"/>
                <w:szCs w:val="13"/>
                <w:color w:val="auto"/>
              </w:rPr>
              <w:t>Earnings per share - diluted</w:t>
            </w:r>
          </w:p>
        </w:tc>
        <w:tc>
          <w:tcPr>
            <w:tcW w:w="640" w:type="dxa"/>
            <w:vAlign w:val="bottom"/>
          </w:tcPr>
          <w:p>
            <w:pPr>
              <w:jc w:val="right"/>
              <w:ind w:right="175"/>
              <w:spacing w:after="0" w:line="144" w:lineRule="exact"/>
              <w:rPr>
                <w:sz w:val="20"/>
                <w:szCs w:val="20"/>
                <w:color w:val="auto"/>
              </w:rPr>
            </w:pPr>
            <w:r>
              <w:rPr>
                <w:rFonts w:ascii="Arial" w:cs="Arial" w:eastAsia="Arial" w:hAnsi="Arial"/>
                <w:sz w:val="13"/>
                <w:szCs w:val="13"/>
                <w:b w:val="1"/>
                <w:bCs w:val="1"/>
                <w:color w:val="auto"/>
              </w:rPr>
              <w:t>$</w:t>
            </w:r>
          </w:p>
        </w:tc>
        <w:tc>
          <w:tcPr>
            <w:tcW w:w="1180" w:type="dxa"/>
            <w:vAlign w:val="bottom"/>
          </w:tcPr>
          <w:p>
            <w:pPr>
              <w:jc w:val="right"/>
              <w:ind w:right="75"/>
              <w:spacing w:after="0" w:line="144" w:lineRule="exact"/>
              <w:rPr>
                <w:sz w:val="20"/>
                <w:szCs w:val="20"/>
                <w:color w:val="auto"/>
              </w:rPr>
            </w:pPr>
            <w:r>
              <w:rPr>
                <w:rFonts w:ascii="Arial" w:cs="Arial" w:eastAsia="Arial" w:hAnsi="Arial"/>
                <w:sz w:val="13"/>
                <w:szCs w:val="13"/>
                <w:b w:val="1"/>
                <w:bCs w:val="1"/>
                <w:color w:val="auto"/>
              </w:rPr>
              <w:t>3.08</w:t>
            </w:r>
          </w:p>
        </w:tc>
        <w:tc>
          <w:tcPr>
            <w:tcW w:w="460" w:type="dxa"/>
            <w:vAlign w:val="bottom"/>
          </w:tcPr>
          <w:p>
            <w:pPr>
              <w:jc w:val="right"/>
              <w:ind w:right="175"/>
              <w:spacing w:after="0" w:line="144" w:lineRule="exact"/>
              <w:rPr>
                <w:sz w:val="20"/>
                <w:szCs w:val="20"/>
                <w:color w:val="auto"/>
              </w:rPr>
            </w:pPr>
            <w:r>
              <w:rPr>
                <w:rFonts w:ascii="Arial" w:cs="Arial" w:eastAsia="Arial" w:hAnsi="Arial"/>
                <w:sz w:val="13"/>
                <w:szCs w:val="13"/>
                <w:color w:val="auto"/>
              </w:rPr>
              <w:t>$</w:t>
            </w:r>
          </w:p>
        </w:tc>
        <w:tc>
          <w:tcPr>
            <w:tcW w:w="1180" w:type="dxa"/>
            <w:vAlign w:val="bottom"/>
          </w:tcPr>
          <w:p>
            <w:pPr>
              <w:jc w:val="right"/>
              <w:ind w:right="75"/>
              <w:spacing w:after="0" w:line="144" w:lineRule="exact"/>
              <w:rPr>
                <w:sz w:val="20"/>
                <w:szCs w:val="20"/>
                <w:color w:val="auto"/>
              </w:rPr>
            </w:pPr>
            <w:r>
              <w:rPr>
                <w:rFonts w:ascii="Arial" w:cs="Arial" w:eastAsia="Arial" w:hAnsi="Arial"/>
                <w:sz w:val="13"/>
                <w:szCs w:val="13"/>
                <w:color w:val="auto"/>
              </w:rPr>
              <w:t>4.50</w:t>
            </w:r>
          </w:p>
        </w:tc>
        <w:tc>
          <w:tcPr>
            <w:tcW w:w="420" w:type="dxa"/>
            <w:vAlign w:val="bottom"/>
          </w:tcPr>
          <w:p>
            <w:pPr>
              <w:jc w:val="right"/>
              <w:ind w:right="135"/>
              <w:spacing w:after="0" w:line="144" w:lineRule="exact"/>
              <w:rPr>
                <w:sz w:val="20"/>
                <w:szCs w:val="20"/>
                <w:color w:val="auto"/>
              </w:rPr>
            </w:pPr>
            <w:r>
              <w:rPr>
                <w:rFonts w:ascii="Arial" w:cs="Arial" w:eastAsia="Arial" w:hAnsi="Arial"/>
                <w:sz w:val="13"/>
                <w:szCs w:val="13"/>
                <w:color w:val="auto"/>
              </w:rPr>
              <w:t>$</w:t>
            </w:r>
          </w:p>
        </w:tc>
        <w:tc>
          <w:tcPr>
            <w:tcW w:w="940" w:type="dxa"/>
            <w:vAlign w:val="bottom"/>
          </w:tcPr>
          <w:p>
            <w:pPr>
              <w:jc w:val="right"/>
              <w:spacing w:after="0" w:line="144" w:lineRule="exact"/>
              <w:rPr>
                <w:sz w:val="20"/>
                <w:szCs w:val="20"/>
                <w:color w:val="auto"/>
              </w:rPr>
            </w:pPr>
            <w:r>
              <w:rPr>
                <w:rFonts w:ascii="Arial" w:cs="Arial" w:eastAsia="Arial" w:hAnsi="Arial"/>
                <w:sz w:val="13"/>
                <w:szCs w:val="13"/>
                <w:color w:val="auto"/>
              </w:rPr>
              <w:t>4.66</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Borders>
              <w:bottom w:val="single" w:sz="8" w:color="auto"/>
            </w:tcBorders>
            <w:vMerge w:val="continue"/>
          </w:tcPr>
          <w:p>
            <w:pPr>
              <w:spacing w:after="0"/>
              <w:rPr>
                <w:sz w:val="12"/>
                <w:szCs w:val="12"/>
                <w:color w:val="auto"/>
              </w:rPr>
            </w:pPr>
          </w:p>
        </w:tc>
        <w:tc>
          <w:tcPr>
            <w:tcW w:w="412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color w:val="auto"/>
              </w:rPr>
              <w:t>Anti-dilutive share-based awards excluded from diluted calculation</w:t>
            </w:r>
          </w:p>
        </w:tc>
        <w:tc>
          <w:tcPr>
            <w:tcW w:w="6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75"/>
              <w:spacing w:after="0" w:line="144" w:lineRule="exact"/>
              <w:rPr>
                <w:sz w:val="20"/>
                <w:szCs w:val="20"/>
                <w:color w:val="auto"/>
              </w:rPr>
            </w:pPr>
            <w:r>
              <w:rPr>
                <w:rFonts w:ascii="Arial" w:cs="Arial" w:eastAsia="Arial" w:hAnsi="Arial"/>
                <w:sz w:val="13"/>
                <w:szCs w:val="13"/>
                <w:b w:val="1"/>
                <w:bCs w:val="1"/>
                <w:color w:val="auto"/>
              </w:rPr>
              <w:t>2.5</w:t>
            </w:r>
          </w:p>
        </w:tc>
        <w:tc>
          <w:tcPr>
            <w:tcW w:w="4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75"/>
              <w:spacing w:after="0" w:line="144" w:lineRule="exact"/>
              <w:rPr>
                <w:sz w:val="20"/>
                <w:szCs w:val="20"/>
                <w:color w:val="auto"/>
              </w:rPr>
            </w:pPr>
            <w:r>
              <w:rPr>
                <w:rFonts w:ascii="Arial" w:cs="Arial" w:eastAsia="Arial" w:hAnsi="Arial"/>
                <w:sz w:val="13"/>
                <w:szCs w:val="13"/>
                <w:color w:val="auto"/>
              </w:rPr>
              <w:t>2.2</w:t>
            </w:r>
          </w:p>
        </w:tc>
        <w:tc>
          <w:tcPr>
            <w:tcW w:w="4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bl>
    <w:p>
      <w:pPr>
        <w:spacing w:after="0" w:line="108" w:lineRule="exact"/>
        <w:rPr>
          <w:sz w:val="20"/>
          <w:szCs w:val="20"/>
          <w:color w:val="auto"/>
        </w:rPr>
      </w:pPr>
    </w:p>
    <w:p>
      <w:pPr>
        <w:jc w:val="both"/>
        <w:ind w:left="20" w:right="39"/>
        <w:spacing w:after="0"/>
        <w:rPr>
          <w:sz w:val="20"/>
          <w:szCs w:val="20"/>
          <w:color w:val="auto"/>
        </w:rPr>
      </w:pPr>
      <w:r>
        <w:rPr>
          <w:rFonts w:ascii="Arial" w:cs="Arial" w:eastAsia="Arial" w:hAnsi="Arial"/>
          <w:sz w:val="13"/>
          <w:szCs w:val="13"/>
          <w:color w:val="auto"/>
        </w:rPr>
        <w:t>Contingently issuable shares of 0.4 million for 2020, 0.5 million for 2019, and 0.9 million for 2018, have not been included as the vesting conditions have not been satisfied. These shares relate to restricted stock unit awards issued in connection with our long-term incentive program.</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Cash, Cash Equivalents, and Restricted Cash</w:t>
      </w:r>
    </w:p>
    <w:p>
      <w:pPr>
        <w:spacing w:after="0" w:line="100" w:lineRule="exact"/>
        <w:rPr>
          <w:sz w:val="20"/>
          <w:szCs w:val="20"/>
          <w:color w:val="auto"/>
        </w:rPr>
      </w:pPr>
    </w:p>
    <w:p>
      <w:pPr>
        <w:jc w:val="both"/>
        <w:ind w:left="20" w:right="39"/>
        <w:spacing w:after="0" w:line="235" w:lineRule="auto"/>
        <w:rPr>
          <w:sz w:val="20"/>
          <w:szCs w:val="20"/>
          <w:color w:val="auto"/>
        </w:rPr>
      </w:pPr>
      <w:r>
        <w:rPr>
          <w:rFonts w:ascii="Arial" w:cs="Arial" w:eastAsia="Arial" w:hAnsi="Arial"/>
          <w:sz w:val="13"/>
          <w:szCs w:val="13"/>
          <w:color w:val="auto"/>
        </w:rPr>
        <w:t>Cash consists of funds held on hand and in bank accounts. Cash equivalents include amounts on demand with banks and all highly liquid investments with original maturities of three months or less, including money market funds. Additionally, amounts due from third-party credit card processors for the settlement of debit and credit card transactions are included as cash equivalents as they are generally collected within three business days. We present book overdrafts, representing checks issued but still outstanding in excess of bank balances, as part of accounts payable.</w:t>
      </w:r>
    </w:p>
    <w:p>
      <w:pPr>
        <w:spacing w:after="0" w:line="92" w:lineRule="exact"/>
        <w:rPr>
          <w:sz w:val="20"/>
          <w:szCs w:val="20"/>
          <w:color w:val="auto"/>
        </w:rPr>
      </w:pPr>
    </w:p>
    <w:p>
      <w:pPr>
        <w:jc w:val="both"/>
        <w:ind w:left="20" w:right="39"/>
        <w:spacing w:after="0" w:line="236" w:lineRule="auto"/>
        <w:rPr>
          <w:sz w:val="20"/>
          <w:szCs w:val="20"/>
          <w:color w:val="auto"/>
        </w:rPr>
      </w:pPr>
      <w:r>
        <w:rPr>
          <w:rFonts w:ascii="Arial" w:cs="Arial" w:eastAsia="Arial" w:hAnsi="Arial"/>
          <w:sz w:val="13"/>
          <w:szCs w:val="13"/>
          <w:color w:val="auto"/>
        </w:rPr>
        <w:t>Restricted cash represents cash that is restricted as to withdrawal or use under the terms of various agreements. Restricted cash includes amounts held in escrow in connection with various leasing arrangements in Europe, and deposits held in insurance trusts to satisfy the requirement to collateralize part of the self-insured workers’ compensation and liability claims.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7520"/>
        <w:spacing w:after="0"/>
        <w:rPr>
          <w:sz w:val="20"/>
          <w:szCs w:val="20"/>
          <w:color w:val="auto"/>
        </w:rPr>
      </w:pPr>
      <w:r>
        <w:rPr>
          <w:rFonts w:ascii="Arial" w:cs="Arial" w:eastAsia="Arial" w:hAnsi="Arial"/>
          <w:sz w:val="12"/>
          <w:szCs w:val="12"/>
          <w:color w:val="auto"/>
        </w:rPr>
        <w:t>2020 Form 10-K 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365125</wp:posOffset>
            </wp:positionV>
            <wp:extent cx="5680075" cy="196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80075" cy="19685"/>
                    </a:xfrm>
                    <a:prstGeom prst="rect">
                      <a:avLst/>
                    </a:prstGeom>
                    <a:noFill/>
                  </pic:spPr>
                </pic:pic>
              </a:graphicData>
            </a:graphic>
          </wp:anchor>
        </w:drawing>
      </w:r>
    </w:p>
    <w:p>
      <w:pPr>
        <w:sectPr>
          <w:pgSz w:w="11900" w:h="16838" w:orient="portrait"/>
          <w:cols w:equalWidth="0" w:num="1">
            <w:col w:w="9019"/>
          </w:cols>
          <w:pgMar w:left="1440" w:top="995" w:right="1440" w:bottom="1440" w:gutter="0" w:footer="0" w:header="0"/>
        </w:sectPr>
      </w:pPr>
    </w:p>
    <w:bookmarkStart w:id="46" w:name="page47"/>
    <w:bookmarkEnd w:id="46"/>
    <w:p>
      <w:pPr>
        <w:jc w:val="center"/>
        <w:ind w:right="8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2992755</wp:posOffset>
            </wp:positionH>
            <wp:positionV relativeFrom="page">
              <wp:posOffset>375285</wp:posOffset>
            </wp:positionV>
            <wp:extent cx="1563370" cy="169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1563370" cy="169545"/>
                    </a:xfrm>
                    <a:prstGeom prst="rect">
                      <a:avLst/>
                    </a:prstGeom>
                    <a:noFill/>
                  </pic:spPr>
                </pic:pic>
              </a:graphicData>
            </a:graphic>
          </wp:anchor>
        </w:drawing>
        <w:t>NOTES TO CONSOLIDATED FINANCIAL STATEMENTS</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3"/>
          <w:szCs w:val="13"/>
          <w:color w:val="auto"/>
        </w:rPr>
        <w:t>The following table provides the reconciliation of cash, cash equivalents, and restricted cash, as reported on our consolidated statements of cash flows:</w:t>
      </w:r>
    </w:p>
    <w:p>
      <w:pPr>
        <w:spacing w:after="0" w:line="95"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80" w:type="dxa"/>
            <w:vAlign w:val="bottom"/>
          </w:tcPr>
          <w:p>
            <w:pPr>
              <w:jc w:val="right"/>
              <w:ind w:right="375"/>
              <w:spacing w:after="0"/>
              <w:rPr>
                <w:sz w:val="20"/>
                <w:szCs w:val="20"/>
                <w:color w:val="auto"/>
              </w:rPr>
            </w:pPr>
            <w:r>
              <w:rPr>
                <w:rFonts w:ascii="Arial" w:cs="Arial" w:eastAsia="Arial" w:hAnsi="Arial"/>
                <w:sz w:val="13"/>
                <w:szCs w:val="13"/>
                <w:b w:val="1"/>
                <w:bCs w:val="1"/>
                <w:color w:val="auto"/>
              </w:rPr>
              <w:t>January 30,</w:t>
            </w:r>
          </w:p>
        </w:tc>
        <w:tc>
          <w:tcPr>
            <w:tcW w:w="340" w:type="dxa"/>
            <w:vAlign w:val="bottom"/>
          </w:tcPr>
          <w:p>
            <w:pPr>
              <w:spacing w:after="0"/>
              <w:rPr>
                <w:sz w:val="13"/>
                <w:szCs w:val="13"/>
                <w:color w:val="auto"/>
              </w:rPr>
            </w:pPr>
          </w:p>
        </w:tc>
        <w:tc>
          <w:tcPr>
            <w:tcW w:w="1260" w:type="dxa"/>
            <w:vAlign w:val="bottom"/>
          </w:tcPr>
          <w:p>
            <w:pPr>
              <w:jc w:val="right"/>
              <w:ind w:right="375"/>
              <w:spacing w:after="0"/>
              <w:rPr>
                <w:sz w:val="20"/>
                <w:szCs w:val="20"/>
                <w:color w:val="auto"/>
              </w:rPr>
            </w:pPr>
            <w:r>
              <w:rPr>
                <w:rFonts w:ascii="Arial" w:cs="Arial" w:eastAsia="Arial" w:hAnsi="Arial"/>
                <w:sz w:val="13"/>
                <w:szCs w:val="13"/>
                <w:color w:val="auto"/>
              </w:rPr>
              <w:t>February 1,</w:t>
            </w:r>
          </w:p>
        </w:tc>
        <w:tc>
          <w:tcPr>
            <w:tcW w:w="360" w:type="dxa"/>
            <w:vAlign w:val="bottom"/>
          </w:tcPr>
          <w:p>
            <w:pPr>
              <w:spacing w:after="0"/>
              <w:rPr>
                <w:sz w:val="13"/>
                <w:szCs w:val="13"/>
                <w:color w:val="auto"/>
              </w:rPr>
            </w:pPr>
          </w:p>
        </w:tc>
        <w:tc>
          <w:tcPr>
            <w:tcW w:w="1140" w:type="dxa"/>
            <w:vAlign w:val="bottom"/>
          </w:tcPr>
          <w:p>
            <w:pPr>
              <w:jc w:val="right"/>
              <w:ind w:right="275"/>
              <w:spacing w:after="0"/>
              <w:rPr>
                <w:sz w:val="20"/>
                <w:szCs w:val="20"/>
                <w:color w:val="auto"/>
              </w:rPr>
            </w:pPr>
            <w:r>
              <w:rPr>
                <w:rFonts w:ascii="Arial" w:cs="Arial" w:eastAsia="Arial" w:hAnsi="Arial"/>
                <w:sz w:val="13"/>
                <w:szCs w:val="13"/>
                <w:color w:val="auto"/>
              </w:rPr>
              <w:t>February 2,</w:t>
            </w:r>
          </w:p>
        </w:tc>
        <w:tc>
          <w:tcPr>
            <w:tcW w:w="0" w:type="dxa"/>
            <w:vAlign w:val="bottom"/>
          </w:tcPr>
          <w:p>
            <w:pPr>
              <w:spacing w:after="0"/>
              <w:rPr>
                <w:sz w:val="1"/>
                <w:szCs w:val="1"/>
                <w:color w:val="auto"/>
              </w:rPr>
            </w:pPr>
          </w:p>
        </w:tc>
      </w:tr>
      <w:tr>
        <w:trPr>
          <w:trHeight w:val="164"/>
        </w:trPr>
        <w:tc>
          <w:tcPr>
            <w:tcW w:w="3680" w:type="dxa"/>
            <w:vAlign w:val="bottom"/>
            <w:gridSpan w:val="2"/>
          </w:tcPr>
          <w:p>
            <w:pPr>
              <w:spacing w:after="0"/>
              <w:rPr>
                <w:sz w:val="20"/>
                <w:szCs w:val="20"/>
                <w:color w:val="auto"/>
              </w:rPr>
            </w:pPr>
            <w:r>
              <w:rPr>
                <w:rFonts w:ascii="Arial" w:cs="Arial" w:eastAsia="Arial" w:hAnsi="Arial"/>
                <w:sz w:val="13"/>
                <w:szCs w:val="13"/>
                <w:color w:val="auto"/>
              </w:rPr>
              <w:t>($ in millions)</w:t>
            </w:r>
          </w:p>
        </w:tc>
        <w:tc>
          <w:tcPr>
            <w:tcW w:w="1000" w:type="dxa"/>
            <w:vAlign w:val="bottom"/>
          </w:tcPr>
          <w:p>
            <w:pPr>
              <w:spacing w:after="0"/>
              <w:rPr>
                <w:sz w:val="14"/>
                <w:szCs w:val="14"/>
                <w:color w:val="auto"/>
              </w:rPr>
            </w:pPr>
          </w:p>
        </w:tc>
        <w:tc>
          <w:tcPr>
            <w:tcW w:w="1280" w:type="dxa"/>
            <w:vAlign w:val="bottom"/>
          </w:tcPr>
          <w:p>
            <w:pPr>
              <w:jc w:val="right"/>
              <w:ind w:right="595"/>
              <w:spacing w:after="0"/>
              <w:rPr>
                <w:sz w:val="20"/>
                <w:szCs w:val="20"/>
                <w:color w:val="auto"/>
              </w:rPr>
            </w:pPr>
            <w:r>
              <w:rPr>
                <w:rFonts w:ascii="Arial" w:cs="Arial" w:eastAsia="Arial" w:hAnsi="Arial"/>
                <w:sz w:val="13"/>
                <w:szCs w:val="13"/>
                <w:b w:val="1"/>
                <w:bCs w:val="1"/>
                <w:color w:val="auto"/>
              </w:rPr>
              <w:t>2021</w:t>
            </w:r>
          </w:p>
        </w:tc>
        <w:tc>
          <w:tcPr>
            <w:tcW w:w="340" w:type="dxa"/>
            <w:vAlign w:val="bottom"/>
          </w:tcPr>
          <w:p>
            <w:pPr>
              <w:spacing w:after="0"/>
              <w:rPr>
                <w:sz w:val="14"/>
                <w:szCs w:val="14"/>
                <w:color w:val="auto"/>
              </w:rPr>
            </w:pPr>
          </w:p>
        </w:tc>
        <w:tc>
          <w:tcPr>
            <w:tcW w:w="1260" w:type="dxa"/>
            <w:vAlign w:val="bottom"/>
          </w:tcPr>
          <w:p>
            <w:pPr>
              <w:jc w:val="right"/>
              <w:ind w:right="575"/>
              <w:spacing w:after="0"/>
              <w:rPr>
                <w:sz w:val="20"/>
                <w:szCs w:val="20"/>
                <w:color w:val="auto"/>
              </w:rPr>
            </w:pPr>
            <w:r>
              <w:rPr>
                <w:rFonts w:ascii="Arial" w:cs="Arial" w:eastAsia="Arial" w:hAnsi="Arial"/>
                <w:sz w:val="13"/>
                <w:szCs w:val="13"/>
                <w:color w:val="auto"/>
              </w:rPr>
              <w:t>2020</w:t>
            </w:r>
          </w:p>
        </w:tc>
        <w:tc>
          <w:tcPr>
            <w:tcW w:w="360" w:type="dxa"/>
            <w:vAlign w:val="bottom"/>
          </w:tcPr>
          <w:p>
            <w:pPr>
              <w:spacing w:after="0"/>
              <w:rPr>
                <w:sz w:val="14"/>
                <w:szCs w:val="14"/>
                <w:color w:val="auto"/>
              </w:rPr>
            </w:pPr>
          </w:p>
        </w:tc>
        <w:tc>
          <w:tcPr>
            <w:tcW w:w="1140" w:type="dxa"/>
            <w:vAlign w:val="bottom"/>
          </w:tcPr>
          <w:p>
            <w:pPr>
              <w:jc w:val="right"/>
              <w:ind w:right="455"/>
              <w:spacing w:after="0"/>
              <w:rPr>
                <w:sz w:val="20"/>
                <w:szCs w:val="20"/>
                <w:color w:val="auto"/>
              </w:rPr>
            </w:pPr>
            <w:r>
              <w:rPr>
                <w:rFonts w:ascii="Arial" w:cs="Arial" w:eastAsia="Arial" w:hAnsi="Arial"/>
                <w:sz w:val="13"/>
                <w:szCs w:val="13"/>
                <w:color w:val="auto"/>
              </w:rPr>
              <w:t>2019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660" w:type="dxa"/>
            <w:vAlign w:val="bottom"/>
            <w:tcBorders>
              <w:top w:val="single" w:sz="8" w:color="auto"/>
            </w:tcBorders>
            <w:shd w:val="clear" w:color="auto" w:fill="CCEEFF"/>
          </w:tcPr>
          <w:p>
            <w:pPr>
              <w:spacing w:after="0" w:line="134" w:lineRule="exact"/>
              <w:rPr>
                <w:sz w:val="20"/>
                <w:szCs w:val="20"/>
                <w:color w:val="auto"/>
              </w:rPr>
            </w:pPr>
            <w:r>
              <w:rPr>
                <w:rFonts w:ascii="Arial" w:cs="Arial" w:eastAsia="Arial" w:hAnsi="Arial"/>
                <w:sz w:val="11"/>
                <w:szCs w:val="11"/>
                <w:color w:val="auto"/>
              </w:rPr>
              <w:t xml:space="preserve">Cash and cash equivalents </w:t>
            </w:r>
            <w:r>
              <w:rPr>
                <w:rFonts w:ascii="Arial" w:cs="Arial" w:eastAsia="Arial" w:hAnsi="Arial"/>
                <w:sz w:val="15"/>
                <w:szCs w:val="15"/>
                <w:color w:val="auto"/>
                <w:vertAlign w:val="superscript"/>
              </w:rPr>
              <w:t>(1)</w:t>
            </w:r>
          </w:p>
        </w:tc>
        <w:tc>
          <w:tcPr>
            <w:tcW w:w="1000" w:type="dxa"/>
            <w:vAlign w:val="bottom"/>
            <w:tcBorders>
              <w:top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b w:val="1"/>
                <w:bCs w:val="1"/>
                <w:color w:val="auto"/>
              </w:rPr>
              <w:t>$</w:t>
            </w:r>
          </w:p>
        </w:tc>
        <w:tc>
          <w:tcPr>
            <w:tcW w:w="1280" w:type="dxa"/>
            <w:vAlign w:val="bottom"/>
            <w:tcBorders>
              <w:top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b w:val="1"/>
                <w:bCs w:val="1"/>
                <w:color w:val="auto"/>
              </w:rPr>
              <w:t>1,680</w:t>
            </w:r>
          </w:p>
        </w:tc>
        <w:tc>
          <w:tcPr>
            <w:tcW w:w="340" w:type="dxa"/>
            <w:vAlign w:val="bottom"/>
            <w:tcBorders>
              <w:top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color w:val="auto"/>
              </w:rPr>
              <w:t>$</w:t>
            </w:r>
          </w:p>
        </w:tc>
        <w:tc>
          <w:tcPr>
            <w:tcW w:w="1260" w:type="dxa"/>
            <w:vAlign w:val="bottom"/>
            <w:tcBorders>
              <w:top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color w:val="auto"/>
              </w:rPr>
              <w:t>907</w:t>
            </w:r>
          </w:p>
        </w:tc>
        <w:tc>
          <w:tcPr>
            <w:tcW w:w="360" w:type="dxa"/>
            <w:vAlign w:val="bottom"/>
            <w:tcBorders>
              <w:top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color w:val="auto"/>
              </w:rPr>
              <w:t>$</w:t>
            </w:r>
          </w:p>
        </w:tc>
        <w:tc>
          <w:tcPr>
            <w:tcW w:w="114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891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60" w:type="dxa"/>
            <w:vAlign w:val="bottom"/>
          </w:tcPr>
          <w:p>
            <w:pPr>
              <w:spacing w:after="0" w:line="144" w:lineRule="exact"/>
              <w:rPr>
                <w:sz w:val="20"/>
                <w:szCs w:val="20"/>
                <w:color w:val="auto"/>
              </w:rPr>
            </w:pPr>
            <w:r>
              <w:rPr>
                <w:rFonts w:ascii="Arial" w:cs="Arial" w:eastAsia="Arial" w:hAnsi="Arial"/>
                <w:sz w:val="11"/>
                <w:szCs w:val="11"/>
                <w:color w:val="auto"/>
              </w:rPr>
              <w:t xml:space="preserve">Restricted cash included in other current assets </w:t>
            </w:r>
            <w:r>
              <w:rPr>
                <w:rFonts w:ascii="Arial" w:cs="Arial" w:eastAsia="Arial" w:hAnsi="Arial"/>
                <w:sz w:val="16"/>
                <w:szCs w:val="16"/>
                <w:color w:val="auto"/>
                <w:vertAlign w:val="superscript"/>
              </w:rPr>
              <w:t>(2)</w:t>
            </w:r>
          </w:p>
        </w:tc>
        <w:tc>
          <w:tcPr>
            <w:tcW w:w="1000" w:type="dxa"/>
            <w:vAlign w:val="bottom"/>
          </w:tcPr>
          <w:p>
            <w:pPr>
              <w:spacing w:after="0"/>
              <w:rPr>
                <w:sz w:val="12"/>
                <w:szCs w:val="12"/>
                <w:color w:val="auto"/>
              </w:rPr>
            </w:pPr>
          </w:p>
        </w:tc>
        <w:tc>
          <w:tcPr>
            <w:tcW w:w="1280" w:type="dxa"/>
            <w:vAlign w:val="bottom"/>
          </w:tcPr>
          <w:p>
            <w:pPr>
              <w:jc w:val="right"/>
              <w:ind w:right="75"/>
              <w:spacing w:after="0" w:line="144" w:lineRule="exact"/>
              <w:rPr>
                <w:sz w:val="20"/>
                <w:szCs w:val="20"/>
                <w:color w:val="auto"/>
              </w:rPr>
            </w:pPr>
            <w:r>
              <w:rPr>
                <w:rFonts w:ascii="Arial" w:cs="Arial" w:eastAsia="Arial" w:hAnsi="Arial"/>
                <w:sz w:val="13"/>
                <w:szCs w:val="13"/>
                <w:b w:val="1"/>
                <w:bCs w:val="1"/>
                <w:color w:val="auto"/>
              </w:rPr>
              <w:t>8</w:t>
            </w:r>
          </w:p>
        </w:tc>
        <w:tc>
          <w:tcPr>
            <w:tcW w:w="340" w:type="dxa"/>
            <w:vAlign w:val="bottom"/>
          </w:tcPr>
          <w:p>
            <w:pPr>
              <w:spacing w:after="0"/>
              <w:rPr>
                <w:sz w:val="12"/>
                <w:szCs w:val="12"/>
                <w:color w:val="auto"/>
              </w:rPr>
            </w:pPr>
          </w:p>
        </w:tc>
        <w:tc>
          <w:tcPr>
            <w:tcW w:w="1260" w:type="dxa"/>
            <w:vAlign w:val="bottom"/>
          </w:tcPr>
          <w:p>
            <w:pPr>
              <w:jc w:val="right"/>
              <w:ind w:right="75"/>
              <w:spacing w:after="0" w:line="144" w:lineRule="exact"/>
              <w:rPr>
                <w:sz w:val="20"/>
                <w:szCs w:val="20"/>
                <w:color w:val="auto"/>
              </w:rPr>
            </w:pPr>
            <w:r>
              <w:rPr>
                <w:rFonts w:ascii="Arial" w:cs="Arial" w:eastAsia="Arial" w:hAnsi="Arial"/>
                <w:sz w:val="13"/>
                <w:szCs w:val="13"/>
                <w:color w:val="auto"/>
              </w:rPr>
              <w:t>6</w:t>
            </w:r>
          </w:p>
        </w:tc>
        <w:tc>
          <w:tcPr>
            <w:tcW w:w="360" w:type="dxa"/>
            <w:vAlign w:val="bottom"/>
          </w:tcPr>
          <w:p>
            <w:pPr>
              <w:spacing w:after="0"/>
              <w:rPr>
                <w:sz w:val="12"/>
                <w:szCs w:val="12"/>
                <w:color w:val="auto"/>
              </w:rPr>
            </w:pPr>
          </w:p>
        </w:tc>
        <w:tc>
          <w:tcPr>
            <w:tcW w:w="1140" w:type="dxa"/>
            <w:vAlign w:val="bottom"/>
          </w:tcPr>
          <w:p>
            <w:pPr>
              <w:jc w:val="right"/>
              <w:spacing w:after="0" w:line="144" w:lineRule="exact"/>
              <w:rPr>
                <w:sz w:val="20"/>
                <w:szCs w:val="20"/>
                <w:color w:val="auto"/>
              </w:rPr>
            </w:pPr>
            <w:r>
              <w:rPr>
                <w:rFonts w:ascii="Arial" w:cs="Arial" w:eastAsia="Arial" w:hAnsi="Arial"/>
                <w:sz w:val="13"/>
                <w:szCs w:val="13"/>
                <w:color w:val="auto"/>
              </w:rPr>
              <w:t>59</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66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Restricted cash included in other</w:t>
            </w:r>
          </w:p>
        </w:tc>
        <w:tc>
          <w:tcPr>
            <w:tcW w:w="100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ind w:right="75"/>
              <w:spacing w:after="0"/>
              <w:rPr>
                <w:sz w:val="20"/>
                <w:szCs w:val="20"/>
                <w:color w:val="auto"/>
              </w:rPr>
            </w:pPr>
            <w:r>
              <w:rPr>
                <w:rFonts w:ascii="Arial" w:cs="Arial" w:eastAsia="Arial" w:hAnsi="Arial"/>
                <w:sz w:val="13"/>
                <w:szCs w:val="13"/>
                <w:b w:val="1"/>
                <w:bCs w:val="1"/>
                <w:color w:val="auto"/>
              </w:rPr>
              <w:t>30</w:t>
            </w:r>
          </w:p>
        </w:tc>
        <w:tc>
          <w:tcPr>
            <w:tcW w:w="3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60" w:type="dxa"/>
            <w:vAlign w:val="bottom"/>
            <w:tcBorders>
              <w:bottom w:val="single" w:sz="8" w:color="auto"/>
            </w:tcBorders>
            <w:shd w:val="clear" w:color="auto" w:fill="CCEEFF"/>
          </w:tcPr>
          <w:p>
            <w:pPr>
              <w:ind w:left="120"/>
              <w:spacing w:after="0" w:line="149" w:lineRule="exact"/>
              <w:rPr>
                <w:sz w:val="20"/>
                <w:szCs w:val="20"/>
                <w:color w:val="auto"/>
              </w:rPr>
            </w:pPr>
            <w:r>
              <w:rPr>
                <w:rFonts w:ascii="Arial" w:cs="Arial" w:eastAsia="Arial" w:hAnsi="Arial"/>
                <w:sz w:val="13"/>
                <w:szCs w:val="13"/>
                <w:color w:val="auto"/>
              </w:rPr>
              <w:t>non-current assets</w:t>
            </w:r>
          </w:p>
        </w:tc>
        <w:tc>
          <w:tcPr>
            <w:tcW w:w="100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vMerge w:val="continue"/>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jc w:val="right"/>
              <w:ind w:right="75"/>
              <w:spacing w:after="0" w:line="149" w:lineRule="exact"/>
              <w:rPr>
                <w:sz w:val="20"/>
                <w:szCs w:val="20"/>
                <w:color w:val="auto"/>
              </w:rPr>
            </w:pPr>
            <w:r>
              <w:rPr>
                <w:rFonts w:ascii="Arial" w:cs="Arial" w:eastAsia="Arial" w:hAnsi="Arial"/>
                <w:sz w:val="13"/>
                <w:szCs w:val="13"/>
                <w:color w:val="auto"/>
              </w:rPr>
              <w:t>29</w:t>
            </w:r>
          </w:p>
        </w:tc>
        <w:tc>
          <w:tcPr>
            <w:tcW w:w="36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134"/>
        </w:trPr>
        <w:tc>
          <w:tcPr>
            <w:tcW w:w="20" w:type="dxa"/>
            <w:vAlign w:val="bottom"/>
            <w:tcBorders>
              <w:bottom w:val="single" w:sz="8" w:color="auto"/>
            </w:tcBorders>
          </w:tcPr>
          <w:p>
            <w:pPr>
              <w:spacing w:after="0"/>
              <w:rPr>
                <w:sz w:val="11"/>
                <w:szCs w:val="11"/>
                <w:color w:val="auto"/>
              </w:rPr>
            </w:pPr>
          </w:p>
        </w:tc>
        <w:tc>
          <w:tcPr>
            <w:tcW w:w="3660" w:type="dxa"/>
            <w:vAlign w:val="bottom"/>
            <w:tcBorders>
              <w:bottom w:val="single" w:sz="8" w:color="auto"/>
            </w:tcBorders>
          </w:tcPr>
          <w:p>
            <w:pPr>
              <w:spacing w:after="0" w:line="134" w:lineRule="exact"/>
              <w:rPr>
                <w:sz w:val="20"/>
                <w:szCs w:val="20"/>
                <w:color w:val="auto"/>
              </w:rPr>
            </w:pPr>
            <w:r>
              <w:rPr>
                <w:rFonts w:ascii="Arial" w:cs="Arial" w:eastAsia="Arial" w:hAnsi="Arial"/>
                <w:sz w:val="13"/>
                <w:szCs w:val="13"/>
                <w:color w:val="auto"/>
              </w:rPr>
              <w:t>Cash, cash equivalents, and restricted cash</w:t>
            </w:r>
          </w:p>
        </w:tc>
        <w:tc>
          <w:tcPr>
            <w:tcW w:w="1000" w:type="dxa"/>
            <w:vAlign w:val="bottom"/>
            <w:tcBorders>
              <w:bottom w:val="single" w:sz="8" w:color="auto"/>
            </w:tcBorders>
          </w:tcPr>
          <w:p>
            <w:pPr>
              <w:jc w:val="right"/>
              <w:ind w:right="75"/>
              <w:spacing w:after="0" w:line="134" w:lineRule="exact"/>
              <w:rPr>
                <w:sz w:val="20"/>
                <w:szCs w:val="20"/>
                <w:color w:val="auto"/>
              </w:rPr>
            </w:pPr>
            <w:r>
              <w:rPr>
                <w:rFonts w:ascii="Arial" w:cs="Arial" w:eastAsia="Arial" w:hAnsi="Arial"/>
                <w:sz w:val="13"/>
                <w:szCs w:val="13"/>
                <w:b w:val="1"/>
                <w:bCs w:val="1"/>
                <w:color w:val="auto"/>
              </w:rPr>
              <w:t>$</w:t>
            </w:r>
          </w:p>
        </w:tc>
        <w:tc>
          <w:tcPr>
            <w:tcW w:w="1280" w:type="dxa"/>
            <w:vAlign w:val="bottom"/>
            <w:tcBorders>
              <w:bottom w:val="single" w:sz="8" w:color="auto"/>
            </w:tcBorders>
          </w:tcPr>
          <w:p>
            <w:pPr>
              <w:jc w:val="right"/>
              <w:ind w:right="75"/>
              <w:spacing w:after="0" w:line="134" w:lineRule="exact"/>
              <w:rPr>
                <w:sz w:val="20"/>
                <w:szCs w:val="20"/>
                <w:color w:val="auto"/>
              </w:rPr>
            </w:pPr>
            <w:r>
              <w:rPr>
                <w:rFonts w:ascii="Arial" w:cs="Arial" w:eastAsia="Arial" w:hAnsi="Arial"/>
                <w:sz w:val="13"/>
                <w:szCs w:val="13"/>
                <w:b w:val="1"/>
                <w:bCs w:val="1"/>
                <w:color w:val="auto"/>
              </w:rPr>
              <w:t>1,718</w:t>
            </w:r>
          </w:p>
        </w:tc>
        <w:tc>
          <w:tcPr>
            <w:tcW w:w="340" w:type="dxa"/>
            <w:vAlign w:val="bottom"/>
            <w:tcBorders>
              <w:bottom w:val="single" w:sz="8" w:color="auto"/>
            </w:tcBorders>
          </w:tcPr>
          <w:p>
            <w:pPr>
              <w:jc w:val="right"/>
              <w:ind w:right="75"/>
              <w:spacing w:after="0" w:line="134" w:lineRule="exact"/>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ind w:right="75"/>
              <w:spacing w:after="0" w:line="134" w:lineRule="exact"/>
              <w:rPr>
                <w:sz w:val="20"/>
                <w:szCs w:val="20"/>
                <w:color w:val="auto"/>
              </w:rPr>
            </w:pPr>
            <w:r>
              <w:rPr>
                <w:rFonts w:ascii="Arial" w:cs="Arial" w:eastAsia="Arial" w:hAnsi="Arial"/>
                <w:sz w:val="13"/>
                <w:szCs w:val="13"/>
                <w:color w:val="auto"/>
              </w:rPr>
              <w:t>942</w:t>
            </w:r>
          </w:p>
        </w:tc>
        <w:tc>
          <w:tcPr>
            <w:tcW w:w="360" w:type="dxa"/>
            <w:vAlign w:val="bottom"/>
            <w:tcBorders>
              <w:bottom w:val="single" w:sz="8" w:color="auto"/>
            </w:tcBorders>
          </w:tcPr>
          <w:p>
            <w:pPr>
              <w:jc w:val="right"/>
              <w:ind w:right="75"/>
              <w:spacing w:after="0" w:line="134" w:lineRule="exact"/>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981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3" w:lineRule="exact"/>
        <w:rPr>
          <w:sz w:val="20"/>
          <w:szCs w:val="20"/>
          <w:color w:val="auto"/>
        </w:rPr>
      </w:pPr>
    </w:p>
    <w:p>
      <w:pPr>
        <w:ind w:left="280" w:hanging="250"/>
        <w:spacing w:after="0"/>
        <w:tabs>
          <w:tab w:leader="none" w:pos="280" w:val="left"/>
        </w:tabs>
        <w:numPr>
          <w:ilvl w:val="0"/>
          <w:numId w:val="16"/>
        </w:numPr>
        <w:rPr>
          <w:rFonts w:ascii="Arial" w:cs="Arial" w:eastAsia="Arial" w:hAnsi="Arial"/>
          <w:sz w:val="10"/>
          <w:szCs w:val="10"/>
          <w:color w:val="auto"/>
        </w:rPr>
      </w:pPr>
      <w:r>
        <w:rPr>
          <w:rFonts w:ascii="Arial" w:cs="Arial" w:eastAsia="Arial" w:hAnsi="Arial"/>
          <w:sz w:val="10"/>
          <w:szCs w:val="10"/>
          <w:color w:val="auto"/>
        </w:rPr>
        <w:t>Includes cash equivalents of $503 million, $366 million, and $476 million for the years ended January 30, 2021, February 1, 2020, and February 2, 2019, respectively.</w:t>
      </w:r>
    </w:p>
    <w:p>
      <w:pPr>
        <w:spacing w:after="0" w:line="28" w:lineRule="exact"/>
        <w:rPr>
          <w:rFonts w:ascii="Arial" w:cs="Arial" w:eastAsia="Arial" w:hAnsi="Arial"/>
          <w:sz w:val="10"/>
          <w:szCs w:val="10"/>
          <w:color w:val="auto"/>
        </w:rPr>
      </w:pPr>
    </w:p>
    <w:p>
      <w:pPr>
        <w:ind w:left="280" w:right="100" w:hanging="250"/>
        <w:spacing w:after="0" w:line="251" w:lineRule="auto"/>
        <w:tabs>
          <w:tab w:leader="none" w:pos="280" w:val="left"/>
        </w:tabs>
        <w:numPr>
          <w:ilvl w:val="0"/>
          <w:numId w:val="16"/>
        </w:numPr>
        <w:rPr>
          <w:rFonts w:ascii="Arial" w:cs="Arial" w:eastAsia="Arial" w:hAnsi="Arial"/>
          <w:sz w:val="10"/>
          <w:szCs w:val="10"/>
          <w:color w:val="auto"/>
        </w:rPr>
      </w:pPr>
      <w:r>
        <w:rPr>
          <w:rFonts w:ascii="Arial" w:cs="Arial" w:eastAsia="Arial" w:hAnsi="Arial"/>
          <w:sz w:val="10"/>
          <w:szCs w:val="10"/>
          <w:color w:val="auto"/>
        </w:rPr>
        <w:t>The remaining balance of the qualified settlement fund related to the pension matter of $55 million was included in the current portion of restricted cash as of February 2, 2019 and was contributed to the pension plan in 2019.</w:t>
      </w:r>
    </w:p>
    <w:p>
      <w:pPr>
        <w:spacing w:after="0" w:line="70"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Merchandise Inventories and Cost of Sales</w:t>
      </w:r>
    </w:p>
    <w:p>
      <w:pPr>
        <w:spacing w:after="0" w:line="111" w:lineRule="exact"/>
        <w:rPr>
          <w:sz w:val="20"/>
          <w:szCs w:val="20"/>
          <w:color w:val="auto"/>
        </w:rPr>
      </w:pPr>
    </w:p>
    <w:p>
      <w:pPr>
        <w:jc w:val="both"/>
        <w:ind w:left="20" w:right="120"/>
        <w:spacing w:after="0" w:line="236" w:lineRule="auto"/>
        <w:rPr>
          <w:sz w:val="20"/>
          <w:szCs w:val="20"/>
          <w:color w:val="auto"/>
        </w:rPr>
      </w:pPr>
      <w:r>
        <w:rPr>
          <w:rFonts w:ascii="Arial" w:cs="Arial" w:eastAsia="Arial" w:hAnsi="Arial"/>
          <w:sz w:val="13"/>
          <w:szCs w:val="13"/>
          <w:color w:val="auto"/>
        </w:rPr>
        <w:t>Merchandise inventories for our stores are valued at the lower of cost or market using the retail inventory method. Cost for retail stores is determined on the last-in, first-out (“LIFO”) basis for domestic inventories and on the first-in, first-out (“FIFO”) basis for international inventories. Merchandise inventories of the e-commerce business are valued at net realizable value using weighted-average cost, which approximates FIFO.</w:t>
      </w:r>
    </w:p>
    <w:p>
      <w:pPr>
        <w:spacing w:after="0" w:line="92" w:lineRule="exact"/>
        <w:rPr>
          <w:sz w:val="20"/>
          <w:szCs w:val="20"/>
          <w:color w:val="auto"/>
        </w:rPr>
      </w:pPr>
    </w:p>
    <w:p>
      <w:pPr>
        <w:jc w:val="both"/>
        <w:ind w:left="20" w:right="100"/>
        <w:spacing w:after="0" w:line="235" w:lineRule="auto"/>
        <w:rPr>
          <w:sz w:val="20"/>
          <w:szCs w:val="20"/>
          <w:color w:val="auto"/>
        </w:rPr>
      </w:pPr>
      <w:r>
        <w:rPr>
          <w:rFonts w:ascii="Arial" w:cs="Arial" w:eastAsia="Arial" w:hAnsi="Arial"/>
          <w:sz w:val="13"/>
          <w:szCs w:val="13"/>
          <w:color w:val="auto"/>
        </w:rPr>
        <w:t>The retail inventory method is used by retail companies to value inventories at cost and calculate gross margins due to its practicality. Under the retail inventory method, cost is determined by applying a cost-to-retail percentage across groupings of similar items, known as departments. The cost-to-retail percentage is applied to ending inventory at its current owned retail valuation to determine the cost of ending inventory on a department basis. We provide reserves based on current selling prices when the inventory has not been marked down to market.</w:t>
      </w:r>
    </w:p>
    <w:p>
      <w:pPr>
        <w:spacing w:after="0" w:line="92" w:lineRule="exact"/>
        <w:rPr>
          <w:sz w:val="20"/>
          <w:szCs w:val="20"/>
          <w:color w:val="auto"/>
        </w:rPr>
      </w:pPr>
    </w:p>
    <w:p>
      <w:pPr>
        <w:jc w:val="both"/>
        <w:ind w:left="20" w:right="100"/>
        <w:spacing w:after="0"/>
        <w:rPr>
          <w:sz w:val="20"/>
          <w:szCs w:val="20"/>
          <w:color w:val="auto"/>
        </w:rPr>
      </w:pPr>
      <w:r>
        <w:rPr>
          <w:rFonts w:ascii="Arial" w:cs="Arial" w:eastAsia="Arial" w:hAnsi="Arial"/>
          <w:sz w:val="13"/>
          <w:szCs w:val="13"/>
          <w:color w:val="auto"/>
        </w:rPr>
        <w:t>Transportation, distribution center, and sourcing costs are capitalized in merchandise inventories. We expense the freight associated with transfers between our store locations in the period incurred. We maintain an accrual for shrinkage based on historical rates.</w:t>
      </w:r>
    </w:p>
    <w:p>
      <w:pPr>
        <w:spacing w:after="0" w:line="91" w:lineRule="exact"/>
        <w:rPr>
          <w:sz w:val="20"/>
          <w:szCs w:val="20"/>
          <w:color w:val="auto"/>
        </w:rPr>
      </w:pPr>
    </w:p>
    <w:p>
      <w:pPr>
        <w:jc w:val="both"/>
        <w:ind w:left="20" w:right="100"/>
        <w:spacing w:after="0" w:line="236" w:lineRule="auto"/>
        <w:rPr>
          <w:sz w:val="20"/>
          <w:szCs w:val="20"/>
          <w:color w:val="auto"/>
        </w:rPr>
      </w:pPr>
      <w:r>
        <w:rPr>
          <w:rFonts w:ascii="Arial" w:cs="Arial" w:eastAsia="Arial" w:hAnsi="Arial"/>
          <w:sz w:val="13"/>
          <w:szCs w:val="13"/>
          <w:color w:val="auto"/>
        </w:rPr>
        <w:t>Cost of sales is comprised of the cost of merchandise, as well as occupancy, buyers’ compensation, and shipping and handling costs. The cost of merchandise is recorded net of amounts received from suppliers for damaged product returns, markdown allowances, and volume rebates, as well as cooperative advertising reimbursements received in excess of specific, incremental advertising expenses.</w:t>
      </w:r>
    </w:p>
    <w:p>
      <w:pPr>
        <w:spacing w:after="0" w:line="78"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Minority Investments</w:t>
      </w:r>
    </w:p>
    <w:p>
      <w:pPr>
        <w:spacing w:after="0" w:line="111" w:lineRule="exact"/>
        <w:rPr>
          <w:sz w:val="20"/>
          <w:szCs w:val="20"/>
          <w:color w:val="auto"/>
        </w:rPr>
      </w:pPr>
    </w:p>
    <w:p>
      <w:pPr>
        <w:jc w:val="both"/>
        <w:ind w:left="20" w:right="100"/>
        <w:spacing w:after="0" w:line="235" w:lineRule="auto"/>
        <w:rPr>
          <w:sz w:val="20"/>
          <w:szCs w:val="20"/>
          <w:color w:val="auto"/>
        </w:rPr>
      </w:pPr>
      <w:r>
        <w:rPr>
          <w:rFonts w:ascii="Arial" w:cs="Arial" w:eastAsia="Arial" w:hAnsi="Arial"/>
          <w:sz w:val="13"/>
          <w:szCs w:val="13"/>
          <w:color w:val="auto"/>
        </w:rPr>
        <w:t>We use the equity method to account for investments in which we have the ability to exercise significant influence over the investee’s operating and financial policies, or in which we hold a partnership or limited liability company interest in an entity with specific ownership accounts, unless we have virtually no influence over the investee’s operating and financial policies. As of January 30, 2021, and February 1, 2020, we had $15 million and $8 million, respectively, of investments which are accounted for under the equity method.</w:t>
      </w:r>
    </w:p>
    <w:p>
      <w:pPr>
        <w:spacing w:after="0" w:line="92" w:lineRule="exact"/>
        <w:rPr>
          <w:sz w:val="20"/>
          <w:szCs w:val="20"/>
          <w:color w:val="auto"/>
        </w:rPr>
      </w:pPr>
    </w:p>
    <w:p>
      <w:pPr>
        <w:jc w:val="both"/>
        <w:ind w:left="20" w:right="100"/>
        <w:spacing w:after="0" w:line="243" w:lineRule="auto"/>
        <w:rPr>
          <w:sz w:val="20"/>
          <w:szCs w:val="20"/>
          <w:color w:val="auto"/>
        </w:rPr>
      </w:pPr>
      <w:r>
        <w:rPr>
          <w:rFonts w:ascii="Arial" w:cs="Arial" w:eastAsia="Arial" w:hAnsi="Arial"/>
          <w:sz w:val="13"/>
          <w:szCs w:val="13"/>
          <w:color w:val="auto"/>
        </w:rPr>
        <w:t>Our investments that are not accounted for under the equity method are measured at cost adjusted for changes in observable prices minus impairment, under the practicability exception. As of January 30, 2021, and February 1, 2020, we had $322 million and $134 million, respectively, of investments which are accounted for under this method.</w:t>
      </w:r>
    </w:p>
    <w:p>
      <w:pPr>
        <w:spacing w:after="0" w:line="76"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Property and Equipment</w:t>
      </w:r>
    </w:p>
    <w:p>
      <w:pPr>
        <w:spacing w:after="0" w:line="111" w:lineRule="exact"/>
        <w:rPr>
          <w:sz w:val="20"/>
          <w:szCs w:val="20"/>
          <w:color w:val="auto"/>
        </w:rPr>
      </w:pPr>
    </w:p>
    <w:p>
      <w:pPr>
        <w:jc w:val="both"/>
        <w:ind w:left="20" w:right="120"/>
        <w:spacing w:after="0" w:line="236" w:lineRule="auto"/>
        <w:rPr>
          <w:sz w:val="20"/>
          <w:szCs w:val="20"/>
          <w:color w:val="auto"/>
        </w:rPr>
      </w:pPr>
      <w:r>
        <w:rPr>
          <w:rFonts w:ascii="Arial" w:cs="Arial" w:eastAsia="Arial" w:hAnsi="Arial"/>
          <w:sz w:val="13"/>
          <w:szCs w:val="13"/>
          <w:color w:val="auto"/>
        </w:rPr>
        <w:t>Property and equipment are recorded at cost, less accumulated depreciation and amortization. Significant additions and improvements to property and equipment are capitalized. Major renewals or replacements that substantially extend the useful life of an asset are capitalized. Maintenance and repairs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7520"/>
        <w:spacing w:after="0"/>
        <w:rPr>
          <w:sz w:val="20"/>
          <w:szCs w:val="20"/>
          <w:color w:val="auto"/>
        </w:rPr>
      </w:pPr>
      <w:r>
        <w:rPr>
          <w:rFonts w:ascii="Arial" w:cs="Arial" w:eastAsia="Arial" w:hAnsi="Arial"/>
          <w:sz w:val="13"/>
          <w:szCs w:val="13"/>
          <w:color w:val="auto"/>
        </w:rPr>
        <w:t>2020 Form 10-K Page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357505</wp:posOffset>
            </wp:positionV>
            <wp:extent cx="5680075" cy="196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80075" cy="19685"/>
                    </a:xfrm>
                    <a:prstGeom prst="rect">
                      <a:avLst/>
                    </a:prstGeom>
                    <a:noFill/>
                  </pic:spPr>
                </pic:pic>
              </a:graphicData>
            </a:graphic>
          </wp:anchor>
        </w:drawing>
      </w:r>
    </w:p>
    <w:p>
      <w:pPr>
        <w:sectPr>
          <w:pgSz w:w="11900" w:h="16838" w:orient="portrait"/>
          <w:cols w:equalWidth="0" w:num="1">
            <w:col w:w="9080"/>
          </w:cols>
          <w:pgMar w:left="1440" w:top="995" w:right="1379" w:bottom="1440" w:gutter="0" w:footer="0" w:header="0"/>
        </w:sectPr>
      </w:pPr>
    </w:p>
    <w:bookmarkStart w:id="47" w:name="page48"/>
    <w:bookmarkEnd w:id="47"/>
    <w:tbl>
      <w:tblPr>
        <w:tblLayout w:type="fixed"/>
        <w:tblInd w:w="2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6620" w:type="dxa"/>
            <w:vAlign w:val="bottom"/>
          </w:tcPr>
          <w:p>
            <w:pPr>
              <w:ind w:left="380"/>
              <w:spacing w:after="0"/>
              <w:rPr>
                <w:sz w:val="20"/>
                <w:szCs w:val="20"/>
                <w:color w:val="auto"/>
              </w:rPr>
            </w:pPr>
            <w:r>
              <w:rPr>
                <w:rFonts w:ascii="Arial" w:cs="Arial" w:eastAsia="Arial" w:hAnsi="Arial"/>
                <w:sz w:val="14"/>
                <w:szCs w:val="14"/>
                <w:b w:val="1"/>
                <w:bCs w:val="1"/>
                <w:color w:val="auto"/>
              </w:rPr>
              <w:t>NOTES TO CONSOLIDATED FINANCIAL STATEMENTS</w:t>
            </w:r>
          </w:p>
        </w:tc>
      </w:tr>
      <w:tr>
        <w:trPr>
          <w:trHeight w:val="295"/>
        </w:trPr>
        <w:tc>
          <w:tcPr>
            <w:tcW w:w="8960" w:type="dxa"/>
            <w:vAlign w:val="bottom"/>
            <w:gridSpan w:val="3"/>
          </w:tcPr>
          <w:p>
            <w:pPr>
              <w:spacing w:after="0"/>
              <w:rPr>
                <w:sz w:val="20"/>
                <w:szCs w:val="20"/>
                <w:color w:val="auto"/>
              </w:rPr>
            </w:pPr>
            <w:r>
              <w:rPr>
                <w:rFonts w:ascii="Arial" w:cs="Arial" w:eastAsia="Arial" w:hAnsi="Arial"/>
                <w:sz w:val="13"/>
                <w:szCs w:val="13"/>
                <w:color w:val="auto"/>
              </w:rPr>
              <w:t>Depreciation and amortization are computed on a straight-line basis over the following estimated useful lives:</w:t>
            </w:r>
          </w:p>
        </w:tc>
      </w:tr>
      <w:tr>
        <w:trPr>
          <w:trHeight w:val="147"/>
        </w:trPr>
        <w:tc>
          <w:tcPr>
            <w:tcW w:w="20" w:type="dxa"/>
            <w:vAlign w:val="bottom"/>
          </w:tcPr>
          <w:p>
            <w:pPr>
              <w:spacing w:after="0"/>
              <w:rPr>
                <w:sz w:val="12"/>
                <w:szCs w:val="12"/>
                <w:color w:val="auto"/>
              </w:rPr>
            </w:pPr>
          </w:p>
        </w:tc>
        <w:tc>
          <w:tcPr>
            <w:tcW w:w="2320" w:type="dxa"/>
            <w:vAlign w:val="bottom"/>
            <w:tcBorders>
              <w:bottom w:val="single" w:sz="8" w:color="auto"/>
            </w:tcBorders>
          </w:tcPr>
          <w:p>
            <w:pPr>
              <w:spacing w:after="0"/>
              <w:rPr>
                <w:sz w:val="12"/>
                <w:szCs w:val="12"/>
                <w:color w:val="auto"/>
              </w:rPr>
            </w:pPr>
          </w:p>
        </w:tc>
        <w:tc>
          <w:tcPr>
            <w:tcW w:w="6620" w:type="dxa"/>
            <w:vAlign w:val="bottom"/>
            <w:tcBorders>
              <w:bottom w:val="single" w:sz="8" w:color="auto"/>
            </w:tcBorders>
          </w:tcPr>
          <w:p>
            <w:pPr>
              <w:spacing w:after="0"/>
              <w:rPr>
                <w:sz w:val="12"/>
                <w:szCs w:val="12"/>
                <w:color w:val="auto"/>
              </w:rPr>
            </w:pPr>
          </w:p>
        </w:tc>
      </w:tr>
      <w:tr>
        <w:trPr>
          <w:trHeight w:val="134"/>
        </w:trPr>
        <w:tc>
          <w:tcPr>
            <w:tcW w:w="20" w:type="dxa"/>
            <w:vAlign w:val="bottom"/>
          </w:tcPr>
          <w:p>
            <w:pPr>
              <w:spacing w:after="0"/>
              <w:rPr>
                <w:sz w:val="11"/>
                <w:szCs w:val="11"/>
                <w:color w:val="auto"/>
              </w:rPr>
            </w:pPr>
          </w:p>
        </w:tc>
        <w:tc>
          <w:tcPr>
            <w:tcW w:w="232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Buildings</w:t>
            </w:r>
          </w:p>
        </w:tc>
        <w:tc>
          <w:tcPr>
            <w:tcW w:w="6620" w:type="dxa"/>
            <w:vAlign w:val="bottom"/>
            <w:shd w:val="clear" w:color="auto" w:fill="CCEEFF"/>
          </w:tcPr>
          <w:p>
            <w:pPr>
              <w:ind w:left="1980"/>
              <w:spacing w:after="0" w:line="134" w:lineRule="exact"/>
              <w:rPr>
                <w:sz w:val="20"/>
                <w:szCs w:val="20"/>
                <w:color w:val="auto"/>
              </w:rPr>
            </w:pPr>
            <w:r>
              <w:rPr>
                <w:rFonts w:ascii="Arial" w:cs="Arial" w:eastAsia="Arial" w:hAnsi="Arial"/>
                <w:sz w:val="13"/>
                <w:szCs w:val="13"/>
                <w:color w:val="auto"/>
              </w:rPr>
              <w:t>Maximum of 50 years</w:t>
            </w:r>
          </w:p>
        </w:tc>
      </w:tr>
      <w:tr>
        <w:trPr>
          <w:trHeight w:val="144"/>
        </w:trPr>
        <w:tc>
          <w:tcPr>
            <w:tcW w:w="20" w:type="dxa"/>
            <w:vAlign w:val="bottom"/>
          </w:tcPr>
          <w:p>
            <w:pPr>
              <w:spacing w:after="0"/>
              <w:rPr>
                <w:sz w:val="12"/>
                <w:szCs w:val="12"/>
                <w:color w:val="auto"/>
              </w:rPr>
            </w:pPr>
          </w:p>
        </w:tc>
        <w:tc>
          <w:tcPr>
            <w:tcW w:w="2320" w:type="dxa"/>
            <w:vAlign w:val="bottom"/>
          </w:tcPr>
          <w:p>
            <w:pPr>
              <w:spacing w:after="0" w:line="144" w:lineRule="exact"/>
              <w:rPr>
                <w:sz w:val="20"/>
                <w:szCs w:val="20"/>
                <w:color w:val="auto"/>
              </w:rPr>
            </w:pPr>
            <w:r>
              <w:rPr>
                <w:rFonts w:ascii="Arial" w:cs="Arial" w:eastAsia="Arial" w:hAnsi="Arial"/>
                <w:sz w:val="13"/>
                <w:szCs w:val="13"/>
                <w:color w:val="auto"/>
              </w:rPr>
              <w:t>Store leasehold improvements</w:t>
            </w:r>
          </w:p>
        </w:tc>
        <w:tc>
          <w:tcPr>
            <w:tcW w:w="6620" w:type="dxa"/>
            <w:vAlign w:val="bottom"/>
          </w:tcPr>
          <w:p>
            <w:pPr>
              <w:ind w:left="1980"/>
              <w:spacing w:after="0" w:line="144" w:lineRule="exact"/>
              <w:rPr>
                <w:sz w:val="20"/>
                <w:szCs w:val="20"/>
                <w:color w:val="auto"/>
              </w:rPr>
            </w:pPr>
            <w:r>
              <w:rPr>
                <w:rFonts w:ascii="Arial" w:cs="Arial" w:eastAsia="Arial" w:hAnsi="Arial"/>
                <w:sz w:val="13"/>
                <w:szCs w:val="13"/>
                <w:color w:val="auto"/>
              </w:rPr>
              <w:t>Shorter of the asset useful life or expected term of the lease</w:t>
            </w:r>
          </w:p>
        </w:tc>
      </w:tr>
      <w:tr>
        <w:trPr>
          <w:trHeight w:val="154"/>
        </w:trPr>
        <w:tc>
          <w:tcPr>
            <w:tcW w:w="20" w:type="dxa"/>
            <w:vAlign w:val="bottom"/>
          </w:tcPr>
          <w:p>
            <w:pPr>
              <w:spacing w:after="0"/>
              <w:rPr>
                <w:sz w:val="13"/>
                <w:szCs w:val="13"/>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3"/>
                <w:szCs w:val="13"/>
                <w:color w:val="auto"/>
              </w:rPr>
              <w:t>Furniture, fixtures, and equipment</w:t>
            </w:r>
          </w:p>
        </w:tc>
        <w:tc>
          <w:tcPr>
            <w:tcW w:w="6620" w:type="dxa"/>
            <w:vAlign w:val="bottom"/>
            <w:shd w:val="clear" w:color="auto" w:fill="CCEEFF"/>
          </w:tcPr>
          <w:p>
            <w:pPr>
              <w:ind w:left="1980"/>
              <w:spacing w:after="0" w:line="150" w:lineRule="exact"/>
              <w:rPr>
                <w:sz w:val="20"/>
                <w:szCs w:val="20"/>
                <w:color w:val="auto"/>
              </w:rPr>
            </w:pPr>
            <w:r>
              <w:rPr>
                <w:rFonts w:ascii="Arial" w:cs="Arial" w:eastAsia="Arial" w:hAnsi="Arial"/>
                <w:sz w:val="13"/>
                <w:szCs w:val="13"/>
                <w:color w:val="auto"/>
              </w:rPr>
              <w:t>3</w:t>
            </w:r>
            <w:r>
              <w:rPr>
                <w:rFonts w:ascii="MS PGothic" w:cs="MS PGothic" w:eastAsia="MS PGothic" w:hAnsi="MS PGothic"/>
                <w:sz w:val="13"/>
                <w:szCs w:val="13"/>
                <w:color w:val="auto"/>
              </w:rPr>
              <w:t>‑</w:t>
            </w:r>
            <w:r>
              <w:rPr>
                <w:rFonts w:ascii="Arial" w:cs="Arial" w:eastAsia="Arial" w:hAnsi="Arial"/>
                <w:sz w:val="13"/>
                <w:szCs w:val="13"/>
                <w:color w:val="auto"/>
              </w:rPr>
              <w:t>10 years</w:t>
            </w:r>
          </w:p>
        </w:tc>
      </w:tr>
      <w:tr>
        <w:trPr>
          <w:trHeight w:val="154"/>
        </w:trPr>
        <w:tc>
          <w:tcPr>
            <w:tcW w:w="20" w:type="dxa"/>
            <w:vAlign w:val="bottom"/>
          </w:tcPr>
          <w:p>
            <w:pPr>
              <w:spacing w:after="0"/>
              <w:rPr>
                <w:sz w:val="13"/>
                <w:szCs w:val="13"/>
                <w:color w:val="auto"/>
              </w:rPr>
            </w:pPr>
          </w:p>
        </w:tc>
        <w:tc>
          <w:tcPr>
            <w:tcW w:w="23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Software</w:t>
            </w:r>
          </w:p>
        </w:tc>
        <w:tc>
          <w:tcPr>
            <w:tcW w:w="6620" w:type="dxa"/>
            <w:vAlign w:val="bottom"/>
            <w:tcBorders>
              <w:bottom w:val="single" w:sz="8" w:color="auto"/>
            </w:tcBorders>
          </w:tcPr>
          <w:p>
            <w:pPr>
              <w:ind w:left="1980"/>
              <w:spacing w:after="0" w:line="150" w:lineRule="exact"/>
              <w:rPr>
                <w:sz w:val="20"/>
                <w:szCs w:val="20"/>
                <w:color w:val="auto"/>
              </w:rPr>
            </w:pPr>
            <w:r>
              <w:rPr>
                <w:rFonts w:ascii="Arial" w:cs="Arial" w:eastAsia="Arial" w:hAnsi="Arial"/>
                <w:sz w:val="13"/>
                <w:szCs w:val="13"/>
                <w:color w:val="auto"/>
              </w:rPr>
              <w:t>2</w:t>
            </w:r>
            <w:r>
              <w:rPr>
                <w:rFonts w:ascii="MS PGothic" w:cs="MS PGothic" w:eastAsia="MS PGothic" w:hAnsi="MS PGothic"/>
                <w:sz w:val="13"/>
                <w:szCs w:val="13"/>
                <w:color w:val="auto"/>
              </w:rPr>
              <w:t>‑</w:t>
            </w:r>
            <w:r>
              <w:rPr>
                <w:rFonts w:ascii="Arial" w:cs="Arial" w:eastAsia="Arial" w:hAnsi="Arial"/>
                <w:sz w:val="13"/>
                <w:szCs w:val="13"/>
                <w:color w:val="auto"/>
              </w:rPr>
              <w:t>5 years</w:t>
            </w:r>
          </w:p>
        </w:tc>
      </w:tr>
    </w:tbl>
    <w:p>
      <w:pPr>
        <w:spacing w:after="0" w:line="10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2992755</wp:posOffset>
            </wp:positionH>
            <wp:positionV relativeFrom="page">
              <wp:posOffset>375285</wp:posOffset>
            </wp:positionV>
            <wp:extent cx="1563370" cy="169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1563370" cy="16954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i w:val="1"/>
          <w:iCs w:val="1"/>
          <w:color w:val="auto"/>
        </w:rPr>
        <w:t>Internal-Use Software Development Costs</w:t>
      </w:r>
    </w:p>
    <w:p>
      <w:pPr>
        <w:spacing w:after="0" w:line="141" w:lineRule="exact"/>
        <w:rPr>
          <w:sz w:val="20"/>
          <w:szCs w:val="20"/>
          <w:color w:val="auto"/>
        </w:rPr>
      </w:pPr>
    </w:p>
    <w:p>
      <w:pPr>
        <w:jc w:val="both"/>
        <w:ind w:left="20" w:right="39"/>
        <w:spacing w:after="0" w:line="232" w:lineRule="auto"/>
        <w:rPr>
          <w:sz w:val="20"/>
          <w:szCs w:val="20"/>
          <w:color w:val="auto"/>
        </w:rPr>
      </w:pPr>
      <w:r>
        <w:rPr>
          <w:rFonts w:ascii="Arial" w:cs="Arial" w:eastAsia="Arial" w:hAnsi="Arial"/>
          <w:sz w:val="13"/>
          <w:szCs w:val="13"/>
          <w:color w:val="auto"/>
        </w:rPr>
        <w:t>We capitalize certain external and internal computer software and software development costs incurred during the application development stage. The application development stage generally includes software design and configuration, coding, testing, and installation activities. Capitalized costs include only external direct cost of materials and services consumed in developing or obtaining internal-use software, and payroll and payroll-related costs for employees who are directly associated with and devote time to the internal-use software project. Capitalization of such costs ceases no later than the point at which the project is substantially complete and ready for its intended use. We generally amortize these costs on a straight-line basis over a period not to exceed five years. Training and maintenance costs are expensed as incurred, while upgrades and enhancements are capitalized if it is probable that such expenditures will result in additional functionality. Capitalized software, net of accumulated amortization, is included as a component of Property and equipment, net and was $93 million and $80 million at January 30, 2021 and February 1, 2020, respectively.</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Impairment of Long-Lived Tangible Assets and Right-of-Use Assets</w:t>
      </w:r>
    </w:p>
    <w:p>
      <w:pPr>
        <w:spacing w:after="0" w:line="131" w:lineRule="exact"/>
        <w:rPr>
          <w:sz w:val="20"/>
          <w:szCs w:val="20"/>
          <w:color w:val="auto"/>
        </w:rPr>
      </w:pPr>
    </w:p>
    <w:p>
      <w:pPr>
        <w:jc w:val="both"/>
        <w:ind w:left="20" w:right="39"/>
        <w:spacing w:after="0" w:line="232" w:lineRule="auto"/>
        <w:rPr>
          <w:sz w:val="20"/>
          <w:szCs w:val="20"/>
          <w:color w:val="auto"/>
        </w:rPr>
      </w:pPr>
      <w:r>
        <w:rPr>
          <w:rFonts w:ascii="Arial" w:cs="Arial" w:eastAsia="Arial" w:hAnsi="Arial"/>
          <w:sz w:val="13"/>
          <w:szCs w:val="13"/>
          <w:color w:val="auto"/>
        </w:rPr>
        <w:t>We perform an impairment review when circumstances indicate that the carrying value of long-lived tangible assets and right-of-use assets may not be recoverable (“a triggering event”). Our policy in determining whether a triggering event exists comprises the evaluation of measurable operating performance criteria and qualitative measures at the lowest level for which identifiable cash flows are largely independent of cash flows for other assets and liabilities, which is generally at the store level. We also evaluate triggering events at the banner level. In evaluating potential store level impairment, we compare future undiscounted cash flows expected to result from the use of the asset group to the carrying amount of the asset group. The future cash flows are estimated predominately based on our historical performance and long-range strategic plans. If the carrying amount of the asset group exceeds the estimated undiscounted future cash flows, we measure the amount of the impairment by comparing the carrying amount of the asset group with its estimated fair value. The estimation of fair value is measured by discounting expected future cash flows using a risk adjusted discount rate and using current market-based information for right-of-use assets. We estimate fair value based on the best information available using estimates, judgments, and projections as considered necessary.</w:t>
      </w:r>
    </w:p>
    <w:p>
      <w:pPr>
        <w:spacing w:after="0" w:line="110"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Leases</w:t>
      </w:r>
    </w:p>
    <w:p>
      <w:pPr>
        <w:spacing w:after="0" w:line="141" w:lineRule="exact"/>
        <w:rPr>
          <w:sz w:val="20"/>
          <w:szCs w:val="20"/>
          <w:color w:val="auto"/>
        </w:rPr>
      </w:pPr>
    </w:p>
    <w:p>
      <w:pPr>
        <w:jc w:val="both"/>
        <w:ind w:left="20" w:right="39"/>
        <w:spacing w:after="0" w:line="233" w:lineRule="auto"/>
        <w:rPr>
          <w:sz w:val="20"/>
          <w:szCs w:val="20"/>
          <w:color w:val="auto"/>
        </w:rPr>
      </w:pPr>
      <w:r>
        <w:rPr>
          <w:rFonts w:ascii="Arial" w:cs="Arial" w:eastAsia="Arial" w:hAnsi="Arial"/>
          <w:sz w:val="13"/>
          <w:szCs w:val="13"/>
          <w:color w:val="auto"/>
        </w:rPr>
        <w:t>On February 3, 2019, we adopted the new lease accounting standard. We applied the modified retrospective method of adoption and therefore, results for 2020 and 2019 are presented under the new guidance, while 2018 has not been adjusted. Lease liabilities are recognized at the commencement date based on the present value of lease payments over the lease term for those arrangements where there is an identified asset and the contract conveys the right to control its use. The lease term includes options to extend or terminate a lease only when we are reasonably certain that we will exercise that option. The right-of-use asset is measured at the initial amount of the lease liability adjusted for lease payments made at or before the lease commencement date, initial direct costs, and any tenant improvement allowances received. For operating leases, right-of-use assets are reduced over the lease term by the straight-line lease expense recognized less the amount of accretion of the lease liability determined using the effective interest method.</w:t>
      </w:r>
    </w:p>
    <w:p>
      <w:pPr>
        <w:spacing w:after="0" w:line="112" w:lineRule="exact"/>
        <w:rPr>
          <w:sz w:val="20"/>
          <w:szCs w:val="20"/>
          <w:color w:val="auto"/>
        </w:rPr>
      </w:pPr>
    </w:p>
    <w:p>
      <w:pPr>
        <w:jc w:val="both"/>
        <w:ind w:left="20" w:right="39"/>
        <w:spacing w:after="0" w:line="233" w:lineRule="auto"/>
        <w:rPr>
          <w:sz w:val="20"/>
          <w:szCs w:val="20"/>
          <w:color w:val="auto"/>
        </w:rPr>
      </w:pPr>
      <w:r>
        <w:rPr>
          <w:rFonts w:ascii="Arial" w:cs="Arial" w:eastAsia="Arial" w:hAnsi="Arial"/>
          <w:sz w:val="13"/>
          <w:szCs w:val="13"/>
          <w:color w:val="auto"/>
        </w:rPr>
        <w:t>We combine lease components and non-lease components. Given our policy election to combine lease and non-lease components, we also consider fixed common area maintenance (“CAM”) part of our fixed future lease payments; therefore, fixed CAM is also included in our lease liability. We recognize rent expense for operating leases as of the possession date for store leases or the commencement of the agreement for a non-store lease. Rental expense, inclusive of rent holidays, concessions, and tenant allowances are recognized over the lease term on a straight-line basis. Contingent payments based upon sales and future increases determined by inflation related indices cannot be estimated at the inception of the lease and, accordingly, are charged to operations as incurred.</w:t>
      </w:r>
    </w:p>
    <w:p>
      <w:pPr>
        <w:spacing w:after="0" w:line="200" w:lineRule="exact"/>
        <w:rPr>
          <w:sz w:val="20"/>
          <w:szCs w:val="20"/>
          <w:color w:val="auto"/>
        </w:rPr>
      </w:pPr>
    </w:p>
    <w:p>
      <w:pPr>
        <w:spacing w:after="0" w:line="201" w:lineRule="exact"/>
        <w:rPr>
          <w:sz w:val="20"/>
          <w:szCs w:val="20"/>
          <w:color w:val="auto"/>
        </w:rPr>
      </w:pPr>
    </w:p>
    <w:p>
      <w:pPr>
        <w:ind w:left="7520"/>
        <w:spacing w:after="0"/>
        <w:rPr>
          <w:sz w:val="20"/>
          <w:szCs w:val="20"/>
          <w:color w:val="auto"/>
        </w:rPr>
      </w:pPr>
      <w:r>
        <w:rPr>
          <w:rFonts w:ascii="Arial" w:cs="Arial" w:eastAsia="Arial" w:hAnsi="Arial"/>
          <w:sz w:val="12"/>
          <w:szCs w:val="12"/>
          <w:color w:val="auto"/>
        </w:rPr>
        <w:t>2020 Form 10-K 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365125</wp:posOffset>
            </wp:positionV>
            <wp:extent cx="5680075" cy="133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80075" cy="13335"/>
                    </a:xfrm>
                    <a:prstGeom prst="rect">
                      <a:avLst/>
                    </a:prstGeom>
                    <a:noFill/>
                  </pic:spPr>
                </pic:pic>
              </a:graphicData>
            </a:graphic>
          </wp:anchor>
        </w:drawing>
      </w:r>
    </w:p>
    <w:p>
      <w:pPr>
        <w:sectPr>
          <w:pgSz w:w="11900" w:h="16838" w:orient="portrait"/>
          <w:cols w:equalWidth="0" w:num="1">
            <w:col w:w="9019"/>
          </w:cols>
          <w:pgMar w:left="1440" w:top="995" w:right="1440" w:bottom="1440" w:gutter="0" w:footer="0" w:header="0"/>
        </w:sectPr>
      </w:pPr>
    </w:p>
    <w:bookmarkStart w:id="48" w:name="page49"/>
    <w:bookmarkEnd w:id="48"/>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2992755</wp:posOffset>
            </wp:positionH>
            <wp:positionV relativeFrom="page">
              <wp:posOffset>375285</wp:posOffset>
            </wp:positionV>
            <wp:extent cx="1563370" cy="169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1563370" cy="169545"/>
                    </a:xfrm>
                    <a:prstGeom prst="rect">
                      <a:avLst/>
                    </a:prstGeom>
                    <a:noFill/>
                  </pic:spPr>
                </pic:pic>
              </a:graphicData>
            </a:graphic>
          </wp:anchor>
        </w:drawing>
        <w:t>NOTES TO CONSOLIDATED FINANCIAL STATEMENTS</w:t>
      </w:r>
    </w:p>
    <w:p>
      <w:pPr>
        <w:spacing w:after="0" w:line="159" w:lineRule="exact"/>
        <w:rPr>
          <w:sz w:val="20"/>
          <w:szCs w:val="20"/>
          <w:color w:val="auto"/>
        </w:rPr>
      </w:pPr>
    </w:p>
    <w:p>
      <w:pPr>
        <w:jc w:val="both"/>
        <w:ind w:left="20" w:right="39"/>
        <w:spacing w:after="0" w:line="236" w:lineRule="auto"/>
        <w:rPr>
          <w:sz w:val="20"/>
          <w:szCs w:val="20"/>
          <w:color w:val="auto"/>
        </w:rPr>
      </w:pPr>
      <w:r>
        <w:rPr>
          <w:rFonts w:ascii="Arial" w:cs="Arial" w:eastAsia="Arial" w:hAnsi="Arial"/>
          <w:sz w:val="13"/>
          <w:szCs w:val="13"/>
          <w:color w:val="auto"/>
        </w:rPr>
        <w:t>As most of our leases do not provide an implicit interest rate, we use our incremental borrowing rates based on the remaining lease term to determine the present value of future lease payments. Our incremental borrowing rate for a lease is the rate of interest we would have to pay on a collateralized basis to borrow an amount equal to the lease payments under similar terms.</w:t>
      </w:r>
    </w:p>
    <w:p>
      <w:pPr>
        <w:spacing w:after="0" w:line="113" w:lineRule="exact"/>
        <w:rPr>
          <w:sz w:val="20"/>
          <w:szCs w:val="20"/>
          <w:color w:val="auto"/>
        </w:rPr>
      </w:pPr>
    </w:p>
    <w:p>
      <w:pPr>
        <w:jc w:val="both"/>
        <w:ind w:left="20" w:right="59"/>
        <w:spacing w:after="0"/>
        <w:rPr>
          <w:sz w:val="20"/>
          <w:szCs w:val="20"/>
          <w:color w:val="auto"/>
        </w:rPr>
      </w:pPr>
      <w:r>
        <w:rPr>
          <w:rFonts w:ascii="Arial" w:cs="Arial" w:eastAsia="Arial" w:hAnsi="Arial"/>
          <w:sz w:val="13"/>
          <w:szCs w:val="13"/>
          <w:color w:val="auto"/>
        </w:rPr>
        <w:t>Leases with an initial term of 12 months or less are not recorded on the balance sheet. We recognize lease expense for short-term leases on a straight-line basis over the lease term.</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Impairment of Goodwill and Other Intangible Assets</w:t>
      </w:r>
    </w:p>
    <w:p>
      <w:pPr>
        <w:spacing w:after="0" w:line="80" w:lineRule="exact"/>
        <w:rPr>
          <w:sz w:val="20"/>
          <w:szCs w:val="20"/>
          <w:color w:val="auto"/>
        </w:rPr>
      </w:pPr>
    </w:p>
    <w:p>
      <w:pPr>
        <w:jc w:val="both"/>
        <w:ind w:left="20" w:right="39"/>
        <w:spacing w:after="0" w:line="232" w:lineRule="auto"/>
        <w:rPr>
          <w:sz w:val="20"/>
          <w:szCs w:val="20"/>
          <w:color w:val="auto"/>
        </w:rPr>
      </w:pPr>
      <w:r>
        <w:rPr>
          <w:rFonts w:ascii="Arial" w:cs="Arial" w:eastAsia="Arial" w:hAnsi="Arial"/>
          <w:sz w:val="13"/>
          <w:szCs w:val="13"/>
          <w:color w:val="auto"/>
        </w:rPr>
        <w:t>Goodwill and intangible assets with indefinite lives are reviewed for impairment annually during the first quarter of each fiscal year or more frequently if impairment indicators arise. The review of goodwill impairment consists of either using a qualitative approach to determine whether it is more likely than not that the fair value of the assets is less than their respective carrying values or a one-step quantitative impairment test. In performing the qualitative assessment, we consider many factors in evaluating whether the carrying value of goodwill may not be recoverable, including declines in our stock price and market capitalization in relation to the book value of the Company and macroeconomic conditions affecting retail. If, based on the results of the qualitative assessment, it is concluded that it is not more likely than not that the fair value of a reporting unit exceeds its carrying value, additional quantitative impairment testing is performed. The quantitative test requires that the carrying value of each reporting unit be compared with its estimated fair value. If the carrying value of a reporting unit is greater than its fair value, a goodwill impairment charge will be recorded for the difference (up to the carrying value of goodwill).</w:t>
      </w:r>
    </w:p>
    <w:p>
      <w:pPr>
        <w:spacing w:after="0" w:line="156" w:lineRule="exact"/>
        <w:rPr>
          <w:sz w:val="20"/>
          <w:szCs w:val="20"/>
          <w:color w:val="auto"/>
        </w:rPr>
      </w:pPr>
    </w:p>
    <w:p>
      <w:pPr>
        <w:jc w:val="both"/>
        <w:ind w:left="20" w:right="39"/>
        <w:spacing w:after="0" w:line="233" w:lineRule="auto"/>
        <w:rPr>
          <w:sz w:val="20"/>
          <w:szCs w:val="20"/>
          <w:color w:val="auto"/>
        </w:rPr>
      </w:pPr>
      <w:r>
        <w:rPr>
          <w:rFonts w:ascii="Arial" w:cs="Arial" w:eastAsia="Arial" w:hAnsi="Arial"/>
          <w:sz w:val="13"/>
          <w:szCs w:val="13"/>
          <w:color w:val="auto"/>
        </w:rPr>
        <w:t>We use a discounted cash flow approach to determine the fair value of a reporting unit. The determination of discounted cash flows of the reporting units and assets and liabilities within the reporting units requires significant estimates and assumptions. These estimates and assumptions primarily include, but are not limited to, the discount rate, terminal growth rates, earnings before depreciation and amortization, and capital expenditures forecasts. Due to the inherent uncertainty involved in making these estimates, actual results could differ from those estimates. We evaluate the merits of each significant assumption, both individually and in the aggregate, used to determine the fair value of the reporting units, as well as the fair values of the corresponding assets and liabilities within the reporting units.</w:t>
      </w:r>
    </w:p>
    <w:p>
      <w:pPr>
        <w:spacing w:after="0" w:line="155" w:lineRule="exact"/>
        <w:rPr>
          <w:sz w:val="20"/>
          <w:szCs w:val="20"/>
          <w:color w:val="auto"/>
        </w:rPr>
      </w:pPr>
    </w:p>
    <w:p>
      <w:pPr>
        <w:jc w:val="both"/>
        <w:ind w:left="20" w:right="39"/>
        <w:spacing w:after="0"/>
        <w:rPr>
          <w:sz w:val="20"/>
          <w:szCs w:val="20"/>
          <w:color w:val="auto"/>
        </w:rPr>
      </w:pPr>
      <w:r>
        <w:rPr>
          <w:rFonts w:ascii="Arial" w:cs="Arial" w:eastAsia="Arial" w:hAnsi="Arial"/>
          <w:sz w:val="13"/>
          <w:szCs w:val="13"/>
          <w:color w:val="auto"/>
        </w:rPr>
        <w:t>For our 2020 annual impairment review, we concluded the fair value of each reporting unit exceeded its carrying value. Goodwill is net of accumulated impairment charges of $167 million for all periods presented.</w:t>
      </w:r>
    </w:p>
    <w:p>
      <w:pPr>
        <w:spacing w:after="0" w:line="152" w:lineRule="exact"/>
        <w:rPr>
          <w:sz w:val="20"/>
          <w:szCs w:val="20"/>
          <w:color w:val="auto"/>
        </w:rPr>
      </w:pPr>
    </w:p>
    <w:p>
      <w:pPr>
        <w:jc w:val="both"/>
        <w:ind w:left="20" w:right="39"/>
        <w:spacing w:after="0" w:line="233" w:lineRule="auto"/>
        <w:rPr>
          <w:sz w:val="20"/>
          <w:szCs w:val="20"/>
          <w:color w:val="auto"/>
        </w:rPr>
      </w:pPr>
      <w:r>
        <w:rPr>
          <w:rFonts w:ascii="Arial" w:cs="Arial" w:eastAsia="Arial" w:hAnsi="Arial"/>
          <w:sz w:val="13"/>
          <w:szCs w:val="13"/>
          <w:color w:val="auto"/>
        </w:rPr>
        <w:t>Intangible assets with indefinite lives are tested for impairment if impairment indicators arise and, at a minimum, annually. The impairment review for intangible assets with indefinite lives consists of either performing a qualitative or a quantitative assessment. If the results of the qualitative assessment indicate that it is more likely than not that the fair value of the indefinite-lived intangible is less than its carrying amount, or if we elect to proceed directly to a quantitative assessment, we calculate the fair value using a discounted cash flow method, based on the relief from royalty method, and compare the fair value to the carrying value to determine if the asset is impaired. Intangible assets that are determined to have finite lives are amortized over their useful lives and are measured for impairment only when events or changes in circumstances indicate that the carrying value may be impaired.</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Derivative Financial Instruments</w:t>
      </w:r>
    </w:p>
    <w:p>
      <w:pPr>
        <w:spacing w:after="0" w:line="141" w:lineRule="exact"/>
        <w:rPr>
          <w:sz w:val="20"/>
          <w:szCs w:val="20"/>
          <w:color w:val="auto"/>
        </w:rPr>
      </w:pPr>
    </w:p>
    <w:p>
      <w:pPr>
        <w:jc w:val="both"/>
        <w:ind w:left="20" w:right="39"/>
        <w:spacing w:after="0" w:line="233" w:lineRule="auto"/>
        <w:rPr>
          <w:sz w:val="20"/>
          <w:szCs w:val="20"/>
          <w:color w:val="auto"/>
        </w:rPr>
      </w:pPr>
      <w:r>
        <w:rPr>
          <w:rFonts w:ascii="Arial" w:cs="Arial" w:eastAsia="Arial" w:hAnsi="Arial"/>
          <w:sz w:val="13"/>
          <w:szCs w:val="13"/>
          <w:color w:val="auto"/>
        </w:rPr>
        <w:t>All derivative financial instruments are recorded in our Consolidated Balance Sheets at their fair values. For derivatives designated as a hedge, and effective as part of a hedge transaction, the effective portion of the gain or loss on the hedging derivative instrument is reported as a component of other comprehensive income/loss or as a basis adjustment to the underlying hedged item and reclassified to earnings in the period in which the hedged item affects earnings. The effective portion of the gain or loss on hedges of foreign net investments is generally not reclassified to earnings unless the net investment is disposed of. To the extent derivatives do not qualify or are not designated as hedges, or are ineffective, their changes in fair value are recorded in earnings immediately, which may subject us to increased earnings volatility.</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7520"/>
        <w:spacing w:after="0"/>
        <w:rPr>
          <w:sz w:val="20"/>
          <w:szCs w:val="20"/>
          <w:color w:val="auto"/>
        </w:rPr>
      </w:pPr>
      <w:r>
        <w:rPr>
          <w:rFonts w:ascii="Arial" w:cs="Arial" w:eastAsia="Arial" w:hAnsi="Arial"/>
          <w:sz w:val="12"/>
          <w:szCs w:val="12"/>
          <w:color w:val="auto"/>
        </w:rPr>
        <w:t>2020 Form 10-K 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365125</wp:posOffset>
            </wp:positionV>
            <wp:extent cx="5680075" cy="196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80075" cy="19685"/>
                    </a:xfrm>
                    <a:prstGeom prst="rect">
                      <a:avLst/>
                    </a:prstGeom>
                    <a:noFill/>
                  </pic:spPr>
                </pic:pic>
              </a:graphicData>
            </a:graphic>
          </wp:anchor>
        </w:drawing>
      </w:r>
    </w:p>
    <w:p>
      <w:pPr>
        <w:sectPr>
          <w:pgSz w:w="11900" w:h="16838" w:orient="portrait"/>
          <w:cols w:equalWidth="0" w:num="1">
            <w:col w:w="9019"/>
          </w:cols>
          <w:pgMar w:left="1440" w:top="995" w:right="1440" w:bottom="1440" w:gutter="0" w:footer="0" w:header="0"/>
        </w:sectPr>
      </w:pPr>
    </w:p>
    <w:bookmarkStart w:id="49" w:name="page50"/>
    <w:bookmarkEnd w:id="49"/>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2992755</wp:posOffset>
            </wp:positionH>
            <wp:positionV relativeFrom="page">
              <wp:posOffset>375285</wp:posOffset>
            </wp:positionV>
            <wp:extent cx="1563370" cy="169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1563370" cy="169545"/>
                    </a:xfrm>
                    <a:prstGeom prst="rect">
                      <a:avLst/>
                    </a:prstGeom>
                    <a:noFill/>
                  </pic:spPr>
                </pic:pic>
              </a:graphicData>
            </a:graphic>
          </wp:anchor>
        </w:drawing>
        <w:t>NOTES TO CONSOLIDATED FINANCIAL STATEMENTS</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Income Taxes</w:t>
      </w:r>
    </w:p>
    <w:p>
      <w:pPr>
        <w:spacing w:after="0" w:line="131" w:lineRule="exact"/>
        <w:rPr>
          <w:sz w:val="20"/>
          <w:szCs w:val="20"/>
          <w:color w:val="auto"/>
        </w:rPr>
      </w:pPr>
    </w:p>
    <w:p>
      <w:pPr>
        <w:jc w:val="both"/>
        <w:ind w:left="20" w:right="39"/>
        <w:spacing w:after="0" w:line="233" w:lineRule="auto"/>
        <w:rPr>
          <w:sz w:val="20"/>
          <w:szCs w:val="20"/>
          <w:color w:val="auto"/>
        </w:rPr>
      </w:pPr>
      <w:r>
        <w:rPr>
          <w:rFonts w:ascii="Arial" w:cs="Arial" w:eastAsia="Arial" w:hAnsi="Arial"/>
          <w:sz w:val="13"/>
          <w:szCs w:val="13"/>
          <w:color w:val="auto"/>
        </w:rPr>
        <w:t>We account for our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the tax basis of assets and liabilities, using enacted tax rates in effect for the year in which the differences are expected to reverse. Deferred tax assets are recognized for tax credits and net operating loss carryforwards, reduced by a valuation allowance, which is established when it is more likely than not that some portion or all of the deferred tax assets will not be realized. The effect of a change in tax rates on deferred tax assets and liabilities is recognized in income in the period that includes the enactment date.</w:t>
      </w:r>
    </w:p>
    <w:p>
      <w:pPr>
        <w:spacing w:after="0" w:line="124" w:lineRule="exact"/>
        <w:rPr>
          <w:sz w:val="20"/>
          <w:szCs w:val="20"/>
          <w:color w:val="auto"/>
        </w:rPr>
      </w:pPr>
    </w:p>
    <w:p>
      <w:pPr>
        <w:jc w:val="both"/>
        <w:ind w:left="20" w:right="39"/>
        <w:spacing w:after="0" w:line="235" w:lineRule="auto"/>
        <w:rPr>
          <w:sz w:val="20"/>
          <w:szCs w:val="20"/>
          <w:color w:val="auto"/>
        </w:rPr>
      </w:pPr>
      <w:r>
        <w:rPr>
          <w:rFonts w:ascii="Arial" w:cs="Arial" w:eastAsia="Arial" w:hAnsi="Arial"/>
          <w:sz w:val="13"/>
          <w:szCs w:val="13"/>
          <w:color w:val="auto"/>
        </w:rPr>
        <w:t>We recognize net deferred tax assets to the extent that we believe these assets are more likely than not to be realized. In making such a determination, we consider all available positive and negative evidence, including future reversals of existing taxable temporary differences, projected future taxable income, tax-planning strategies, and results of recent operations. If we determine that we would be able to realize our deferred tax assets in the future in excess of their net recorded amount, we would make an adjustment to the deferred tax asset valuation allowance, which would reduce the provision for income taxes.</w:t>
      </w:r>
    </w:p>
    <w:p>
      <w:pPr>
        <w:spacing w:after="0" w:line="122" w:lineRule="exact"/>
        <w:rPr>
          <w:sz w:val="20"/>
          <w:szCs w:val="20"/>
          <w:color w:val="auto"/>
        </w:rPr>
      </w:pPr>
    </w:p>
    <w:p>
      <w:pPr>
        <w:jc w:val="both"/>
        <w:ind w:left="20" w:right="39"/>
        <w:spacing w:after="0" w:line="232" w:lineRule="auto"/>
        <w:rPr>
          <w:sz w:val="20"/>
          <w:szCs w:val="20"/>
          <w:color w:val="auto"/>
        </w:rPr>
      </w:pPr>
      <w:r>
        <w:rPr>
          <w:rFonts w:ascii="Arial" w:cs="Arial" w:eastAsia="Arial" w:hAnsi="Arial"/>
          <w:sz w:val="13"/>
          <w:szCs w:val="13"/>
          <w:color w:val="auto"/>
        </w:rPr>
        <w:t>A taxing authority may challenge positions that we adopted in our income tax filings. Accordingly, we may apply different tax treatments for transactions in filing our income tax returns than for income tax financial reporting. We regularly assess our tax positions for such transactions and record reserves for those differences when considered necessary. Tax positions are recognized only when it is more likely than not, based on technical merits, that the positions will be sustained upon examination. Tax positions that meet the more-likely-than-not threshold are measured using a probability weighted approach as the largest amount of tax benefit that is greater than fifty percent likely of being realized upon settlement. Whether the more-likely-than-not recognition threshold is met for a tax position is a matter of judgment based on the individual facts and circumstances of that position evaluated in light of all available evidence. We recognize interest and penalties related to unrecognized tax benefits within income tax expense in the accompanying Consolidated Statement of Operations. Accrued interest and penalties are included within the related tax liability line in the Consolidated Balance Sheet.</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Pension and Postretirement Obligations</w:t>
      </w:r>
    </w:p>
    <w:p>
      <w:pPr>
        <w:spacing w:after="0" w:line="141" w:lineRule="exact"/>
        <w:rPr>
          <w:sz w:val="20"/>
          <w:szCs w:val="20"/>
          <w:color w:val="auto"/>
        </w:rPr>
      </w:pPr>
    </w:p>
    <w:p>
      <w:pPr>
        <w:jc w:val="both"/>
        <w:ind w:left="20" w:right="39"/>
        <w:spacing w:after="0" w:line="233" w:lineRule="auto"/>
        <w:rPr>
          <w:sz w:val="20"/>
          <w:szCs w:val="20"/>
          <w:color w:val="auto"/>
        </w:rPr>
      </w:pPr>
      <w:r>
        <w:rPr>
          <w:rFonts w:ascii="Arial" w:cs="Arial" w:eastAsia="Arial" w:hAnsi="Arial"/>
          <w:sz w:val="13"/>
          <w:szCs w:val="13"/>
          <w:color w:val="auto"/>
        </w:rPr>
        <w:t>Pension benefit obligations and net periodic pension costs are calculated using actuarial assumptions. Two key assumptions used in accounting for pension liabilities and expenses are the discount rate and expected rate of return on plan assets. The discount rate for the U.S. plans is determined by reference to the Bond:Link interest rate model based upon a portfolio of highly-rated U.S. corporate bonds with individual bonds that are theoretically purchased to settle the plan’s anticipated cash outflows. The cash flows are discounted to their present value and an overall discount rate is determined. The discount rate selected to measure the present value of the Canadian benefit obligations was developed by using that plan’s bond portfolio indices, which match the benefit obligations. We measure our plan assets and benefit obligations using the month-end date that is closest to our fiscal year end. The expected return on plan assets assumption is derived using the current and expected asset allocation of the pension plan assets and considering historical as well as</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3"/>
          <w:szCs w:val="13"/>
          <w:color w:val="auto"/>
        </w:rPr>
        <w:t>expected performance of those assets.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Insurance Liabilities</w:t>
      </w:r>
    </w:p>
    <w:p>
      <w:pPr>
        <w:spacing w:after="0" w:line="131" w:lineRule="exact"/>
        <w:rPr>
          <w:sz w:val="20"/>
          <w:szCs w:val="20"/>
          <w:color w:val="auto"/>
        </w:rPr>
      </w:pPr>
    </w:p>
    <w:p>
      <w:pPr>
        <w:jc w:val="both"/>
        <w:ind w:left="20" w:right="39"/>
        <w:spacing w:after="0" w:line="235" w:lineRule="auto"/>
        <w:rPr>
          <w:sz w:val="20"/>
          <w:szCs w:val="20"/>
          <w:color w:val="auto"/>
        </w:rPr>
      </w:pPr>
      <w:r>
        <w:rPr>
          <w:rFonts w:ascii="Arial" w:cs="Arial" w:eastAsia="Arial" w:hAnsi="Arial"/>
          <w:sz w:val="13"/>
          <w:szCs w:val="13"/>
          <w:color w:val="auto"/>
        </w:rPr>
        <w:t>We are primarily self-insured for health care, workers’ compensation, and general liability costs. Accordingly, provisions are made for actuarially determined estimates of discounted future claim costs for such risks, for the aggregate of claims reported, and claims incurred but not yet reported. Self-insured liabilities totaled $13 million and $12 million for January 30, 2021 and February 1, 2020, respectively. Workers’ compensation and general liability reserves are discounted using a risk-free interest rate. Imputed interest expense related to these liabilities was not significant for any of the periods presented.</w:t>
      </w:r>
    </w:p>
    <w:p>
      <w:pPr>
        <w:spacing w:after="0" w:line="399" w:lineRule="exact"/>
        <w:rPr>
          <w:sz w:val="20"/>
          <w:szCs w:val="20"/>
          <w:color w:val="auto"/>
        </w:rPr>
      </w:pPr>
    </w:p>
    <w:p>
      <w:pPr>
        <w:ind w:left="7520"/>
        <w:spacing w:after="0"/>
        <w:rPr>
          <w:sz w:val="20"/>
          <w:szCs w:val="20"/>
          <w:color w:val="auto"/>
        </w:rPr>
      </w:pPr>
      <w:r>
        <w:rPr>
          <w:rFonts w:ascii="Arial" w:cs="Arial" w:eastAsia="Arial" w:hAnsi="Arial"/>
          <w:sz w:val="12"/>
          <w:szCs w:val="12"/>
          <w:color w:val="auto"/>
        </w:rPr>
        <w:t>2020 Form 10-K Page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365125</wp:posOffset>
            </wp:positionV>
            <wp:extent cx="5680075" cy="133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80075" cy="13335"/>
                    </a:xfrm>
                    <a:prstGeom prst="rect">
                      <a:avLst/>
                    </a:prstGeom>
                    <a:noFill/>
                  </pic:spPr>
                </pic:pic>
              </a:graphicData>
            </a:graphic>
          </wp:anchor>
        </w:drawing>
      </w:r>
    </w:p>
    <w:p>
      <w:pPr>
        <w:sectPr>
          <w:pgSz w:w="11900" w:h="16838" w:orient="portrait"/>
          <w:cols w:equalWidth="0" w:num="1">
            <w:col w:w="9019"/>
          </w:cols>
          <w:pgMar w:left="1440" w:top="995" w:right="1440" w:bottom="1440" w:gutter="0" w:footer="0" w:header="0"/>
        </w:sectPr>
      </w:pPr>
    </w:p>
    <w:bookmarkStart w:id="50" w:name="page51"/>
    <w:bookmarkEnd w:id="50"/>
    <w:p>
      <w:pPr>
        <w:jc w:val="cente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2992755</wp:posOffset>
            </wp:positionH>
            <wp:positionV relativeFrom="page">
              <wp:posOffset>375285</wp:posOffset>
            </wp:positionV>
            <wp:extent cx="1563370" cy="169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1563370" cy="169545"/>
                    </a:xfrm>
                    <a:prstGeom prst="rect">
                      <a:avLst/>
                    </a:prstGeom>
                    <a:noFill/>
                  </pic:spPr>
                </pic:pic>
              </a:graphicData>
            </a:graphic>
          </wp:anchor>
        </w:drawing>
        <w:t>NOTES TO CONSOLIDATED FINANCIAL STATEMENTS</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Treasury Stock Retirement</w:t>
      </w:r>
    </w:p>
    <w:p>
      <w:pPr>
        <w:spacing w:after="0" w:line="131" w:lineRule="exact"/>
        <w:rPr>
          <w:sz w:val="20"/>
          <w:szCs w:val="20"/>
          <w:color w:val="auto"/>
        </w:rPr>
      </w:pPr>
    </w:p>
    <w:p>
      <w:pPr>
        <w:jc w:val="both"/>
        <w:ind w:left="20" w:right="39"/>
        <w:spacing w:after="0" w:line="233" w:lineRule="auto"/>
        <w:rPr>
          <w:sz w:val="20"/>
          <w:szCs w:val="20"/>
          <w:color w:val="auto"/>
        </w:rPr>
      </w:pPr>
      <w:r>
        <w:rPr>
          <w:rFonts w:ascii="Arial" w:cs="Arial" w:eastAsia="Arial" w:hAnsi="Arial"/>
          <w:sz w:val="13"/>
          <w:szCs w:val="13"/>
          <w:color w:val="auto"/>
        </w:rPr>
        <w:t>We periodically retire treasury shares that we acquire through share repurchases and return those shares to the status of authorized but unissued. We account for treasury stock transactions under the cost method. For each reacquisition of common stock, the number of shares and the acquisition price for those shares is added to the existing treasury stock count and total value. When treasury shares are retired, our policy is to allocate the excess of the repurchase price over the par value of shares acquired to both retained earnings and additional paid-in capital. The portion allocated to additional paid-in capital is determined by applying a percentage, which is determined by dividing the number of shares to be retired by the number of shares issued, to the balance of additional paid-in capital as of the retirement date.</w:t>
      </w:r>
    </w:p>
    <w:p>
      <w:pPr>
        <w:spacing w:after="0" w:line="124" w:lineRule="exact"/>
        <w:rPr>
          <w:sz w:val="20"/>
          <w:szCs w:val="20"/>
          <w:color w:val="auto"/>
        </w:rPr>
      </w:pPr>
    </w:p>
    <w:p>
      <w:pPr>
        <w:jc w:val="both"/>
        <w:ind w:left="20" w:right="39"/>
        <w:spacing w:after="0" w:line="236" w:lineRule="auto"/>
        <w:rPr>
          <w:sz w:val="20"/>
          <w:szCs w:val="20"/>
          <w:color w:val="auto"/>
        </w:rPr>
      </w:pPr>
      <w:r>
        <w:rPr>
          <w:rFonts w:ascii="Arial" w:cs="Arial" w:eastAsia="Arial" w:hAnsi="Arial"/>
          <w:sz w:val="13"/>
          <w:szCs w:val="13"/>
          <w:color w:val="auto"/>
        </w:rPr>
        <w:t>We retired 913,095 and 9,021,244 shares of our common stock held in treasury during 2020 and 2019, respectively. The shares were returned to the status of authorized but unissued. As a result, treasury stock decreased by $34 million and $368 million as of January 30, 2021 and February 1, 2020, respectively.</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Foreign Currency Translation</w:t>
      </w:r>
    </w:p>
    <w:p>
      <w:pPr>
        <w:spacing w:after="0" w:line="131" w:lineRule="exact"/>
        <w:rPr>
          <w:sz w:val="20"/>
          <w:szCs w:val="20"/>
          <w:color w:val="auto"/>
        </w:rPr>
      </w:pPr>
    </w:p>
    <w:p>
      <w:pPr>
        <w:jc w:val="both"/>
        <w:ind w:left="20" w:right="39"/>
        <w:spacing w:after="0" w:line="235" w:lineRule="auto"/>
        <w:rPr>
          <w:sz w:val="20"/>
          <w:szCs w:val="20"/>
          <w:color w:val="auto"/>
        </w:rPr>
      </w:pPr>
      <w:r>
        <w:rPr>
          <w:rFonts w:ascii="Arial" w:cs="Arial" w:eastAsia="Arial" w:hAnsi="Arial"/>
          <w:sz w:val="13"/>
          <w:szCs w:val="13"/>
          <w:color w:val="auto"/>
        </w:rPr>
        <w:t>The functional currency of our international operations is the applicable local currency. The translation of the applicable foreign currency into U.S. dollars is performed for balance sheet accounts using current exchange rates in effect at the balance sheet date and for revenue and expense accounts using the weighted-average rates of exchange prevailing during the year. The unearned gains and losses resulting from such translation are included as a separate component of accumulated other comprehensive loss (“AOCL”) within shareholders’ equity.</w:t>
      </w:r>
    </w:p>
    <w:p>
      <w:pPr>
        <w:spacing w:after="0" w:line="108"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Recently Adopted Accounting Pronouncements</w:t>
      </w:r>
    </w:p>
    <w:p>
      <w:pPr>
        <w:spacing w:after="0" w:line="152" w:lineRule="exact"/>
        <w:rPr>
          <w:sz w:val="20"/>
          <w:szCs w:val="20"/>
          <w:color w:val="auto"/>
        </w:rPr>
      </w:pPr>
    </w:p>
    <w:p>
      <w:pPr>
        <w:jc w:val="both"/>
        <w:ind w:left="40" w:right="59"/>
        <w:spacing w:after="0" w:line="233" w:lineRule="auto"/>
        <w:rPr>
          <w:sz w:val="20"/>
          <w:szCs w:val="20"/>
          <w:color w:val="auto"/>
        </w:rPr>
      </w:pPr>
      <w:r>
        <w:rPr>
          <w:rFonts w:ascii="Arial" w:cs="Arial" w:eastAsia="Arial" w:hAnsi="Arial"/>
          <w:sz w:val="13"/>
          <w:szCs w:val="13"/>
          <w:color w:val="auto"/>
        </w:rPr>
        <w:t>On February 2, 2020, we adopted Financial Accounting Standards Board (“FASB”) guidance on the accounting for implementation costs of a cloud computing arrangement that is considered to be a service contract, that requires companies to follow the guidance for internal-use software to determine which costs to capitalize in a cloud computing arrangement that is a service contract. Under this guidance, such implementation costs will be capitalized in Other assets on the Consolidated Balance Sheet, with the related amortization presented in Selling, general and administrative expenses on the Consolidated Statement of Operations. This guidance was applied prospectively to implementation costs incurred after February 2, 2020. The adoption of this guidance did not have a significant effect on our consolidated financial statements.</w:t>
      </w:r>
    </w:p>
    <w:p>
      <w:pPr>
        <w:spacing w:after="0" w:line="134" w:lineRule="exact"/>
        <w:rPr>
          <w:sz w:val="20"/>
          <w:szCs w:val="20"/>
          <w:color w:val="auto"/>
        </w:rPr>
      </w:pPr>
    </w:p>
    <w:p>
      <w:pPr>
        <w:jc w:val="both"/>
        <w:ind w:left="40" w:right="59"/>
        <w:spacing w:after="0" w:line="233" w:lineRule="auto"/>
        <w:rPr>
          <w:sz w:val="20"/>
          <w:szCs w:val="20"/>
          <w:color w:val="auto"/>
        </w:rPr>
      </w:pPr>
      <w:r>
        <w:rPr>
          <w:rFonts w:ascii="Arial" w:cs="Arial" w:eastAsia="Arial" w:hAnsi="Arial"/>
          <w:sz w:val="13"/>
          <w:szCs w:val="13"/>
          <w:color w:val="auto"/>
        </w:rPr>
        <w:t>On February 2, 2020, we adopted FASB’s updated guidance on the accounting for performing goodwill impairment tests. This update eliminates the requirement to perform a hypothetical purchase price allocation to measure goodwill impairment. In testing goodwill for impairment, an entity may elect to utilize a qualitative assessment to evaluate whether it is more likely than not that the fair value of a reporting unit is less than its carrying amount. If the qualitative assessment indicates that goodwill impairment is more likely than not, an entity should perform its goodwill impairment test by comparing the fair value of a reporting unit to its carrying amount and recognize an impairment charge for the amount by which the carrying amount exceeds the reporting unit's fair value, not to exceed the total amount of goodwill allocated to the reporting unit.</w:t>
      </w:r>
    </w:p>
    <w:p>
      <w:pPr>
        <w:spacing w:after="0" w:line="134" w:lineRule="exact"/>
        <w:rPr>
          <w:sz w:val="20"/>
          <w:szCs w:val="20"/>
          <w:color w:val="auto"/>
        </w:rPr>
      </w:pPr>
    </w:p>
    <w:p>
      <w:pPr>
        <w:jc w:val="both"/>
        <w:ind w:left="40" w:right="59"/>
        <w:spacing w:after="0" w:line="233" w:lineRule="auto"/>
        <w:rPr>
          <w:sz w:val="20"/>
          <w:szCs w:val="20"/>
          <w:color w:val="auto"/>
        </w:rPr>
      </w:pPr>
      <w:r>
        <w:rPr>
          <w:rFonts w:ascii="Arial" w:cs="Arial" w:eastAsia="Arial" w:hAnsi="Arial"/>
          <w:sz w:val="13"/>
          <w:szCs w:val="13"/>
          <w:color w:val="auto"/>
        </w:rPr>
        <w:t>In January 2021, we adopted FASB’s amended guidance that eliminates, adds, and clarifies certain disclosure requirements for defined benefit pension or other postretirement plans. The eliminated disclosures include the amounts in accumulated other comprehensive income expected to be recognized in net periodic benefit costs over the next fiscal year and the effects of a one-percentage-point change in assumed health care cost trend rates on the aggregate of the service and interest cost components of net periodic benefit costs and the benefit obligation for postretirement health care benefits. The new disclosures require an explanation of significant gains and losses related to changes in benefit obligations. This standard is effective for fiscal years beginning after December 15, 2020 and allows for early adoption. The amendments are required to be applied retrospectively. The adoption of this guidance did not have a significant effect on our consolidated financial statements.</w:t>
      </w:r>
    </w:p>
    <w:p>
      <w:pPr>
        <w:spacing w:after="0" w:line="133" w:lineRule="exact"/>
        <w:rPr>
          <w:sz w:val="20"/>
          <w:szCs w:val="20"/>
          <w:color w:val="auto"/>
        </w:rPr>
      </w:pPr>
    </w:p>
    <w:p>
      <w:pPr>
        <w:jc w:val="both"/>
        <w:ind w:left="40" w:right="59"/>
        <w:spacing w:after="0"/>
        <w:rPr>
          <w:sz w:val="20"/>
          <w:szCs w:val="20"/>
          <w:color w:val="auto"/>
        </w:rPr>
      </w:pPr>
      <w:r>
        <w:rPr>
          <w:rFonts w:ascii="Arial" w:cs="Arial" w:eastAsia="Arial" w:hAnsi="Arial"/>
          <w:sz w:val="13"/>
          <w:szCs w:val="13"/>
          <w:color w:val="auto"/>
        </w:rPr>
        <w:t>Other recently issued accounting pronouncements did not, or are not believed by management to, have a material effect on our present or future consolidated financial statements.</w:t>
      </w:r>
    </w:p>
    <w:p>
      <w:pPr>
        <w:spacing w:after="0" w:line="9" w:lineRule="exact"/>
        <w:rPr>
          <w:sz w:val="20"/>
          <w:szCs w:val="20"/>
          <w:color w:val="auto"/>
        </w:rPr>
      </w:pPr>
    </w:p>
    <w:p>
      <w:pPr>
        <w:ind w:left="7520"/>
        <w:spacing w:after="0"/>
        <w:rPr>
          <w:sz w:val="20"/>
          <w:szCs w:val="20"/>
          <w:color w:val="auto"/>
        </w:rPr>
      </w:pPr>
      <w:r>
        <w:rPr>
          <w:rFonts w:ascii="Arial" w:cs="Arial" w:eastAsia="Arial" w:hAnsi="Arial"/>
          <w:sz w:val="12"/>
          <w:szCs w:val="12"/>
          <w:color w:val="auto"/>
        </w:rPr>
        <w:t>2020 Form 10-K 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365125</wp:posOffset>
            </wp:positionV>
            <wp:extent cx="5680075" cy="196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80075" cy="19685"/>
                    </a:xfrm>
                    <a:prstGeom prst="rect">
                      <a:avLst/>
                    </a:prstGeom>
                    <a:noFill/>
                  </pic:spPr>
                </pic:pic>
              </a:graphicData>
            </a:graphic>
          </wp:anchor>
        </w:drawing>
      </w:r>
    </w:p>
    <w:p>
      <w:pPr>
        <w:sectPr>
          <w:pgSz w:w="11900" w:h="16838" w:orient="portrait"/>
          <w:cols w:equalWidth="0" w:num="1">
            <w:col w:w="9019"/>
          </w:cols>
          <w:pgMar w:left="1440" w:top="995" w:right="1440" w:bottom="1440" w:gutter="0" w:footer="0" w:header="0"/>
        </w:sectPr>
      </w:pPr>
    </w:p>
    <w:bookmarkStart w:id="51" w:name="page52"/>
    <w:bookmarkEnd w:id="51"/>
    <w:p>
      <w:pPr>
        <w:ind w:left="27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2992755</wp:posOffset>
            </wp:positionH>
            <wp:positionV relativeFrom="page">
              <wp:posOffset>375285</wp:posOffset>
            </wp:positionV>
            <wp:extent cx="1563370" cy="169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1563370" cy="169545"/>
                    </a:xfrm>
                    <a:prstGeom prst="rect">
                      <a:avLst/>
                    </a:prstGeom>
                    <a:noFill/>
                  </pic:spPr>
                </pic:pic>
              </a:graphicData>
            </a:graphic>
          </wp:anchor>
        </w:drawing>
        <w:t>NOTES TO CONSOLIDATED FINANCIAL STATEMENTS</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Recent Accounting Pronouncements Not Yet Adopted</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3"/>
          <w:szCs w:val="13"/>
          <w:color w:val="auto"/>
        </w:rPr>
        <w:t>All recently issued accounting pronouncements are not expected to have a material effect on the consolidated financial statements.</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2. Segment Information</w:t>
      </w:r>
    </w:p>
    <w:p>
      <w:pPr>
        <w:spacing w:after="0" w:line="133" w:lineRule="exact"/>
        <w:rPr>
          <w:sz w:val="20"/>
          <w:szCs w:val="20"/>
          <w:color w:val="auto"/>
        </w:rPr>
      </w:pPr>
    </w:p>
    <w:p>
      <w:pPr>
        <w:jc w:val="both"/>
        <w:ind w:left="40" w:right="59"/>
        <w:spacing w:after="0" w:line="235" w:lineRule="auto"/>
        <w:rPr>
          <w:sz w:val="20"/>
          <w:szCs w:val="20"/>
          <w:color w:val="auto"/>
        </w:rPr>
      </w:pPr>
      <w:r>
        <w:rPr>
          <w:rFonts w:ascii="Arial" w:cs="Arial" w:eastAsia="Arial" w:hAnsi="Arial"/>
          <w:sz w:val="13"/>
          <w:szCs w:val="13"/>
          <w:color w:val="auto"/>
        </w:rPr>
        <w:t>We have integrated all available shopping channels including stores, websites, apps, social channels, and catalogs. Store sales are primarily fulfilled from the store’s inventory but may also be shipped from our distribution centers or from a different store location if an item is not available at the original store. Direct-to-customer orders are generally shipped to our customers through our distribution centers but may also be shipped from a store or a combination of our distribution centers and stores depending on the availability of particular items.</w:t>
      </w:r>
    </w:p>
    <w:p>
      <w:pPr>
        <w:spacing w:after="0" w:line="133" w:lineRule="exact"/>
        <w:rPr>
          <w:sz w:val="20"/>
          <w:szCs w:val="20"/>
          <w:color w:val="auto"/>
        </w:rPr>
      </w:pPr>
    </w:p>
    <w:p>
      <w:pPr>
        <w:jc w:val="both"/>
        <w:ind w:left="40" w:right="59"/>
        <w:spacing w:after="0" w:line="232" w:lineRule="auto"/>
        <w:rPr>
          <w:sz w:val="20"/>
          <w:szCs w:val="20"/>
          <w:color w:val="auto"/>
        </w:rPr>
      </w:pPr>
      <w:r>
        <w:rPr>
          <w:rFonts w:ascii="Arial" w:cs="Arial" w:eastAsia="Arial" w:hAnsi="Arial"/>
          <w:sz w:val="13"/>
          <w:szCs w:val="13"/>
          <w:color w:val="auto"/>
        </w:rPr>
        <w:t>Our operating segments are identified according to how our business activities are managed and evaluated by our chief operating decision maker, our CEO. We have three operating segments, North America, EMEA (Europe, Middle East and Africa), and Asia Pacific. Our North America operating segment includes the results of the following banners operating in the U.S. and Canada: Foot Locker, Kids Foot Locker, Lady Foot Locker, Champs Sports, and Footaction, including each of their related e-commerce businesses, as well as our Eastbay business that includes internet, catalog, and team sales. Our EMEA operating segment includes the results of the following banners operating in Europe: Foot Locker, Sidestep, and Kids Foot Locker, including each of their related e-commerce businesses. Our Asia Pacific operating segment includes the results of Foot Locker and Kids Foot Locker operating in Australia, New Zealand, and Asia as well as their related e-commerce businesses. We further aggregated these operating segments into one reportable segment based upon their shared customer base and similar economic characteristics.</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3"/>
          <w:szCs w:val="13"/>
          <w:color w:val="auto"/>
        </w:rPr>
        <w:t>We evaluate performance based on several factors, of which the primary financial measure is the banner’s financial results referred to as division profit.</w:t>
      </w:r>
    </w:p>
    <w:p>
      <w:pPr>
        <w:ind w:left="20"/>
        <w:spacing w:after="0"/>
        <w:rPr>
          <w:sz w:val="20"/>
          <w:szCs w:val="20"/>
          <w:color w:val="auto"/>
        </w:rPr>
      </w:pPr>
      <w:r>
        <w:rPr>
          <w:rFonts w:ascii="Arial" w:cs="Arial" w:eastAsia="Arial" w:hAnsi="Arial"/>
          <w:sz w:val="13"/>
          <w:szCs w:val="13"/>
          <w:color w:val="auto"/>
        </w:rPr>
        <w:t>Division profit reflects income before income taxes, other charges, corporate expense, non-operating income, and net interest income.</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3440" w:type="dxa"/>
            <w:vAlign w:val="bottom"/>
            <w:gridSpan w:val="2"/>
          </w:tcPr>
          <w:p>
            <w:pPr>
              <w:spacing w:after="0"/>
              <w:rPr>
                <w:sz w:val="20"/>
                <w:szCs w:val="20"/>
                <w:color w:val="auto"/>
              </w:rPr>
            </w:pPr>
            <w:r>
              <w:rPr>
                <w:rFonts w:ascii="Arial" w:cs="Arial" w:eastAsia="Arial" w:hAnsi="Arial"/>
                <w:sz w:val="13"/>
                <w:szCs w:val="13"/>
                <w:color w:val="auto"/>
              </w:rPr>
              <w:t>The following table summarizes our results:</w:t>
            </w:r>
          </w:p>
        </w:tc>
        <w:tc>
          <w:tcPr>
            <w:tcW w:w="1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311"/>
        </w:trPr>
        <w:tc>
          <w:tcPr>
            <w:tcW w:w="3440" w:type="dxa"/>
            <w:vAlign w:val="bottom"/>
            <w:gridSpan w:val="2"/>
          </w:tcPr>
          <w:p>
            <w:pPr>
              <w:spacing w:after="0"/>
              <w:rPr>
                <w:sz w:val="20"/>
                <w:szCs w:val="20"/>
                <w:color w:val="auto"/>
              </w:rPr>
            </w:pPr>
            <w:r>
              <w:rPr>
                <w:rFonts w:ascii="Arial" w:cs="Arial" w:eastAsia="Arial" w:hAnsi="Arial"/>
                <w:sz w:val="13"/>
                <w:szCs w:val="13"/>
                <w:color w:val="auto"/>
              </w:rPr>
              <w:t>($ in millions)</w:t>
            </w:r>
          </w:p>
        </w:tc>
        <w:tc>
          <w:tcPr>
            <w:tcW w:w="1220" w:type="dxa"/>
            <w:vAlign w:val="bottom"/>
          </w:tcPr>
          <w:p>
            <w:pPr>
              <w:spacing w:after="0"/>
              <w:rPr>
                <w:sz w:val="24"/>
                <w:szCs w:val="24"/>
                <w:color w:val="auto"/>
              </w:rPr>
            </w:pPr>
          </w:p>
        </w:tc>
        <w:tc>
          <w:tcPr>
            <w:tcW w:w="1180" w:type="dxa"/>
            <w:vAlign w:val="bottom"/>
          </w:tcPr>
          <w:p>
            <w:pPr>
              <w:jc w:val="right"/>
              <w:ind w:right="595"/>
              <w:spacing w:after="0"/>
              <w:rPr>
                <w:sz w:val="20"/>
                <w:szCs w:val="20"/>
                <w:color w:val="auto"/>
              </w:rPr>
            </w:pPr>
            <w:r>
              <w:rPr>
                <w:rFonts w:ascii="Arial" w:cs="Arial" w:eastAsia="Arial" w:hAnsi="Arial"/>
                <w:sz w:val="13"/>
                <w:szCs w:val="13"/>
                <w:b w:val="1"/>
                <w:bCs w:val="1"/>
                <w:color w:val="auto"/>
              </w:rPr>
              <w:t>2020</w:t>
            </w:r>
          </w:p>
        </w:tc>
        <w:tc>
          <w:tcPr>
            <w:tcW w:w="420" w:type="dxa"/>
            <w:vAlign w:val="bottom"/>
          </w:tcPr>
          <w:p>
            <w:pPr>
              <w:spacing w:after="0"/>
              <w:rPr>
                <w:sz w:val="24"/>
                <w:szCs w:val="24"/>
                <w:color w:val="auto"/>
              </w:rPr>
            </w:pPr>
          </w:p>
        </w:tc>
        <w:tc>
          <w:tcPr>
            <w:tcW w:w="1160" w:type="dxa"/>
            <w:vAlign w:val="bottom"/>
          </w:tcPr>
          <w:p>
            <w:pPr>
              <w:jc w:val="right"/>
              <w:ind w:right="575"/>
              <w:spacing w:after="0"/>
              <w:rPr>
                <w:sz w:val="20"/>
                <w:szCs w:val="20"/>
                <w:color w:val="auto"/>
              </w:rPr>
            </w:pPr>
            <w:r>
              <w:rPr>
                <w:rFonts w:ascii="Arial" w:cs="Arial" w:eastAsia="Arial" w:hAnsi="Arial"/>
                <w:sz w:val="13"/>
                <w:szCs w:val="13"/>
                <w:color w:val="auto"/>
              </w:rPr>
              <w:t>2019</w:t>
            </w:r>
          </w:p>
        </w:tc>
        <w:tc>
          <w:tcPr>
            <w:tcW w:w="460" w:type="dxa"/>
            <w:vAlign w:val="bottom"/>
          </w:tcPr>
          <w:p>
            <w:pPr>
              <w:spacing w:after="0"/>
              <w:rPr>
                <w:sz w:val="24"/>
                <w:szCs w:val="24"/>
                <w:color w:val="auto"/>
              </w:rPr>
            </w:pPr>
          </w:p>
        </w:tc>
        <w:tc>
          <w:tcPr>
            <w:tcW w:w="1080" w:type="dxa"/>
            <w:vAlign w:val="bottom"/>
          </w:tcPr>
          <w:p>
            <w:pPr>
              <w:jc w:val="right"/>
              <w:ind w:right="475"/>
              <w:spacing w:after="0"/>
              <w:rPr>
                <w:sz w:val="20"/>
                <w:szCs w:val="20"/>
                <w:color w:val="auto"/>
              </w:rPr>
            </w:pPr>
            <w:r>
              <w:rPr>
                <w:rFonts w:ascii="Arial" w:cs="Arial" w:eastAsia="Arial" w:hAnsi="Arial"/>
                <w:sz w:val="13"/>
                <w:szCs w:val="13"/>
                <w:color w:val="auto"/>
              </w:rPr>
              <w:t>2018</w:t>
            </w:r>
          </w:p>
        </w:tc>
      </w:tr>
      <w:tr>
        <w:trPr>
          <w:trHeight w:val="134"/>
        </w:trPr>
        <w:tc>
          <w:tcPr>
            <w:tcW w:w="20" w:type="dxa"/>
            <w:vAlign w:val="bottom"/>
          </w:tcPr>
          <w:p>
            <w:pPr>
              <w:spacing w:after="0"/>
              <w:rPr>
                <w:sz w:val="11"/>
                <w:szCs w:val="11"/>
                <w:color w:val="auto"/>
              </w:rPr>
            </w:pPr>
          </w:p>
        </w:tc>
        <w:tc>
          <w:tcPr>
            <w:tcW w:w="3420" w:type="dxa"/>
            <w:vAlign w:val="bottom"/>
            <w:tcBorders>
              <w:top w:val="single" w:sz="8" w:color="auto"/>
            </w:tcBorders>
            <w:shd w:val="clear" w:color="auto" w:fill="CCEEFF"/>
          </w:tcPr>
          <w:p>
            <w:pPr>
              <w:spacing w:after="0" w:line="134" w:lineRule="exact"/>
              <w:rPr>
                <w:sz w:val="20"/>
                <w:szCs w:val="20"/>
                <w:color w:val="auto"/>
              </w:rPr>
            </w:pPr>
            <w:r>
              <w:rPr>
                <w:rFonts w:ascii="Arial" w:cs="Arial" w:eastAsia="Arial" w:hAnsi="Arial"/>
                <w:sz w:val="13"/>
                <w:szCs w:val="13"/>
                <w:color w:val="auto"/>
              </w:rPr>
              <w:t>Division profit</w:t>
            </w:r>
          </w:p>
        </w:tc>
        <w:tc>
          <w:tcPr>
            <w:tcW w:w="1220" w:type="dxa"/>
            <w:vAlign w:val="bottom"/>
            <w:tcBorders>
              <w:top w:val="single" w:sz="8" w:color="auto"/>
            </w:tcBorders>
            <w:shd w:val="clear" w:color="auto" w:fill="CCEEFF"/>
          </w:tcPr>
          <w:p>
            <w:pPr>
              <w:jc w:val="right"/>
              <w:ind w:right="155"/>
              <w:spacing w:after="0" w:line="134" w:lineRule="exact"/>
              <w:rPr>
                <w:sz w:val="20"/>
                <w:szCs w:val="20"/>
                <w:color w:val="auto"/>
              </w:rPr>
            </w:pPr>
            <w:r>
              <w:rPr>
                <w:rFonts w:ascii="Arial" w:cs="Arial" w:eastAsia="Arial" w:hAnsi="Arial"/>
                <w:sz w:val="13"/>
                <w:szCs w:val="13"/>
                <w:b w:val="1"/>
                <w:bCs w:val="1"/>
                <w:color w:val="auto"/>
              </w:rPr>
              <w:t>$</w:t>
            </w:r>
          </w:p>
        </w:tc>
        <w:tc>
          <w:tcPr>
            <w:tcW w:w="1180" w:type="dxa"/>
            <w:vAlign w:val="bottom"/>
            <w:tcBorders>
              <w:top w:val="single" w:sz="8" w:color="auto"/>
            </w:tcBorders>
            <w:shd w:val="clear" w:color="auto" w:fill="CCEEFF"/>
          </w:tcPr>
          <w:p>
            <w:pPr>
              <w:jc w:val="right"/>
              <w:ind w:right="95"/>
              <w:spacing w:after="0" w:line="134" w:lineRule="exact"/>
              <w:rPr>
                <w:sz w:val="20"/>
                <w:szCs w:val="20"/>
                <w:color w:val="auto"/>
              </w:rPr>
            </w:pPr>
            <w:r>
              <w:rPr>
                <w:rFonts w:ascii="Arial" w:cs="Arial" w:eastAsia="Arial" w:hAnsi="Arial"/>
                <w:sz w:val="13"/>
                <w:szCs w:val="13"/>
                <w:b w:val="1"/>
                <w:bCs w:val="1"/>
                <w:color w:val="auto"/>
              </w:rPr>
              <w:t>491</w:t>
            </w:r>
          </w:p>
        </w:tc>
        <w:tc>
          <w:tcPr>
            <w:tcW w:w="420" w:type="dxa"/>
            <w:vAlign w:val="bottom"/>
            <w:tcBorders>
              <w:top w:val="single" w:sz="8" w:color="auto"/>
            </w:tcBorders>
            <w:shd w:val="clear" w:color="auto" w:fill="CCEEFF"/>
          </w:tcPr>
          <w:p>
            <w:pPr>
              <w:jc w:val="right"/>
              <w:ind w:right="175"/>
              <w:spacing w:after="0" w:line="134" w:lineRule="exact"/>
              <w:rPr>
                <w:sz w:val="20"/>
                <w:szCs w:val="20"/>
                <w:color w:val="auto"/>
              </w:rPr>
            </w:pPr>
            <w:r>
              <w:rPr>
                <w:rFonts w:ascii="Arial" w:cs="Arial" w:eastAsia="Arial" w:hAnsi="Arial"/>
                <w:sz w:val="13"/>
                <w:szCs w:val="13"/>
                <w:color w:val="auto"/>
              </w:rPr>
              <w:t>$</w:t>
            </w:r>
          </w:p>
        </w:tc>
        <w:tc>
          <w:tcPr>
            <w:tcW w:w="1160" w:type="dxa"/>
            <w:vAlign w:val="bottom"/>
            <w:tcBorders>
              <w:top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color w:val="auto"/>
              </w:rPr>
              <w:t>788</w:t>
            </w:r>
          </w:p>
        </w:tc>
        <w:tc>
          <w:tcPr>
            <w:tcW w:w="460" w:type="dxa"/>
            <w:vAlign w:val="bottom"/>
            <w:tcBorders>
              <w:top w:val="single" w:sz="8" w:color="auto"/>
            </w:tcBorders>
            <w:shd w:val="clear" w:color="auto" w:fill="CCEEFF"/>
          </w:tcPr>
          <w:p>
            <w:pPr>
              <w:jc w:val="right"/>
              <w:ind w:right="155"/>
              <w:spacing w:after="0" w:line="134" w:lineRule="exact"/>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808</w:t>
            </w:r>
          </w:p>
        </w:tc>
      </w:tr>
      <w:tr>
        <w:trPr>
          <w:trHeight w:val="144"/>
        </w:trPr>
        <w:tc>
          <w:tcPr>
            <w:tcW w:w="20" w:type="dxa"/>
            <w:vAlign w:val="bottom"/>
          </w:tcPr>
          <w:p>
            <w:pPr>
              <w:spacing w:after="0"/>
              <w:rPr>
                <w:sz w:val="12"/>
                <w:szCs w:val="12"/>
                <w:color w:val="auto"/>
              </w:rPr>
            </w:pPr>
          </w:p>
        </w:tc>
        <w:tc>
          <w:tcPr>
            <w:tcW w:w="3420" w:type="dxa"/>
            <w:vAlign w:val="bottom"/>
          </w:tcPr>
          <w:p>
            <w:pPr>
              <w:spacing w:after="0" w:line="144" w:lineRule="exact"/>
              <w:rPr>
                <w:sz w:val="20"/>
                <w:szCs w:val="20"/>
                <w:color w:val="auto"/>
              </w:rPr>
            </w:pPr>
            <w:r>
              <w:rPr>
                <w:rFonts w:ascii="Arial" w:cs="Arial" w:eastAsia="Arial" w:hAnsi="Arial"/>
                <w:sz w:val="11"/>
                <w:szCs w:val="11"/>
                <w:color w:val="auto"/>
              </w:rPr>
              <w:t xml:space="preserve">Less: Impairment and other charges </w:t>
            </w:r>
            <w:r>
              <w:rPr>
                <w:rFonts w:ascii="Arial" w:cs="Arial" w:eastAsia="Arial" w:hAnsi="Arial"/>
                <w:sz w:val="16"/>
                <w:szCs w:val="16"/>
                <w:color w:val="auto"/>
                <w:vertAlign w:val="superscript"/>
              </w:rPr>
              <w:t>(1)</w:t>
            </w:r>
          </w:p>
        </w:tc>
        <w:tc>
          <w:tcPr>
            <w:tcW w:w="1220" w:type="dxa"/>
            <w:vAlign w:val="bottom"/>
          </w:tcPr>
          <w:p>
            <w:pPr>
              <w:spacing w:after="0"/>
              <w:rPr>
                <w:sz w:val="12"/>
                <w:szCs w:val="12"/>
                <w:color w:val="auto"/>
              </w:rPr>
            </w:pPr>
          </w:p>
        </w:tc>
        <w:tc>
          <w:tcPr>
            <w:tcW w:w="1180" w:type="dxa"/>
            <w:vAlign w:val="bottom"/>
          </w:tcPr>
          <w:p>
            <w:pPr>
              <w:jc w:val="right"/>
              <w:ind w:right="95"/>
              <w:spacing w:after="0" w:line="144" w:lineRule="exact"/>
              <w:rPr>
                <w:sz w:val="20"/>
                <w:szCs w:val="20"/>
                <w:color w:val="auto"/>
              </w:rPr>
            </w:pPr>
            <w:r>
              <w:rPr>
                <w:rFonts w:ascii="Arial" w:cs="Arial" w:eastAsia="Arial" w:hAnsi="Arial"/>
                <w:sz w:val="13"/>
                <w:szCs w:val="13"/>
                <w:b w:val="1"/>
                <w:bCs w:val="1"/>
                <w:color w:val="auto"/>
              </w:rPr>
              <w:t>117</w:t>
            </w:r>
          </w:p>
        </w:tc>
        <w:tc>
          <w:tcPr>
            <w:tcW w:w="420" w:type="dxa"/>
            <w:vAlign w:val="bottom"/>
          </w:tcPr>
          <w:p>
            <w:pPr>
              <w:spacing w:after="0"/>
              <w:rPr>
                <w:sz w:val="12"/>
                <w:szCs w:val="12"/>
                <w:color w:val="auto"/>
              </w:rPr>
            </w:pPr>
          </w:p>
        </w:tc>
        <w:tc>
          <w:tcPr>
            <w:tcW w:w="1160" w:type="dxa"/>
            <w:vAlign w:val="bottom"/>
          </w:tcPr>
          <w:p>
            <w:pPr>
              <w:jc w:val="right"/>
              <w:ind w:right="75"/>
              <w:spacing w:after="0" w:line="144" w:lineRule="exact"/>
              <w:rPr>
                <w:sz w:val="20"/>
                <w:szCs w:val="20"/>
                <w:color w:val="auto"/>
              </w:rPr>
            </w:pPr>
            <w:r>
              <w:rPr>
                <w:rFonts w:ascii="Arial" w:cs="Arial" w:eastAsia="Arial" w:hAnsi="Arial"/>
                <w:sz w:val="13"/>
                <w:szCs w:val="13"/>
                <w:color w:val="auto"/>
              </w:rPr>
              <w:t>65</w:t>
            </w:r>
          </w:p>
        </w:tc>
        <w:tc>
          <w:tcPr>
            <w:tcW w:w="460" w:type="dxa"/>
            <w:vAlign w:val="bottom"/>
          </w:tcPr>
          <w:p>
            <w:pPr>
              <w:spacing w:after="0"/>
              <w:rPr>
                <w:sz w:val="12"/>
                <w:szCs w:val="12"/>
                <w:color w:val="auto"/>
              </w:rPr>
            </w:pPr>
          </w:p>
        </w:tc>
        <w:tc>
          <w:tcPr>
            <w:tcW w:w="1080" w:type="dxa"/>
            <w:vAlign w:val="bottom"/>
          </w:tcPr>
          <w:p>
            <w:pPr>
              <w:jc w:val="right"/>
              <w:spacing w:after="0" w:line="144" w:lineRule="exact"/>
              <w:rPr>
                <w:sz w:val="20"/>
                <w:szCs w:val="20"/>
                <w:color w:val="auto"/>
              </w:rPr>
            </w:pPr>
            <w:r>
              <w:rPr>
                <w:rFonts w:ascii="Arial" w:cs="Arial" w:eastAsia="Arial" w:hAnsi="Arial"/>
                <w:sz w:val="13"/>
                <w:szCs w:val="13"/>
                <w:color w:val="auto"/>
              </w:rPr>
              <w:t>37</w:t>
            </w:r>
          </w:p>
        </w:tc>
      </w:tr>
      <w:tr>
        <w:trPr>
          <w:trHeight w:val="144"/>
        </w:trPr>
        <w:tc>
          <w:tcPr>
            <w:tcW w:w="20" w:type="dxa"/>
            <w:vAlign w:val="bottom"/>
          </w:tcPr>
          <w:p>
            <w:pPr>
              <w:spacing w:after="0"/>
              <w:rPr>
                <w:sz w:val="12"/>
                <w:szCs w:val="12"/>
                <w:color w:val="auto"/>
              </w:rPr>
            </w:pPr>
          </w:p>
        </w:tc>
        <w:tc>
          <w:tcPr>
            <w:tcW w:w="3420" w:type="dxa"/>
            <w:vAlign w:val="bottom"/>
            <w:tcBorders>
              <w:bottom w:val="single" w:sz="8" w:color="auto"/>
            </w:tcBorders>
            <w:shd w:val="clear" w:color="auto" w:fill="CCEEFF"/>
          </w:tcPr>
          <w:p>
            <w:pPr>
              <w:spacing w:after="0" w:line="144" w:lineRule="exact"/>
              <w:rPr>
                <w:sz w:val="20"/>
                <w:szCs w:val="20"/>
                <w:color w:val="auto"/>
              </w:rPr>
            </w:pPr>
            <w:r>
              <w:rPr>
                <w:rFonts w:ascii="Arial" w:cs="Arial" w:eastAsia="Arial" w:hAnsi="Arial"/>
                <w:sz w:val="11"/>
                <w:szCs w:val="11"/>
                <w:color w:val="auto"/>
              </w:rPr>
              <w:t xml:space="preserve">Less: Corporate expense </w:t>
            </w:r>
            <w:r>
              <w:rPr>
                <w:rFonts w:ascii="Arial" w:cs="Arial" w:eastAsia="Arial" w:hAnsi="Arial"/>
                <w:sz w:val="16"/>
                <w:szCs w:val="16"/>
                <w:color w:val="auto"/>
                <w:vertAlign w:val="superscript"/>
              </w:rPr>
              <w:t>(2)</w:t>
            </w:r>
          </w:p>
        </w:tc>
        <w:tc>
          <w:tcPr>
            <w:tcW w:w="122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ind w:right="95"/>
              <w:spacing w:after="0" w:line="144" w:lineRule="exact"/>
              <w:rPr>
                <w:sz w:val="20"/>
                <w:szCs w:val="20"/>
                <w:color w:val="auto"/>
              </w:rPr>
            </w:pPr>
            <w:r>
              <w:rPr>
                <w:rFonts w:ascii="Arial" w:cs="Arial" w:eastAsia="Arial" w:hAnsi="Arial"/>
                <w:sz w:val="13"/>
                <w:szCs w:val="13"/>
                <w:b w:val="1"/>
                <w:bCs w:val="1"/>
                <w:color w:val="auto"/>
              </w:rPr>
              <w:t>71</w:t>
            </w:r>
          </w:p>
        </w:tc>
        <w:tc>
          <w:tcPr>
            <w:tcW w:w="42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ind w:right="75"/>
              <w:spacing w:after="0" w:line="144" w:lineRule="exact"/>
              <w:rPr>
                <w:sz w:val="20"/>
                <w:szCs w:val="20"/>
                <w:color w:val="auto"/>
              </w:rPr>
            </w:pPr>
            <w:r>
              <w:rPr>
                <w:rFonts w:ascii="Arial" w:cs="Arial" w:eastAsia="Arial" w:hAnsi="Arial"/>
                <w:sz w:val="13"/>
                <w:szCs w:val="13"/>
                <w:color w:val="auto"/>
              </w:rPr>
              <w:t>74</w:t>
            </w:r>
          </w:p>
        </w:tc>
        <w:tc>
          <w:tcPr>
            <w:tcW w:w="46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72</w:t>
            </w:r>
          </w:p>
        </w:tc>
      </w:tr>
      <w:tr>
        <w:trPr>
          <w:trHeight w:val="134"/>
        </w:trPr>
        <w:tc>
          <w:tcPr>
            <w:tcW w:w="20" w:type="dxa"/>
            <w:vAlign w:val="bottom"/>
          </w:tcPr>
          <w:p>
            <w:pPr>
              <w:spacing w:after="0"/>
              <w:rPr>
                <w:sz w:val="11"/>
                <w:szCs w:val="11"/>
                <w:color w:val="auto"/>
              </w:rPr>
            </w:pPr>
          </w:p>
        </w:tc>
        <w:tc>
          <w:tcPr>
            <w:tcW w:w="3420" w:type="dxa"/>
            <w:vAlign w:val="bottom"/>
          </w:tcPr>
          <w:p>
            <w:pPr>
              <w:spacing w:after="0" w:line="134" w:lineRule="exact"/>
              <w:rPr>
                <w:sz w:val="20"/>
                <w:szCs w:val="20"/>
                <w:color w:val="auto"/>
              </w:rPr>
            </w:pPr>
            <w:r>
              <w:rPr>
                <w:rFonts w:ascii="Arial" w:cs="Arial" w:eastAsia="Arial" w:hAnsi="Arial"/>
                <w:sz w:val="13"/>
                <w:szCs w:val="13"/>
                <w:color w:val="auto"/>
              </w:rPr>
              <w:t>Income from operations</w:t>
            </w:r>
          </w:p>
        </w:tc>
        <w:tc>
          <w:tcPr>
            <w:tcW w:w="1220" w:type="dxa"/>
            <w:vAlign w:val="bottom"/>
          </w:tcPr>
          <w:p>
            <w:pPr>
              <w:spacing w:after="0"/>
              <w:rPr>
                <w:sz w:val="11"/>
                <w:szCs w:val="11"/>
                <w:color w:val="auto"/>
              </w:rPr>
            </w:pPr>
          </w:p>
        </w:tc>
        <w:tc>
          <w:tcPr>
            <w:tcW w:w="1180" w:type="dxa"/>
            <w:vAlign w:val="bottom"/>
          </w:tcPr>
          <w:p>
            <w:pPr>
              <w:jc w:val="right"/>
              <w:ind w:right="95"/>
              <w:spacing w:after="0" w:line="134" w:lineRule="exact"/>
              <w:rPr>
                <w:sz w:val="20"/>
                <w:szCs w:val="20"/>
                <w:color w:val="auto"/>
              </w:rPr>
            </w:pPr>
            <w:r>
              <w:rPr>
                <w:rFonts w:ascii="Arial" w:cs="Arial" w:eastAsia="Arial" w:hAnsi="Arial"/>
                <w:sz w:val="13"/>
                <w:szCs w:val="13"/>
                <w:b w:val="1"/>
                <w:bCs w:val="1"/>
                <w:color w:val="auto"/>
              </w:rPr>
              <w:t>303</w:t>
            </w:r>
          </w:p>
        </w:tc>
        <w:tc>
          <w:tcPr>
            <w:tcW w:w="420" w:type="dxa"/>
            <w:vAlign w:val="bottom"/>
          </w:tcPr>
          <w:p>
            <w:pPr>
              <w:spacing w:after="0"/>
              <w:rPr>
                <w:sz w:val="11"/>
                <w:szCs w:val="11"/>
                <w:color w:val="auto"/>
              </w:rPr>
            </w:pPr>
          </w:p>
        </w:tc>
        <w:tc>
          <w:tcPr>
            <w:tcW w:w="1160" w:type="dxa"/>
            <w:vAlign w:val="bottom"/>
          </w:tcPr>
          <w:p>
            <w:pPr>
              <w:jc w:val="right"/>
              <w:ind w:right="75"/>
              <w:spacing w:after="0" w:line="134" w:lineRule="exact"/>
              <w:rPr>
                <w:sz w:val="20"/>
                <w:szCs w:val="20"/>
                <w:color w:val="auto"/>
              </w:rPr>
            </w:pPr>
            <w:r>
              <w:rPr>
                <w:rFonts w:ascii="Arial" w:cs="Arial" w:eastAsia="Arial" w:hAnsi="Arial"/>
                <w:sz w:val="13"/>
                <w:szCs w:val="13"/>
                <w:color w:val="auto"/>
              </w:rPr>
              <w:t>649</w:t>
            </w:r>
          </w:p>
        </w:tc>
        <w:tc>
          <w:tcPr>
            <w:tcW w:w="460" w:type="dxa"/>
            <w:vAlign w:val="bottom"/>
          </w:tcPr>
          <w:p>
            <w:pPr>
              <w:spacing w:after="0"/>
              <w:rPr>
                <w:sz w:val="11"/>
                <w:szCs w:val="11"/>
                <w:color w:val="auto"/>
              </w:rPr>
            </w:pPr>
          </w:p>
        </w:tc>
        <w:tc>
          <w:tcPr>
            <w:tcW w:w="1080" w:type="dxa"/>
            <w:vAlign w:val="bottom"/>
          </w:tcPr>
          <w:p>
            <w:pPr>
              <w:jc w:val="right"/>
              <w:spacing w:after="0" w:line="134" w:lineRule="exact"/>
              <w:rPr>
                <w:sz w:val="20"/>
                <w:szCs w:val="20"/>
                <w:color w:val="auto"/>
              </w:rPr>
            </w:pPr>
            <w:r>
              <w:rPr>
                <w:rFonts w:ascii="Arial" w:cs="Arial" w:eastAsia="Arial" w:hAnsi="Arial"/>
                <w:sz w:val="13"/>
                <w:szCs w:val="13"/>
                <w:color w:val="auto"/>
              </w:rPr>
              <w:t>699</w:t>
            </w:r>
          </w:p>
        </w:tc>
      </w:tr>
      <w:tr>
        <w:trPr>
          <w:trHeight w:val="144"/>
        </w:trPr>
        <w:tc>
          <w:tcPr>
            <w:tcW w:w="20" w:type="dxa"/>
            <w:vAlign w:val="bottom"/>
          </w:tcPr>
          <w:p>
            <w:pPr>
              <w:spacing w:after="0"/>
              <w:rPr>
                <w:sz w:val="12"/>
                <w:szCs w:val="12"/>
                <w:color w:val="auto"/>
              </w:rPr>
            </w:pPr>
          </w:p>
        </w:tc>
        <w:tc>
          <w:tcPr>
            <w:tcW w:w="34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Interest (expense) income, net</w:t>
            </w:r>
          </w:p>
        </w:tc>
        <w:tc>
          <w:tcPr>
            <w:tcW w:w="122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b w:val="1"/>
                <w:bCs w:val="1"/>
                <w:color w:val="auto"/>
              </w:rPr>
              <w:t>(7)</w:t>
            </w:r>
          </w:p>
        </w:tc>
        <w:tc>
          <w:tcPr>
            <w:tcW w:w="42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color w:val="auto"/>
              </w:rPr>
              <w:t>11</w:t>
            </w:r>
          </w:p>
        </w:tc>
        <w:tc>
          <w:tcPr>
            <w:tcW w:w="4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9</w:t>
            </w:r>
          </w:p>
        </w:tc>
      </w:tr>
      <w:tr>
        <w:trPr>
          <w:trHeight w:val="144"/>
        </w:trPr>
        <w:tc>
          <w:tcPr>
            <w:tcW w:w="20" w:type="dxa"/>
            <w:vAlign w:val="bottom"/>
          </w:tcPr>
          <w:p>
            <w:pPr>
              <w:spacing w:after="0"/>
              <w:rPr>
                <w:sz w:val="12"/>
                <w:szCs w:val="12"/>
                <w:color w:val="auto"/>
              </w:rPr>
            </w:pPr>
          </w:p>
        </w:tc>
        <w:tc>
          <w:tcPr>
            <w:tcW w:w="342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color w:val="auto"/>
              </w:rPr>
              <w:t>Other income, net</w:t>
            </w:r>
          </w:p>
        </w:tc>
        <w:tc>
          <w:tcPr>
            <w:tcW w:w="12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95"/>
              <w:spacing w:after="0" w:line="144" w:lineRule="exact"/>
              <w:rPr>
                <w:sz w:val="20"/>
                <w:szCs w:val="20"/>
                <w:color w:val="auto"/>
              </w:rPr>
            </w:pPr>
            <w:r>
              <w:rPr>
                <w:rFonts w:ascii="Arial" w:cs="Arial" w:eastAsia="Arial" w:hAnsi="Arial"/>
                <w:sz w:val="13"/>
                <w:szCs w:val="13"/>
                <w:b w:val="1"/>
                <w:bCs w:val="1"/>
                <w:color w:val="auto"/>
              </w:rPr>
              <w:t>198</w:t>
            </w:r>
          </w:p>
        </w:tc>
        <w:tc>
          <w:tcPr>
            <w:tcW w:w="4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75"/>
              <w:spacing w:after="0" w:line="144" w:lineRule="exact"/>
              <w:rPr>
                <w:sz w:val="20"/>
                <w:szCs w:val="20"/>
                <w:color w:val="auto"/>
              </w:rPr>
            </w:pPr>
            <w:r>
              <w:rPr>
                <w:rFonts w:ascii="Arial" w:cs="Arial" w:eastAsia="Arial" w:hAnsi="Arial"/>
                <w:sz w:val="13"/>
                <w:szCs w:val="13"/>
                <w:color w:val="auto"/>
              </w:rPr>
              <w:t>12</w:t>
            </w:r>
          </w:p>
        </w:tc>
        <w:tc>
          <w:tcPr>
            <w:tcW w:w="4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5</w:t>
            </w:r>
          </w:p>
        </w:tc>
      </w:tr>
      <w:tr>
        <w:trPr>
          <w:trHeight w:val="134"/>
        </w:trPr>
        <w:tc>
          <w:tcPr>
            <w:tcW w:w="20" w:type="dxa"/>
            <w:vAlign w:val="bottom"/>
          </w:tcPr>
          <w:p>
            <w:pPr>
              <w:spacing w:after="0"/>
              <w:rPr>
                <w:sz w:val="11"/>
                <w:szCs w:val="11"/>
                <w:color w:val="auto"/>
              </w:rPr>
            </w:pPr>
          </w:p>
        </w:tc>
        <w:tc>
          <w:tcPr>
            <w:tcW w:w="3420" w:type="dxa"/>
            <w:vAlign w:val="bottom"/>
            <w:tcBorders>
              <w:bottom w:val="single" w:sz="8" w:color="auto"/>
            </w:tcBorders>
            <w:shd w:val="clear" w:color="auto" w:fill="CCEEFF"/>
          </w:tcPr>
          <w:p>
            <w:pPr>
              <w:spacing w:after="0" w:line="134" w:lineRule="exact"/>
              <w:rPr>
                <w:sz w:val="20"/>
                <w:szCs w:val="20"/>
                <w:color w:val="auto"/>
              </w:rPr>
            </w:pPr>
            <w:r>
              <w:rPr>
                <w:rFonts w:ascii="Arial" w:cs="Arial" w:eastAsia="Arial" w:hAnsi="Arial"/>
                <w:sz w:val="13"/>
                <w:szCs w:val="13"/>
                <w:color w:val="auto"/>
              </w:rPr>
              <w:t>Income before income taxes</w:t>
            </w:r>
          </w:p>
        </w:tc>
        <w:tc>
          <w:tcPr>
            <w:tcW w:w="1220" w:type="dxa"/>
            <w:vAlign w:val="bottom"/>
            <w:tcBorders>
              <w:bottom w:val="single" w:sz="8" w:color="auto"/>
            </w:tcBorders>
            <w:shd w:val="clear" w:color="auto" w:fill="CCEEFF"/>
          </w:tcPr>
          <w:p>
            <w:pPr>
              <w:jc w:val="right"/>
              <w:ind w:right="155"/>
              <w:spacing w:after="0" w:line="134" w:lineRule="exact"/>
              <w:rPr>
                <w:sz w:val="20"/>
                <w:szCs w:val="20"/>
                <w:color w:val="auto"/>
              </w:rPr>
            </w:pPr>
            <w:r>
              <w:rPr>
                <w:rFonts w:ascii="Arial" w:cs="Arial" w:eastAsia="Arial" w:hAnsi="Arial"/>
                <w:sz w:val="13"/>
                <w:szCs w:val="13"/>
                <w:b w:val="1"/>
                <w:bCs w:val="1"/>
                <w:color w:val="auto"/>
              </w:rPr>
              <w:t>$</w:t>
            </w:r>
          </w:p>
        </w:tc>
        <w:tc>
          <w:tcPr>
            <w:tcW w:w="1180" w:type="dxa"/>
            <w:vAlign w:val="bottom"/>
            <w:tcBorders>
              <w:bottom w:val="single" w:sz="8" w:color="auto"/>
            </w:tcBorders>
            <w:shd w:val="clear" w:color="auto" w:fill="CCEEFF"/>
          </w:tcPr>
          <w:p>
            <w:pPr>
              <w:jc w:val="right"/>
              <w:ind w:right="95"/>
              <w:spacing w:after="0" w:line="134" w:lineRule="exact"/>
              <w:rPr>
                <w:sz w:val="20"/>
                <w:szCs w:val="20"/>
                <w:color w:val="auto"/>
              </w:rPr>
            </w:pPr>
            <w:r>
              <w:rPr>
                <w:rFonts w:ascii="Arial" w:cs="Arial" w:eastAsia="Arial" w:hAnsi="Arial"/>
                <w:sz w:val="13"/>
                <w:szCs w:val="13"/>
                <w:b w:val="1"/>
                <w:bCs w:val="1"/>
                <w:color w:val="auto"/>
              </w:rPr>
              <w:t>494</w:t>
            </w:r>
          </w:p>
        </w:tc>
        <w:tc>
          <w:tcPr>
            <w:tcW w:w="420" w:type="dxa"/>
            <w:vAlign w:val="bottom"/>
            <w:tcBorders>
              <w:bottom w:val="single" w:sz="8" w:color="auto"/>
            </w:tcBorders>
            <w:shd w:val="clear" w:color="auto" w:fill="CCEEFF"/>
          </w:tcPr>
          <w:p>
            <w:pPr>
              <w:jc w:val="right"/>
              <w:ind w:right="175"/>
              <w:spacing w:after="0" w:line="134" w:lineRule="exact"/>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color w:val="auto"/>
              </w:rPr>
              <w:t>672</w:t>
            </w:r>
          </w:p>
        </w:tc>
        <w:tc>
          <w:tcPr>
            <w:tcW w:w="460" w:type="dxa"/>
            <w:vAlign w:val="bottom"/>
            <w:tcBorders>
              <w:bottom w:val="single" w:sz="8" w:color="auto"/>
            </w:tcBorders>
            <w:shd w:val="clear" w:color="auto" w:fill="CCEEFF"/>
          </w:tcPr>
          <w:p>
            <w:pPr>
              <w:jc w:val="right"/>
              <w:ind w:right="155"/>
              <w:spacing w:after="0" w:line="134" w:lineRule="exact"/>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713</w:t>
            </w:r>
          </w:p>
        </w:tc>
      </w:tr>
      <w:tr>
        <w:trPr>
          <w:trHeight w:val="20"/>
        </w:trPr>
        <w:tc>
          <w:tcPr>
            <w:tcW w:w="20" w:type="dxa"/>
            <w:vAlign w:val="bottom"/>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280" w:hanging="250"/>
        <w:spacing w:after="0"/>
        <w:tabs>
          <w:tab w:leader="none" w:pos="280" w:val="left"/>
        </w:tabs>
        <w:numPr>
          <w:ilvl w:val="0"/>
          <w:numId w:val="17"/>
        </w:numPr>
        <w:rPr>
          <w:rFonts w:ascii="Arial" w:cs="Arial" w:eastAsia="Arial" w:hAnsi="Arial"/>
          <w:sz w:val="10"/>
          <w:szCs w:val="10"/>
          <w:color w:val="auto"/>
        </w:rPr>
      </w:pPr>
      <w:r>
        <w:rPr>
          <w:rFonts w:ascii="Arial" w:cs="Arial" w:eastAsia="Arial" w:hAnsi="Arial"/>
          <w:sz w:val="10"/>
          <w:szCs w:val="10"/>
          <w:color w:val="auto"/>
        </w:rPr>
        <w:t xml:space="preserve">See Note 3, </w:t>
      </w:r>
      <w:r>
        <w:rPr>
          <w:rFonts w:ascii="Arial" w:cs="Arial" w:eastAsia="Arial" w:hAnsi="Arial"/>
          <w:sz w:val="10"/>
          <w:szCs w:val="10"/>
          <w:i w:val="1"/>
          <w:iCs w:val="1"/>
          <w:color w:val="auto"/>
        </w:rPr>
        <w:t>Impairment and Other Charges</w:t>
      </w:r>
      <w:r>
        <w:rPr>
          <w:rFonts w:ascii="Arial" w:cs="Arial" w:eastAsia="Arial" w:hAnsi="Arial"/>
          <w:sz w:val="10"/>
          <w:szCs w:val="10"/>
          <w:color w:val="auto"/>
        </w:rPr>
        <w:t xml:space="preserve"> for additional information on these amounts.</w:t>
      </w:r>
    </w:p>
    <w:p>
      <w:pPr>
        <w:spacing w:after="0" w:line="48" w:lineRule="exact"/>
        <w:rPr>
          <w:rFonts w:ascii="Arial" w:cs="Arial" w:eastAsia="Arial" w:hAnsi="Arial"/>
          <w:sz w:val="10"/>
          <w:szCs w:val="10"/>
          <w:color w:val="auto"/>
        </w:rPr>
      </w:pPr>
    </w:p>
    <w:p>
      <w:pPr>
        <w:ind w:left="280" w:right="59" w:hanging="250"/>
        <w:spacing w:after="0" w:line="251" w:lineRule="auto"/>
        <w:tabs>
          <w:tab w:leader="none" w:pos="280" w:val="left"/>
        </w:tabs>
        <w:numPr>
          <w:ilvl w:val="0"/>
          <w:numId w:val="17"/>
        </w:numPr>
        <w:rPr>
          <w:rFonts w:ascii="Arial" w:cs="Arial" w:eastAsia="Arial" w:hAnsi="Arial"/>
          <w:sz w:val="10"/>
          <w:szCs w:val="10"/>
          <w:color w:val="auto"/>
        </w:rPr>
      </w:pPr>
      <w:r>
        <w:rPr>
          <w:rFonts w:ascii="Arial" w:cs="Arial" w:eastAsia="Arial" w:hAnsi="Arial"/>
          <w:sz w:val="10"/>
          <w:szCs w:val="10"/>
          <w:color w:val="auto"/>
        </w:rPr>
        <w:t>Corporate expense for all years presented reflects the reallocation of expense between corporate and the operating divisions. Based upon annual internal studies of corporate expense, the allocation of such expenses to the operating divisions was increased by $28 million for 2020, $32 million for 2019, and $40 million for 2018, thereby reducing corporate expense.</w:t>
      </w:r>
    </w:p>
    <w:p>
      <w:pPr>
        <w:spacing w:after="0" w:line="145" w:lineRule="exact"/>
        <w:rPr>
          <w:sz w:val="20"/>
          <w:szCs w:val="20"/>
          <w:color w:val="auto"/>
        </w:rPr>
      </w:pPr>
    </w:p>
    <w:p>
      <w:pPr>
        <w:ind w:left="20" w:right="39"/>
        <w:spacing w:after="0"/>
        <w:rPr>
          <w:sz w:val="20"/>
          <w:szCs w:val="20"/>
          <w:color w:val="auto"/>
        </w:rPr>
      </w:pPr>
      <w:r>
        <w:rPr>
          <w:rFonts w:ascii="Arial" w:cs="Arial" w:eastAsia="Arial" w:hAnsi="Arial"/>
          <w:sz w:val="13"/>
          <w:szCs w:val="13"/>
          <w:color w:val="auto"/>
        </w:rPr>
        <w:t>Sales disaggregated based upon channel for the fiscal years ended January 30, 2021, February 1, 2020, and February 2, 2019 are presented in the following table.</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64"/>
        </w:trPr>
        <w:tc>
          <w:tcPr>
            <w:tcW w:w="280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 in millions)</w:t>
            </w:r>
          </w:p>
        </w:tc>
        <w:tc>
          <w:tcPr>
            <w:tcW w:w="19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5"/>
              <w:spacing w:after="0"/>
              <w:rPr>
                <w:sz w:val="20"/>
                <w:szCs w:val="20"/>
                <w:color w:val="auto"/>
              </w:rPr>
            </w:pPr>
            <w:r>
              <w:rPr>
                <w:rFonts w:ascii="Arial" w:cs="Arial" w:eastAsia="Arial" w:hAnsi="Arial"/>
                <w:sz w:val="13"/>
                <w:szCs w:val="13"/>
                <w:b w:val="1"/>
                <w:bCs w:val="1"/>
                <w:color w:val="auto"/>
              </w:rPr>
              <w:t>2020</w:t>
            </w:r>
          </w:p>
        </w:tc>
        <w:tc>
          <w:tcPr>
            <w:tcW w:w="4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5"/>
              <w:spacing w:after="0"/>
              <w:rPr>
                <w:sz w:val="20"/>
                <w:szCs w:val="20"/>
                <w:color w:val="auto"/>
              </w:rPr>
            </w:pPr>
            <w:r>
              <w:rPr>
                <w:rFonts w:ascii="Arial" w:cs="Arial" w:eastAsia="Arial" w:hAnsi="Arial"/>
                <w:sz w:val="13"/>
                <w:szCs w:val="13"/>
                <w:color w:val="auto"/>
              </w:rPr>
              <w:t>2019</w:t>
            </w:r>
          </w:p>
        </w:tc>
        <w:tc>
          <w:tcPr>
            <w:tcW w:w="4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3"/>
                <w:szCs w:val="13"/>
                <w:color w:val="auto"/>
              </w:rPr>
              <w:t>2018</w:t>
            </w:r>
          </w:p>
        </w:tc>
      </w:tr>
      <w:tr>
        <w:trPr>
          <w:trHeight w:val="134"/>
        </w:trPr>
        <w:tc>
          <w:tcPr>
            <w:tcW w:w="2800" w:type="dxa"/>
            <w:vAlign w:val="bottom"/>
            <w:gridSpan w:val="2"/>
          </w:tcPr>
          <w:p>
            <w:pPr>
              <w:spacing w:after="0" w:line="134" w:lineRule="exact"/>
              <w:rPr>
                <w:sz w:val="20"/>
                <w:szCs w:val="20"/>
                <w:color w:val="auto"/>
              </w:rPr>
            </w:pPr>
            <w:r>
              <w:rPr>
                <w:rFonts w:ascii="Arial" w:cs="Arial" w:eastAsia="Arial" w:hAnsi="Arial"/>
                <w:sz w:val="13"/>
                <w:szCs w:val="13"/>
                <w:b w:val="1"/>
                <w:bCs w:val="1"/>
                <w:color w:val="auto"/>
              </w:rPr>
              <w:t>Sales</w:t>
            </w:r>
          </w:p>
        </w:tc>
        <w:tc>
          <w:tcPr>
            <w:tcW w:w="19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27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Stores</w:t>
            </w:r>
          </w:p>
        </w:tc>
        <w:tc>
          <w:tcPr>
            <w:tcW w:w="1980" w:type="dxa"/>
            <w:vAlign w:val="bottom"/>
            <w:shd w:val="clear" w:color="auto" w:fill="CCEEFF"/>
          </w:tcPr>
          <w:p>
            <w:pPr>
              <w:jc w:val="right"/>
              <w:ind w:right="175"/>
              <w:spacing w:after="0" w:line="144" w:lineRule="exact"/>
              <w:rPr>
                <w:sz w:val="20"/>
                <w:szCs w:val="20"/>
                <w:color w:val="auto"/>
              </w:rPr>
            </w:pPr>
            <w:r>
              <w:rPr>
                <w:rFonts w:ascii="Arial" w:cs="Arial" w:eastAsia="Arial" w:hAnsi="Arial"/>
                <w:sz w:val="13"/>
                <w:szCs w:val="13"/>
                <w:b w:val="1"/>
                <w:bCs w:val="1"/>
                <w:color w:val="auto"/>
              </w:rPr>
              <w:t>$</w:t>
            </w:r>
          </w:p>
        </w:tc>
        <w:tc>
          <w:tcPr>
            <w:tcW w:w="112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b w:val="1"/>
                <w:bCs w:val="1"/>
                <w:color w:val="auto"/>
              </w:rPr>
              <w:t>5,447</w:t>
            </w:r>
          </w:p>
        </w:tc>
        <w:tc>
          <w:tcPr>
            <w:tcW w:w="440" w:type="dxa"/>
            <w:vAlign w:val="bottom"/>
            <w:shd w:val="clear" w:color="auto" w:fill="CCEEFF"/>
          </w:tcPr>
          <w:p>
            <w:pPr>
              <w:jc w:val="right"/>
              <w:ind w:right="155"/>
              <w:spacing w:after="0" w:line="144" w:lineRule="exact"/>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6,720</w:t>
            </w:r>
          </w:p>
        </w:tc>
        <w:tc>
          <w:tcPr>
            <w:tcW w:w="440" w:type="dxa"/>
            <w:vAlign w:val="bottom"/>
            <w:shd w:val="clear" w:color="auto" w:fill="CCEEFF"/>
          </w:tcPr>
          <w:p>
            <w:pPr>
              <w:jc w:val="right"/>
              <w:ind w:right="155"/>
              <w:spacing w:after="0" w:line="144" w:lineRule="exact"/>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6,714</w:t>
            </w:r>
          </w:p>
        </w:tc>
      </w:tr>
      <w:tr>
        <w:trPr>
          <w:trHeight w:val="144"/>
        </w:trPr>
        <w:tc>
          <w:tcPr>
            <w:tcW w:w="20" w:type="dxa"/>
            <w:vAlign w:val="bottom"/>
          </w:tcPr>
          <w:p>
            <w:pPr>
              <w:spacing w:after="0"/>
              <w:rPr>
                <w:sz w:val="12"/>
                <w:szCs w:val="12"/>
                <w:color w:val="auto"/>
              </w:rPr>
            </w:pPr>
          </w:p>
        </w:tc>
        <w:tc>
          <w:tcPr>
            <w:tcW w:w="278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color w:val="auto"/>
              </w:rPr>
              <w:t>Direct-to-customers</w:t>
            </w:r>
          </w:p>
        </w:tc>
        <w:tc>
          <w:tcPr>
            <w:tcW w:w="19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
              <w:spacing w:after="0" w:line="144" w:lineRule="exact"/>
              <w:rPr>
                <w:sz w:val="20"/>
                <w:szCs w:val="20"/>
                <w:color w:val="auto"/>
              </w:rPr>
            </w:pPr>
            <w:r>
              <w:rPr>
                <w:rFonts w:ascii="Arial" w:cs="Arial" w:eastAsia="Arial" w:hAnsi="Arial"/>
                <w:sz w:val="13"/>
                <w:szCs w:val="13"/>
                <w:b w:val="1"/>
                <w:bCs w:val="1"/>
                <w:color w:val="auto"/>
              </w:rPr>
              <w:t>2,101</w:t>
            </w:r>
          </w:p>
        </w:tc>
        <w:tc>
          <w:tcPr>
            <w:tcW w:w="4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
              <w:spacing w:after="0" w:line="144" w:lineRule="exact"/>
              <w:rPr>
                <w:sz w:val="20"/>
                <w:szCs w:val="20"/>
                <w:color w:val="auto"/>
              </w:rPr>
            </w:pPr>
            <w:r>
              <w:rPr>
                <w:rFonts w:ascii="Arial" w:cs="Arial" w:eastAsia="Arial" w:hAnsi="Arial"/>
                <w:sz w:val="13"/>
                <w:szCs w:val="13"/>
                <w:color w:val="auto"/>
              </w:rPr>
              <w:t>1,285</w:t>
            </w:r>
          </w:p>
        </w:tc>
        <w:tc>
          <w:tcPr>
            <w:tcW w:w="4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1,225</w:t>
            </w:r>
          </w:p>
        </w:tc>
      </w:tr>
      <w:tr>
        <w:trPr>
          <w:trHeight w:val="134"/>
        </w:trPr>
        <w:tc>
          <w:tcPr>
            <w:tcW w:w="20" w:type="dxa"/>
            <w:vAlign w:val="bottom"/>
          </w:tcPr>
          <w:p>
            <w:pPr>
              <w:spacing w:after="0"/>
              <w:rPr>
                <w:sz w:val="11"/>
                <w:szCs w:val="11"/>
                <w:color w:val="auto"/>
              </w:rPr>
            </w:pPr>
          </w:p>
        </w:tc>
        <w:tc>
          <w:tcPr>
            <w:tcW w:w="2780" w:type="dxa"/>
            <w:vAlign w:val="bottom"/>
            <w:tcBorders>
              <w:bottom w:val="single" w:sz="8" w:color="auto"/>
            </w:tcBorders>
            <w:shd w:val="clear" w:color="auto" w:fill="CCEEFF"/>
          </w:tcPr>
          <w:p>
            <w:pPr>
              <w:spacing w:after="0" w:line="134" w:lineRule="exact"/>
              <w:rPr>
                <w:sz w:val="20"/>
                <w:szCs w:val="20"/>
                <w:color w:val="auto"/>
              </w:rPr>
            </w:pPr>
            <w:r>
              <w:rPr>
                <w:rFonts w:ascii="Arial" w:cs="Arial" w:eastAsia="Arial" w:hAnsi="Arial"/>
                <w:sz w:val="13"/>
                <w:szCs w:val="13"/>
                <w:color w:val="auto"/>
              </w:rPr>
              <w:t>Total sales</w:t>
            </w:r>
          </w:p>
        </w:tc>
        <w:tc>
          <w:tcPr>
            <w:tcW w:w="1980" w:type="dxa"/>
            <w:vAlign w:val="bottom"/>
            <w:tcBorders>
              <w:bottom w:val="single" w:sz="8" w:color="auto"/>
            </w:tcBorders>
            <w:shd w:val="clear" w:color="auto" w:fill="CCEEFF"/>
          </w:tcPr>
          <w:p>
            <w:pPr>
              <w:jc w:val="right"/>
              <w:ind w:right="175"/>
              <w:spacing w:after="0" w:line="134" w:lineRule="exact"/>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auto"/>
            </w:tcBorders>
            <w:shd w:val="clear" w:color="auto" w:fill="CCEEFF"/>
          </w:tcPr>
          <w:p>
            <w:pPr>
              <w:jc w:val="right"/>
              <w:ind w:right="55"/>
              <w:spacing w:after="0" w:line="134" w:lineRule="exact"/>
              <w:rPr>
                <w:sz w:val="20"/>
                <w:szCs w:val="20"/>
                <w:color w:val="auto"/>
              </w:rPr>
            </w:pPr>
            <w:r>
              <w:rPr>
                <w:rFonts w:ascii="Arial" w:cs="Arial" w:eastAsia="Arial" w:hAnsi="Arial"/>
                <w:sz w:val="13"/>
                <w:szCs w:val="13"/>
                <w:b w:val="1"/>
                <w:bCs w:val="1"/>
                <w:color w:val="auto"/>
              </w:rPr>
              <w:t>7,548</w:t>
            </w:r>
          </w:p>
        </w:tc>
        <w:tc>
          <w:tcPr>
            <w:tcW w:w="440" w:type="dxa"/>
            <w:vAlign w:val="bottom"/>
            <w:tcBorders>
              <w:bottom w:val="single" w:sz="8" w:color="auto"/>
            </w:tcBorders>
            <w:shd w:val="clear" w:color="auto" w:fill="CCEEFF"/>
          </w:tcPr>
          <w:p>
            <w:pPr>
              <w:jc w:val="right"/>
              <w:ind w:right="155"/>
              <w:spacing w:after="0" w:line="134" w:lineRule="exact"/>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ind w:right="55"/>
              <w:spacing w:after="0" w:line="134" w:lineRule="exact"/>
              <w:rPr>
                <w:sz w:val="20"/>
                <w:szCs w:val="20"/>
                <w:color w:val="auto"/>
              </w:rPr>
            </w:pPr>
            <w:r>
              <w:rPr>
                <w:rFonts w:ascii="Arial" w:cs="Arial" w:eastAsia="Arial" w:hAnsi="Arial"/>
                <w:sz w:val="13"/>
                <w:szCs w:val="13"/>
                <w:color w:val="auto"/>
              </w:rPr>
              <w:t>8,005</w:t>
            </w:r>
          </w:p>
        </w:tc>
        <w:tc>
          <w:tcPr>
            <w:tcW w:w="440" w:type="dxa"/>
            <w:vAlign w:val="bottom"/>
            <w:tcBorders>
              <w:bottom w:val="single" w:sz="8" w:color="auto"/>
            </w:tcBorders>
            <w:shd w:val="clear" w:color="auto" w:fill="CCEEFF"/>
          </w:tcPr>
          <w:p>
            <w:pPr>
              <w:jc w:val="right"/>
              <w:ind w:right="155"/>
              <w:spacing w:after="0" w:line="134" w:lineRule="exact"/>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7,939</w:t>
            </w:r>
          </w:p>
        </w:tc>
      </w:tr>
      <w:tr>
        <w:trPr>
          <w:trHeight w:val="20"/>
        </w:trPr>
        <w:tc>
          <w:tcPr>
            <w:tcW w:w="20" w:type="dxa"/>
            <w:vAlign w:val="bottom"/>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65" w:lineRule="exact"/>
        <w:rPr>
          <w:sz w:val="20"/>
          <w:szCs w:val="20"/>
          <w:color w:val="auto"/>
        </w:rPr>
      </w:pPr>
    </w:p>
    <w:p>
      <w:pPr>
        <w:jc w:val="right"/>
        <w:ind w:right="39"/>
        <w:spacing w:after="0"/>
        <w:rPr>
          <w:sz w:val="20"/>
          <w:szCs w:val="20"/>
          <w:color w:val="auto"/>
        </w:rPr>
      </w:pPr>
      <w:r>
        <w:rPr>
          <w:rFonts w:ascii="Arial" w:cs="Arial" w:eastAsia="Arial" w:hAnsi="Arial"/>
          <w:sz w:val="13"/>
          <w:szCs w:val="13"/>
          <w:color w:val="auto"/>
        </w:rPr>
        <w:t>2020 Form 10-K Page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357505</wp:posOffset>
            </wp:positionV>
            <wp:extent cx="5680075" cy="196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80075" cy="19685"/>
                    </a:xfrm>
                    <a:prstGeom prst="rect">
                      <a:avLst/>
                    </a:prstGeom>
                    <a:noFill/>
                  </pic:spPr>
                </pic:pic>
              </a:graphicData>
            </a:graphic>
          </wp:anchor>
        </w:drawing>
      </w:r>
    </w:p>
    <w:p>
      <w:pPr>
        <w:sectPr>
          <w:pgSz w:w="11900" w:h="16838" w:orient="portrait"/>
          <w:cols w:equalWidth="0" w:num="1">
            <w:col w:w="9019"/>
          </w:cols>
          <w:pgMar w:left="1440" w:top="995" w:right="1440" w:bottom="1440" w:gutter="0" w:footer="0" w:header="0"/>
        </w:sectPr>
      </w:pPr>
    </w:p>
    <w:bookmarkStart w:id="52" w:name="page53"/>
    <w:bookmarkEnd w:id="52"/>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2992755</wp:posOffset>
            </wp:positionH>
            <wp:positionV relativeFrom="page">
              <wp:posOffset>375285</wp:posOffset>
            </wp:positionV>
            <wp:extent cx="1563370" cy="169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1563370" cy="169545"/>
                    </a:xfrm>
                    <a:prstGeom prst="rect">
                      <a:avLst/>
                    </a:prstGeom>
                    <a:noFill/>
                  </pic:spPr>
                </pic:pic>
              </a:graphicData>
            </a:graphic>
          </wp:anchor>
        </w:drawing>
        <w:t>NOTES TO CONSOLIDATED FINANCIAL STATEMENTS</w:t>
      </w:r>
    </w:p>
    <w:p>
      <w:pPr>
        <w:spacing w:after="0" w:line="159" w:lineRule="exact"/>
        <w:rPr>
          <w:sz w:val="20"/>
          <w:szCs w:val="20"/>
          <w:color w:val="auto"/>
        </w:rPr>
      </w:pPr>
    </w:p>
    <w:p>
      <w:pPr>
        <w:jc w:val="both"/>
        <w:ind w:left="20" w:right="39"/>
        <w:spacing w:after="0" w:line="236" w:lineRule="auto"/>
        <w:rPr>
          <w:sz w:val="20"/>
          <w:szCs w:val="20"/>
          <w:color w:val="auto"/>
        </w:rPr>
      </w:pPr>
      <w:r>
        <w:rPr>
          <w:rFonts w:ascii="Arial" w:cs="Arial" w:eastAsia="Arial" w:hAnsi="Arial"/>
          <w:sz w:val="13"/>
          <w:szCs w:val="13"/>
          <w:color w:val="auto"/>
        </w:rPr>
        <w:t>Sales and long-lived asset information by geographic area as of and for the fiscal years ended January 30, 2021, February 1, 2020, and February 2, 2019 are presented in the following tables. Sales are attributed to the country in which the sales transaction is fulfilled. Long-lived assets reflect property and equipment and lease right-of-use assets.</w:t>
      </w:r>
    </w:p>
    <w:p>
      <w:pPr>
        <w:spacing w:after="0" w:line="76" w:lineRule="exact"/>
        <w:rPr>
          <w:sz w:val="20"/>
          <w:szCs w:val="20"/>
          <w:color w:val="auto"/>
        </w:rPr>
      </w:pPr>
    </w:p>
    <w:tbl>
      <w:tblPr>
        <w:tblLayout w:type="fixed"/>
        <w:tblInd w:w="20" w:type="dxa"/>
        <w:tblCellMar>
          <w:top w:w="0" w:type="dxa"/>
          <w:left w:w="0" w:type="dxa"/>
          <w:bottom w:w="0" w:type="dxa"/>
          <w:right w:w="0" w:type="dxa"/>
        </w:tblCellMar>
      </w:tblPr>
      <w:tr>
        <w:trPr>
          <w:trHeight w:val="164"/>
        </w:trPr>
        <w:tc>
          <w:tcPr>
            <w:tcW w:w="288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 in millions)</w:t>
            </w:r>
          </w:p>
        </w:tc>
        <w:tc>
          <w:tcPr>
            <w:tcW w:w="19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55"/>
              <w:spacing w:after="0"/>
              <w:rPr>
                <w:sz w:val="20"/>
                <w:szCs w:val="20"/>
                <w:color w:val="auto"/>
              </w:rPr>
            </w:pPr>
            <w:r>
              <w:rPr>
                <w:rFonts w:ascii="Arial" w:cs="Arial" w:eastAsia="Arial" w:hAnsi="Arial"/>
                <w:sz w:val="13"/>
                <w:szCs w:val="13"/>
                <w:b w:val="1"/>
                <w:bCs w:val="1"/>
                <w:color w:val="auto"/>
              </w:rPr>
              <w:t>2020</w:t>
            </w:r>
          </w:p>
        </w:tc>
        <w:tc>
          <w:tcPr>
            <w:tcW w:w="4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5"/>
              <w:spacing w:after="0"/>
              <w:rPr>
                <w:sz w:val="20"/>
                <w:szCs w:val="20"/>
                <w:color w:val="auto"/>
              </w:rPr>
            </w:pPr>
            <w:r>
              <w:rPr>
                <w:rFonts w:ascii="Arial" w:cs="Arial" w:eastAsia="Arial" w:hAnsi="Arial"/>
                <w:sz w:val="13"/>
                <w:szCs w:val="13"/>
                <w:color w:val="auto"/>
              </w:rPr>
              <w:t>2019</w:t>
            </w:r>
          </w:p>
        </w:tc>
        <w:tc>
          <w:tcPr>
            <w:tcW w:w="4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3"/>
                <w:szCs w:val="13"/>
                <w:color w:val="auto"/>
              </w:rPr>
              <w:t>2018</w:t>
            </w:r>
          </w:p>
        </w:tc>
        <w:tc>
          <w:tcPr>
            <w:tcW w:w="0" w:type="dxa"/>
            <w:vAlign w:val="bottom"/>
          </w:tcPr>
          <w:p>
            <w:pPr>
              <w:spacing w:after="0"/>
              <w:rPr>
                <w:sz w:val="1"/>
                <w:szCs w:val="1"/>
                <w:color w:val="auto"/>
              </w:rPr>
            </w:pPr>
          </w:p>
        </w:tc>
      </w:tr>
      <w:tr>
        <w:trPr>
          <w:trHeight w:val="134"/>
        </w:trPr>
        <w:tc>
          <w:tcPr>
            <w:tcW w:w="2880" w:type="dxa"/>
            <w:vAlign w:val="bottom"/>
            <w:gridSpan w:val="2"/>
          </w:tcPr>
          <w:p>
            <w:pPr>
              <w:spacing w:after="0" w:line="134" w:lineRule="exact"/>
              <w:rPr>
                <w:sz w:val="20"/>
                <w:szCs w:val="20"/>
                <w:color w:val="auto"/>
              </w:rPr>
            </w:pPr>
            <w:r>
              <w:rPr>
                <w:rFonts w:ascii="Arial" w:cs="Arial" w:eastAsia="Arial" w:hAnsi="Arial"/>
                <w:sz w:val="13"/>
                <w:szCs w:val="13"/>
                <w:b w:val="1"/>
                <w:bCs w:val="1"/>
                <w:color w:val="auto"/>
              </w:rPr>
              <w:t>Sales by Geography</w:t>
            </w: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United States</w:t>
            </w:r>
          </w:p>
        </w:tc>
        <w:tc>
          <w:tcPr>
            <w:tcW w:w="1900" w:type="dxa"/>
            <w:vAlign w:val="bottom"/>
            <w:shd w:val="clear" w:color="auto" w:fill="CCEEFF"/>
          </w:tcPr>
          <w:p>
            <w:pPr>
              <w:jc w:val="right"/>
              <w:ind w:right="175"/>
              <w:spacing w:after="0" w:line="144" w:lineRule="exact"/>
              <w:rPr>
                <w:sz w:val="20"/>
                <w:szCs w:val="20"/>
                <w:color w:val="auto"/>
              </w:rPr>
            </w:pPr>
            <w:r>
              <w:rPr>
                <w:rFonts w:ascii="Arial" w:cs="Arial" w:eastAsia="Arial" w:hAnsi="Arial"/>
                <w:sz w:val="13"/>
                <w:szCs w:val="13"/>
                <w:b w:val="1"/>
                <w:bCs w:val="1"/>
                <w:color w:val="auto"/>
              </w:rPr>
              <w:t>$</w:t>
            </w:r>
          </w:p>
        </w:tc>
        <w:tc>
          <w:tcPr>
            <w:tcW w:w="112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b w:val="1"/>
                <w:bCs w:val="1"/>
                <w:color w:val="auto"/>
              </w:rPr>
              <w:t>5,581</w:t>
            </w:r>
          </w:p>
        </w:tc>
        <w:tc>
          <w:tcPr>
            <w:tcW w:w="440" w:type="dxa"/>
            <w:vAlign w:val="bottom"/>
            <w:shd w:val="clear" w:color="auto" w:fill="CCEEFF"/>
          </w:tcPr>
          <w:p>
            <w:pPr>
              <w:jc w:val="right"/>
              <w:ind w:right="155"/>
              <w:spacing w:after="0" w:line="144" w:lineRule="exact"/>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5,691</w:t>
            </w:r>
          </w:p>
        </w:tc>
        <w:tc>
          <w:tcPr>
            <w:tcW w:w="440" w:type="dxa"/>
            <w:vAlign w:val="bottom"/>
            <w:shd w:val="clear" w:color="auto" w:fill="CCEEFF"/>
          </w:tcPr>
          <w:p>
            <w:pPr>
              <w:jc w:val="right"/>
              <w:ind w:right="155"/>
              <w:spacing w:after="0" w:line="144" w:lineRule="exact"/>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5,647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6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color w:val="auto"/>
              </w:rPr>
              <w:t>International</w:t>
            </w:r>
          </w:p>
        </w:tc>
        <w:tc>
          <w:tcPr>
            <w:tcW w:w="19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5"/>
              <w:spacing w:after="0" w:line="144" w:lineRule="exact"/>
              <w:rPr>
                <w:sz w:val="20"/>
                <w:szCs w:val="20"/>
                <w:color w:val="auto"/>
              </w:rPr>
            </w:pPr>
            <w:r>
              <w:rPr>
                <w:rFonts w:ascii="Arial" w:cs="Arial" w:eastAsia="Arial" w:hAnsi="Arial"/>
                <w:sz w:val="13"/>
                <w:szCs w:val="13"/>
                <w:b w:val="1"/>
                <w:bCs w:val="1"/>
                <w:color w:val="auto"/>
              </w:rPr>
              <w:t>1,967</w:t>
            </w:r>
          </w:p>
        </w:tc>
        <w:tc>
          <w:tcPr>
            <w:tcW w:w="4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
              <w:spacing w:after="0" w:line="144" w:lineRule="exact"/>
              <w:rPr>
                <w:sz w:val="20"/>
                <w:szCs w:val="20"/>
                <w:color w:val="auto"/>
              </w:rPr>
            </w:pPr>
            <w:r>
              <w:rPr>
                <w:rFonts w:ascii="Arial" w:cs="Arial" w:eastAsia="Arial" w:hAnsi="Arial"/>
                <w:sz w:val="13"/>
                <w:szCs w:val="13"/>
                <w:color w:val="auto"/>
              </w:rPr>
              <w:t>2,314</w:t>
            </w:r>
          </w:p>
        </w:tc>
        <w:tc>
          <w:tcPr>
            <w:tcW w:w="4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2,292</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860" w:type="dxa"/>
            <w:vAlign w:val="bottom"/>
            <w:tcBorders>
              <w:bottom w:val="single" w:sz="8" w:color="auto"/>
            </w:tcBorders>
            <w:shd w:val="clear" w:color="auto" w:fill="CCEEFF"/>
          </w:tcPr>
          <w:p>
            <w:pPr>
              <w:spacing w:after="0" w:line="134" w:lineRule="exact"/>
              <w:rPr>
                <w:sz w:val="20"/>
                <w:szCs w:val="20"/>
                <w:color w:val="auto"/>
              </w:rPr>
            </w:pPr>
            <w:r>
              <w:rPr>
                <w:rFonts w:ascii="Arial" w:cs="Arial" w:eastAsia="Arial" w:hAnsi="Arial"/>
                <w:sz w:val="13"/>
                <w:szCs w:val="13"/>
                <w:color w:val="auto"/>
              </w:rPr>
              <w:t>Total sales</w:t>
            </w:r>
          </w:p>
        </w:tc>
        <w:tc>
          <w:tcPr>
            <w:tcW w:w="1900" w:type="dxa"/>
            <w:vAlign w:val="bottom"/>
            <w:tcBorders>
              <w:bottom w:val="single" w:sz="8" w:color="auto"/>
            </w:tcBorders>
            <w:shd w:val="clear" w:color="auto" w:fill="CCEEFF"/>
          </w:tcPr>
          <w:p>
            <w:pPr>
              <w:jc w:val="right"/>
              <w:ind w:right="175"/>
              <w:spacing w:after="0" w:line="134" w:lineRule="exact"/>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auto"/>
            </w:tcBorders>
            <w:shd w:val="clear" w:color="auto" w:fill="CCEEFF"/>
          </w:tcPr>
          <w:p>
            <w:pPr>
              <w:jc w:val="right"/>
              <w:ind w:right="55"/>
              <w:spacing w:after="0" w:line="134" w:lineRule="exact"/>
              <w:rPr>
                <w:sz w:val="20"/>
                <w:szCs w:val="20"/>
                <w:color w:val="auto"/>
              </w:rPr>
            </w:pPr>
            <w:r>
              <w:rPr>
                <w:rFonts w:ascii="Arial" w:cs="Arial" w:eastAsia="Arial" w:hAnsi="Arial"/>
                <w:sz w:val="13"/>
                <w:szCs w:val="13"/>
                <w:b w:val="1"/>
                <w:bCs w:val="1"/>
                <w:color w:val="auto"/>
              </w:rPr>
              <w:t>7,548</w:t>
            </w:r>
          </w:p>
        </w:tc>
        <w:tc>
          <w:tcPr>
            <w:tcW w:w="440" w:type="dxa"/>
            <w:vAlign w:val="bottom"/>
            <w:tcBorders>
              <w:bottom w:val="single" w:sz="8" w:color="auto"/>
            </w:tcBorders>
            <w:shd w:val="clear" w:color="auto" w:fill="CCEEFF"/>
          </w:tcPr>
          <w:p>
            <w:pPr>
              <w:jc w:val="right"/>
              <w:ind w:right="155"/>
              <w:spacing w:after="0" w:line="134" w:lineRule="exact"/>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ind w:right="55"/>
              <w:spacing w:after="0" w:line="134" w:lineRule="exact"/>
              <w:rPr>
                <w:sz w:val="20"/>
                <w:szCs w:val="20"/>
                <w:color w:val="auto"/>
              </w:rPr>
            </w:pPr>
            <w:r>
              <w:rPr>
                <w:rFonts w:ascii="Arial" w:cs="Arial" w:eastAsia="Arial" w:hAnsi="Arial"/>
                <w:sz w:val="13"/>
                <w:szCs w:val="13"/>
                <w:color w:val="auto"/>
              </w:rPr>
              <w:t>8,005</w:t>
            </w:r>
          </w:p>
        </w:tc>
        <w:tc>
          <w:tcPr>
            <w:tcW w:w="440" w:type="dxa"/>
            <w:vAlign w:val="bottom"/>
            <w:tcBorders>
              <w:bottom w:val="single" w:sz="8" w:color="auto"/>
            </w:tcBorders>
            <w:shd w:val="clear" w:color="auto" w:fill="CCEEFF"/>
          </w:tcPr>
          <w:p>
            <w:pPr>
              <w:jc w:val="right"/>
              <w:ind w:right="155"/>
              <w:spacing w:after="0" w:line="134" w:lineRule="exact"/>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7,939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vMerge w:val="restart"/>
          </w:tcPr>
          <w:p>
            <w:pPr>
              <w:spacing w:after="0"/>
              <w:rPr>
                <w:sz w:val="9"/>
                <w:szCs w:val="9"/>
                <w:color w:val="auto"/>
              </w:rPr>
            </w:pPr>
          </w:p>
        </w:tc>
        <w:tc>
          <w:tcPr>
            <w:tcW w:w="28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860" w:type="dxa"/>
            <w:vAlign w:val="bottom"/>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Long-Lived Assets</w:t>
            </w:r>
          </w:p>
        </w:tc>
        <w:tc>
          <w:tcPr>
            <w:tcW w:w="19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60" w:type="dxa"/>
            <w:vAlign w:val="bottom"/>
          </w:tcPr>
          <w:p>
            <w:pPr>
              <w:spacing w:after="0" w:line="144" w:lineRule="exact"/>
              <w:rPr>
                <w:sz w:val="20"/>
                <w:szCs w:val="20"/>
                <w:color w:val="auto"/>
              </w:rPr>
            </w:pPr>
            <w:r>
              <w:rPr>
                <w:rFonts w:ascii="Arial" w:cs="Arial" w:eastAsia="Arial" w:hAnsi="Arial"/>
                <w:sz w:val="13"/>
                <w:szCs w:val="13"/>
                <w:color w:val="auto"/>
              </w:rPr>
              <w:t>United States</w:t>
            </w:r>
          </w:p>
        </w:tc>
        <w:tc>
          <w:tcPr>
            <w:tcW w:w="1900" w:type="dxa"/>
            <w:vAlign w:val="bottom"/>
          </w:tcPr>
          <w:p>
            <w:pPr>
              <w:jc w:val="right"/>
              <w:ind w:right="175"/>
              <w:spacing w:after="0" w:line="144" w:lineRule="exact"/>
              <w:rPr>
                <w:sz w:val="20"/>
                <w:szCs w:val="20"/>
                <w:color w:val="auto"/>
              </w:rPr>
            </w:pPr>
            <w:r>
              <w:rPr>
                <w:rFonts w:ascii="Arial" w:cs="Arial" w:eastAsia="Arial" w:hAnsi="Arial"/>
                <w:sz w:val="13"/>
                <w:szCs w:val="13"/>
                <w:b w:val="1"/>
                <w:bCs w:val="1"/>
                <w:color w:val="auto"/>
              </w:rPr>
              <w:t>$</w:t>
            </w:r>
          </w:p>
        </w:tc>
        <w:tc>
          <w:tcPr>
            <w:tcW w:w="1120" w:type="dxa"/>
            <w:vAlign w:val="bottom"/>
          </w:tcPr>
          <w:p>
            <w:pPr>
              <w:jc w:val="right"/>
              <w:ind w:right="55"/>
              <w:spacing w:after="0" w:line="144" w:lineRule="exact"/>
              <w:rPr>
                <w:sz w:val="20"/>
                <w:szCs w:val="20"/>
                <w:color w:val="auto"/>
              </w:rPr>
            </w:pPr>
            <w:r>
              <w:rPr>
                <w:rFonts w:ascii="Arial" w:cs="Arial" w:eastAsia="Arial" w:hAnsi="Arial"/>
                <w:sz w:val="13"/>
                <w:szCs w:val="13"/>
                <w:b w:val="1"/>
                <w:bCs w:val="1"/>
                <w:color w:val="auto"/>
              </w:rPr>
              <w:t>2,218</w:t>
            </w:r>
          </w:p>
        </w:tc>
        <w:tc>
          <w:tcPr>
            <w:tcW w:w="440" w:type="dxa"/>
            <w:vAlign w:val="bottom"/>
          </w:tcPr>
          <w:p>
            <w:pPr>
              <w:jc w:val="right"/>
              <w:ind w:right="155"/>
              <w:spacing w:after="0" w:line="144"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55"/>
              <w:spacing w:after="0" w:line="144" w:lineRule="exact"/>
              <w:rPr>
                <w:sz w:val="20"/>
                <w:szCs w:val="20"/>
                <w:color w:val="auto"/>
              </w:rPr>
            </w:pPr>
            <w:r>
              <w:rPr>
                <w:rFonts w:ascii="Arial" w:cs="Arial" w:eastAsia="Arial" w:hAnsi="Arial"/>
                <w:sz w:val="13"/>
                <w:szCs w:val="13"/>
                <w:color w:val="auto"/>
              </w:rPr>
              <w:t>2,479</w:t>
            </w:r>
          </w:p>
        </w:tc>
        <w:tc>
          <w:tcPr>
            <w:tcW w:w="440" w:type="dxa"/>
            <w:vAlign w:val="bottom"/>
          </w:tcPr>
          <w:p>
            <w:pPr>
              <w:jc w:val="right"/>
              <w:ind w:right="155"/>
              <w:spacing w:after="0" w:line="144" w:lineRule="exact"/>
              <w:rPr>
                <w:sz w:val="20"/>
                <w:szCs w:val="20"/>
                <w:color w:val="auto"/>
              </w:rPr>
            </w:pPr>
            <w:r>
              <w:rPr>
                <w:rFonts w:ascii="Arial" w:cs="Arial" w:eastAsia="Arial" w:hAnsi="Arial"/>
                <w:sz w:val="13"/>
                <w:szCs w:val="13"/>
                <w:color w:val="auto"/>
              </w:rPr>
              <w:t>$</w:t>
            </w:r>
          </w:p>
        </w:tc>
        <w:tc>
          <w:tcPr>
            <w:tcW w:w="1040" w:type="dxa"/>
            <w:vAlign w:val="bottom"/>
          </w:tcPr>
          <w:p>
            <w:pPr>
              <w:jc w:val="right"/>
              <w:spacing w:after="0" w:line="144" w:lineRule="exact"/>
              <w:rPr>
                <w:sz w:val="20"/>
                <w:szCs w:val="20"/>
                <w:color w:val="auto"/>
              </w:rPr>
            </w:pPr>
            <w:r>
              <w:rPr>
                <w:rFonts w:ascii="Arial" w:cs="Arial" w:eastAsia="Arial" w:hAnsi="Arial"/>
                <w:sz w:val="13"/>
                <w:szCs w:val="13"/>
                <w:color w:val="auto"/>
              </w:rPr>
              <w:t>602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860" w:type="dxa"/>
            <w:vAlign w:val="bottom"/>
            <w:tcBorders>
              <w:bottom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rPr>
              <w:t>International</w:t>
            </w:r>
          </w:p>
        </w:tc>
        <w:tc>
          <w:tcPr>
            <w:tcW w:w="19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55"/>
              <w:spacing w:after="0" w:line="144" w:lineRule="exact"/>
              <w:rPr>
                <w:sz w:val="20"/>
                <w:szCs w:val="20"/>
                <w:color w:val="auto"/>
              </w:rPr>
            </w:pPr>
            <w:r>
              <w:rPr>
                <w:rFonts w:ascii="Arial" w:cs="Arial" w:eastAsia="Arial" w:hAnsi="Arial"/>
                <w:sz w:val="13"/>
                <w:szCs w:val="13"/>
                <w:b w:val="1"/>
                <w:bCs w:val="1"/>
                <w:color w:val="auto"/>
              </w:rPr>
              <w:t>1,286</w:t>
            </w:r>
          </w:p>
        </w:tc>
        <w:tc>
          <w:tcPr>
            <w:tcW w:w="44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1,244</w:t>
            </w:r>
          </w:p>
        </w:tc>
        <w:tc>
          <w:tcPr>
            <w:tcW w:w="440" w:type="dxa"/>
            <w:vAlign w:val="bottom"/>
            <w:tcBorders>
              <w:bottom w:val="single" w:sz="8" w:color="auto"/>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234</w:t>
            </w:r>
          </w:p>
        </w:tc>
        <w:tc>
          <w:tcPr>
            <w:tcW w:w="0" w:type="dxa"/>
            <w:vAlign w:val="bottom"/>
          </w:tcPr>
          <w:p>
            <w:pPr>
              <w:spacing w:after="0"/>
              <w:rPr>
                <w:sz w:val="1"/>
                <w:szCs w:val="1"/>
                <w:color w:val="auto"/>
              </w:rPr>
            </w:pPr>
          </w:p>
        </w:tc>
      </w:tr>
      <w:tr>
        <w:trPr>
          <w:trHeight w:val="134"/>
        </w:trPr>
        <w:tc>
          <w:tcPr>
            <w:tcW w:w="20" w:type="dxa"/>
            <w:vAlign w:val="bottom"/>
            <w:tcBorders>
              <w:bottom w:val="single" w:sz="8" w:color="auto"/>
            </w:tcBorders>
          </w:tcPr>
          <w:p>
            <w:pPr>
              <w:spacing w:after="0"/>
              <w:rPr>
                <w:sz w:val="11"/>
                <w:szCs w:val="11"/>
                <w:color w:val="auto"/>
              </w:rPr>
            </w:pPr>
          </w:p>
        </w:tc>
        <w:tc>
          <w:tcPr>
            <w:tcW w:w="2860" w:type="dxa"/>
            <w:vAlign w:val="bottom"/>
            <w:tcBorders>
              <w:bottom w:val="single" w:sz="8" w:color="auto"/>
            </w:tcBorders>
          </w:tcPr>
          <w:p>
            <w:pPr>
              <w:spacing w:after="0" w:line="134" w:lineRule="exact"/>
              <w:rPr>
                <w:sz w:val="20"/>
                <w:szCs w:val="20"/>
                <w:color w:val="auto"/>
              </w:rPr>
            </w:pPr>
            <w:r>
              <w:rPr>
                <w:rFonts w:ascii="Arial" w:cs="Arial" w:eastAsia="Arial" w:hAnsi="Arial"/>
                <w:sz w:val="13"/>
                <w:szCs w:val="13"/>
                <w:color w:val="auto"/>
              </w:rPr>
              <w:t>Total long-lived assets</w:t>
            </w:r>
          </w:p>
        </w:tc>
        <w:tc>
          <w:tcPr>
            <w:tcW w:w="1900" w:type="dxa"/>
            <w:vAlign w:val="bottom"/>
            <w:tcBorders>
              <w:bottom w:val="single" w:sz="8" w:color="auto"/>
            </w:tcBorders>
          </w:tcPr>
          <w:p>
            <w:pPr>
              <w:jc w:val="right"/>
              <w:ind w:right="175"/>
              <w:spacing w:after="0" w:line="134" w:lineRule="exact"/>
              <w:rPr>
                <w:sz w:val="20"/>
                <w:szCs w:val="20"/>
                <w:color w:val="auto"/>
              </w:rPr>
            </w:pPr>
            <w:r>
              <w:rPr>
                <w:rFonts w:ascii="Arial" w:cs="Arial" w:eastAsia="Arial" w:hAnsi="Arial"/>
                <w:sz w:val="13"/>
                <w:szCs w:val="13"/>
                <w:b w:val="1"/>
                <w:bCs w:val="1"/>
                <w:color w:val="auto"/>
              </w:rPr>
              <w:t>$</w:t>
            </w:r>
          </w:p>
        </w:tc>
        <w:tc>
          <w:tcPr>
            <w:tcW w:w="1120" w:type="dxa"/>
            <w:vAlign w:val="bottom"/>
            <w:tcBorders>
              <w:bottom w:val="single" w:sz="8" w:color="auto"/>
            </w:tcBorders>
          </w:tcPr>
          <w:p>
            <w:pPr>
              <w:jc w:val="right"/>
              <w:ind w:right="55"/>
              <w:spacing w:after="0" w:line="134" w:lineRule="exact"/>
              <w:rPr>
                <w:sz w:val="20"/>
                <w:szCs w:val="20"/>
                <w:color w:val="auto"/>
              </w:rPr>
            </w:pPr>
            <w:r>
              <w:rPr>
                <w:rFonts w:ascii="Arial" w:cs="Arial" w:eastAsia="Arial" w:hAnsi="Arial"/>
                <w:sz w:val="13"/>
                <w:szCs w:val="13"/>
                <w:b w:val="1"/>
                <w:bCs w:val="1"/>
                <w:color w:val="auto"/>
              </w:rPr>
              <w:t>3,504</w:t>
            </w:r>
          </w:p>
        </w:tc>
        <w:tc>
          <w:tcPr>
            <w:tcW w:w="440" w:type="dxa"/>
            <w:vAlign w:val="bottom"/>
            <w:tcBorders>
              <w:bottom w:val="single" w:sz="8" w:color="auto"/>
            </w:tcBorders>
          </w:tcPr>
          <w:p>
            <w:pPr>
              <w:jc w:val="right"/>
              <w:ind w:right="155"/>
              <w:spacing w:after="0" w:line="134" w:lineRule="exact"/>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tcPr>
          <w:p>
            <w:pPr>
              <w:jc w:val="right"/>
              <w:ind w:right="55"/>
              <w:spacing w:after="0" w:line="134" w:lineRule="exact"/>
              <w:rPr>
                <w:sz w:val="20"/>
                <w:szCs w:val="20"/>
                <w:color w:val="auto"/>
              </w:rPr>
            </w:pPr>
            <w:r>
              <w:rPr>
                <w:rFonts w:ascii="Arial" w:cs="Arial" w:eastAsia="Arial" w:hAnsi="Arial"/>
                <w:sz w:val="13"/>
                <w:szCs w:val="13"/>
                <w:color w:val="auto"/>
              </w:rPr>
              <w:t>3,723</w:t>
            </w:r>
          </w:p>
        </w:tc>
        <w:tc>
          <w:tcPr>
            <w:tcW w:w="440" w:type="dxa"/>
            <w:vAlign w:val="bottom"/>
            <w:tcBorders>
              <w:bottom w:val="single" w:sz="8" w:color="auto"/>
            </w:tcBorders>
          </w:tcPr>
          <w:p>
            <w:pPr>
              <w:jc w:val="right"/>
              <w:ind w:right="155"/>
              <w:spacing w:after="0" w:line="134" w:lineRule="exact"/>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836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both"/>
        <w:ind w:left="20" w:right="39"/>
        <w:spacing w:after="0"/>
        <w:rPr>
          <w:sz w:val="20"/>
          <w:szCs w:val="20"/>
          <w:color w:val="auto"/>
        </w:rPr>
      </w:pPr>
      <w:r>
        <w:rPr>
          <w:rFonts w:ascii="Arial" w:cs="Arial" w:eastAsia="Arial" w:hAnsi="Arial"/>
          <w:sz w:val="13"/>
          <w:szCs w:val="13"/>
          <w:color w:val="auto"/>
        </w:rPr>
        <w:t>For the year ended January 30, 2021, the countries that comprised the majority of the sales and long-lived assets for the international category were Canada, France, Italy, Germany, and England. No other individual country included in the international category was significant.</w:t>
      </w:r>
    </w:p>
    <w:p>
      <w:pPr>
        <w:spacing w:after="0" w:line="110"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4"/>
          </w:tcPr>
          <w:p>
            <w:pPr>
              <w:jc w:val="center"/>
              <w:ind w:left="235"/>
              <w:spacing w:after="0"/>
              <w:rPr>
                <w:sz w:val="20"/>
                <w:szCs w:val="20"/>
                <w:color w:val="auto"/>
              </w:rPr>
            </w:pPr>
            <w:r>
              <w:rPr>
                <w:rFonts w:ascii="Arial" w:cs="Arial" w:eastAsia="Arial" w:hAnsi="Arial"/>
                <w:sz w:val="13"/>
                <w:szCs w:val="13"/>
                <w:b w:val="1"/>
                <w:bCs w:val="1"/>
                <w:color w:val="auto"/>
              </w:rPr>
              <w:t>Depreciation and</w:t>
            </w: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r>
      <w:tr>
        <w:trPr>
          <w:trHeight w:val="164"/>
        </w:trPr>
        <w:tc>
          <w:tcPr>
            <w:tcW w:w="20" w:type="dxa"/>
            <w:vAlign w:val="bottom"/>
          </w:tcPr>
          <w:p>
            <w:pPr>
              <w:spacing w:after="0"/>
              <w:rPr>
                <w:sz w:val="14"/>
                <w:szCs w:val="14"/>
                <w:color w:val="auto"/>
              </w:rPr>
            </w:pPr>
          </w:p>
        </w:tc>
        <w:tc>
          <w:tcPr>
            <w:tcW w:w="2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8"/>
              </w:rPr>
              <w:t>Amortization</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jc w:val="right"/>
              <w:ind w:right="355"/>
              <w:spacing w:after="0" w:line="164" w:lineRule="exact"/>
              <w:rPr>
                <w:sz w:val="20"/>
                <w:szCs w:val="20"/>
                <w:color w:val="auto"/>
              </w:rPr>
            </w:pPr>
            <w:r>
              <w:rPr>
                <w:rFonts w:ascii="Arial" w:cs="Arial" w:eastAsia="Arial" w:hAnsi="Arial"/>
                <w:sz w:val="13"/>
                <w:szCs w:val="13"/>
                <w:b w:val="1"/>
                <w:bCs w:val="1"/>
                <w:color w:val="auto"/>
              </w:rPr>
              <w:t xml:space="preserve">Capital Expenditures </w:t>
            </w:r>
            <w:r>
              <w:rPr>
                <w:rFonts w:ascii="Arial" w:cs="Arial" w:eastAsia="Arial" w:hAnsi="Arial"/>
                <w:sz w:val="19"/>
                <w:szCs w:val="19"/>
                <w:color w:val="auto"/>
                <w:vertAlign w:val="superscript"/>
              </w:rPr>
              <w:t>(1)</w:t>
            </w: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215"/>
              <w:spacing w:after="0"/>
              <w:rPr>
                <w:sz w:val="20"/>
                <w:szCs w:val="20"/>
                <w:color w:val="auto"/>
              </w:rPr>
            </w:pPr>
            <w:r>
              <w:rPr>
                <w:rFonts w:ascii="Arial" w:cs="Arial" w:eastAsia="Arial" w:hAnsi="Arial"/>
                <w:sz w:val="13"/>
                <w:szCs w:val="13"/>
                <w:b w:val="1"/>
                <w:bCs w:val="1"/>
                <w:color w:val="auto"/>
              </w:rPr>
              <w:t>Total Assets</w:t>
            </w:r>
          </w:p>
        </w:tc>
        <w:tc>
          <w:tcPr>
            <w:tcW w:w="520" w:type="dxa"/>
            <w:vAlign w:val="bottom"/>
            <w:tcBorders>
              <w:bottom w:val="single" w:sz="8" w:color="auto"/>
            </w:tcBorders>
          </w:tcPr>
          <w:p>
            <w:pPr>
              <w:spacing w:after="0"/>
              <w:rPr>
                <w:sz w:val="14"/>
                <w:szCs w:val="14"/>
                <w:color w:val="auto"/>
              </w:rPr>
            </w:pPr>
          </w:p>
        </w:tc>
      </w:tr>
      <w:tr>
        <w:trPr>
          <w:trHeight w:val="134"/>
        </w:trPr>
        <w:tc>
          <w:tcPr>
            <w:tcW w:w="20" w:type="dxa"/>
            <w:vAlign w:val="bottom"/>
          </w:tcPr>
          <w:p>
            <w:pPr>
              <w:spacing w:after="0"/>
              <w:rPr>
                <w:sz w:val="11"/>
                <w:szCs w:val="11"/>
                <w:color w:val="auto"/>
              </w:rPr>
            </w:pPr>
          </w:p>
        </w:tc>
        <w:tc>
          <w:tcPr>
            <w:tcW w:w="2100" w:type="dxa"/>
            <w:vAlign w:val="bottom"/>
            <w:tcBorders>
              <w:bottom w:val="single" w:sz="8" w:color="auto"/>
            </w:tcBorders>
          </w:tcPr>
          <w:p>
            <w:pPr>
              <w:spacing w:after="0" w:line="134" w:lineRule="exact"/>
              <w:rPr>
                <w:sz w:val="20"/>
                <w:szCs w:val="20"/>
                <w:color w:val="auto"/>
              </w:rPr>
            </w:pPr>
            <w:r>
              <w:rPr>
                <w:rFonts w:ascii="Arial" w:cs="Arial" w:eastAsia="Arial" w:hAnsi="Arial"/>
                <w:sz w:val="13"/>
                <w:szCs w:val="13"/>
                <w:color w:val="auto"/>
              </w:rPr>
              <w:t>($ in millions)</w:t>
            </w:r>
          </w:p>
        </w:tc>
        <w:tc>
          <w:tcPr>
            <w:tcW w:w="1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jc w:val="right"/>
              <w:ind w:right="35"/>
              <w:spacing w:after="0" w:line="134" w:lineRule="exact"/>
              <w:rPr>
                <w:sz w:val="20"/>
                <w:szCs w:val="20"/>
                <w:color w:val="auto"/>
              </w:rPr>
            </w:pPr>
            <w:r>
              <w:rPr>
                <w:rFonts w:ascii="Arial" w:cs="Arial" w:eastAsia="Arial" w:hAnsi="Arial"/>
                <w:sz w:val="13"/>
                <w:szCs w:val="13"/>
                <w:b w:val="1"/>
                <w:bCs w:val="1"/>
                <w:color w:val="auto"/>
                <w:w w:val="96"/>
              </w:rPr>
              <w:t>2020</w:t>
            </w:r>
          </w:p>
        </w:tc>
        <w:tc>
          <w:tcPr>
            <w:tcW w:w="2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center"/>
              <w:ind w:right="195"/>
              <w:spacing w:after="0" w:line="134" w:lineRule="exact"/>
              <w:rPr>
                <w:sz w:val="20"/>
                <w:szCs w:val="20"/>
                <w:color w:val="auto"/>
              </w:rPr>
            </w:pPr>
            <w:r>
              <w:rPr>
                <w:rFonts w:ascii="Arial" w:cs="Arial" w:eastAsia="Arial" w:hAnsi="Arial"/>
                <w:sz w:val="13"/>
                <w:szCs w:val="13"/>
                <w:color w:val="auto"/>
              </w:rPr>
              <w:t>2019</w:t>
            </w: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95"/>
              <w:spacing w:after="0" w:line="134" w:lineRule="exact"/>
              <w:rPr>
                <w:sz w:val="20"/>
                <w:szCs w:val="20"/>
                <w:color w:val="auto"/>
              </w:rPr>
            </w:pPr>
            <w:r>
              <w:rPr>
                <w:rFonts w:ascii="Arial" w:cs="Arial" w:eastAsia="Arial" w:hAnsi="Arial"/>
                <w:sz w:val="13"/>
                <w:szCs w:val="13"/>
                <w:color w:val="auto"/>
                <w:w w:val="96"/>
              </w:rPr>
              <w:t>2018</w:t>
            </w:r>
          </w:p>
        </w:tc>
        <w:tc>
          <w:tcPr>
            <w:tcW w:w="2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35"/>
              <w:spacing w:after="0" w:line="134" w:lineRule="exact"/>
              <w:rPr>
                <w:sz w:val="20"/>
                <w:szCs w:val="20"/>
                <w:color w:val="auto"/>
              </w:rPr>
            </w:pPr>
            <w:r>
              <w:rPr>
                <w:rFonts w:ascii="Arial" w:cs="Arial" w:eastAsia="Arial" w:hAnsi="Arial"/>
                <w:sz w:val="13"/>
                <w:szCs w:val="13"/>
                <w:b w:val="1"/>
                <w:bCs w:val="1"/>
                <w:color w:val="auto"/>
              </w:rPr>
              <w:t>2020</w:t>
            </w:r>
          </w:p>
        </w:tc>
        <w:tc>
          <w:tcPr>
            <w:tcW w:w="2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35"/>
              <w:spacing w:after="0" w:line="134" w:lineRule="exact"/>
              <w:rPr>
                <w:sz w:val="20"/>
                <w:szCs w:val="20"/>
                <w:color w:val="auto"/>
              </w:rPr>
            </w:pPr>
            <w:r>
              <w:rPr>
                <w:rFonts w:ascii="Arial" w:cs="Arial" w:eastAsia="Arial" w:hAnsi="Arial"/>
                <w:sz w:val="13"/>
                <w:szCs w:val="13"/>
                <w:color w:val="auto"/>
              </w:rPr>
              <w:t>2019</w:t>
            </w: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35"/>
              <w:spacing w:after="0" w:line="134" w:lineRule="exact"/>
              <w:rPr>
                <w:sz w:val="20"/>
                <w:szCs w:val="20"/>
                <w:color w:val="auto"/>
              </w:rPr>
            </w:pPr>
            <w:r>
              <w:rPr>
                <w:rFonts w:ascii="Arial" w:cs="Arial" w:eastAsia="Arial" w:hAnsi="Arial"/>
                <w:sz w:val="13"/>
                <w:szCs w:val="13"/>
                <w:color w:val="auto"/>
              </w:rPr>
              <w:t>2018</w:t>
            </w:r>
          </w:p>
        </w:tc>
        <w:tc>
          <w:tcPr>
            <w:tcW w:w="2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15"/>
              <w:spacing w:after="0" w:line="134" w:lineRule="exact"/>
              <w:rPr>
                <w:sz w:val="20"/>
                <w:szCs w:val="20"/>
                <w:color w:val="auto"/>
              </w:rPr>
            </w:pPr>
            <w:r>
              <w:rPr>
                <w:rFonts w:ascii="Arial" w:cs="Arial" w:eastAsia="Arial" w:hAnsi="Arial"/>
                <w:sz w:val="13"/>
                <w:szCs w:val="13"/>
                <w:b w:val="1"/>
                <w:bCs w:val="1"/>
                <w:color w:val="auto"/>
              </w:rPr>
              <w:t>2020</w:t>
            </w: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15"/>
              <w:spacing w:after="0" w:line="134" w:lineRule="exact"/>
              <w:rPr>
                <w:sz w:val="20"/>
                <w:szCs w:val="20"/>
                <w:color w:val="auto"/>
              </w:rPr>
            </w:pPr>
            <w:r>
              <w:rPr>
                <w:rFonts w:ascii="Arial" w:cs="Arial" w:eastAsia="Arial" w:hAnsi="Arial"/>
                <w:sz w:val="13"/>
                <w:szCs w:val="13"/>
                <w:color w:val="auto"/>
              </w:rPr>
              <w:t>2019</w:t>
            </w:r>
          </w:p>
        </w:tc>
        <w:tc>
          <w:tcPr>
            <w:tcW w:w="3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35"/>
              <w:spacing w:after="0" w:line="134" w:lineRule="exact"/>
              <w:rPr>
                <w:sz w:val="20"/>
                <w:szCs w:val="20"/>
                <w:color w:val="auto"/>
              </w:rPr>
            </w:pPr>
            <w:r>
              <w:rPr>
                <w:rFonts w:ascii="Arial" w:cs="Arial" w:eastAsia="Arial" w:hAnsi="Arial"/>
                <w:sz w:val="13"/>
                <w:szCs w:val="13"/>
                <w:color w:val="auto"/>
              </w:rPr>
              <w:t>2018</w:t>
            </w:r>
          </w:p>
        </w:tc>
      </w:tr>
      <w:tr>
        <w:trPr>
          <w:trHeight w:val="134"/>
        </w:trPr>
        <w:tc>
          <w:tcPr>
            <w:tcW w:w="20" w:type="dxa"/>
            <w:vAlign w:val="bottom"/>
          </w:tcPr>
          <w:p>
            <w:pPr>
              <w:spacing w:after="0"/>
              <w:rPr>
                <w:sz w:val="11"/>
                <w:szCs w:val="11"/>
                <w:color w:val="auto"/>
              </w:rPr>
            </w:pPr>
          </w:p>
        </w:tc>
        <w:tc>
          <w:tcPr>
            <w:tcW w:w="210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Division</w:t>
            </w:r>
          </w:p>
        </w:tc>
        <w:tc>
          <w:tcPr>
            <w:tcW w:w="16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w:t>
            </w:r>
          </w:p>
        </w:tc>
        <w:tc>
          <w:tcPr>
            <w:tcW w:w="40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152</w:t>
            </w:r>
          </w:p>
        </w:tc>
        <w:tc>
          <w:tcPr>
            <w:tcW w:w="28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ind w:right="135"/>
              <w:spacing w:after="0" w:line="134" w:lineRule="exact"/>
              <w:rPr>
                <w:sz w:val="20"/>
                <w:szCs w:val="20"/>
                <w:color w:val="auto"/>
              </w:rPr>
            </w:pPr>
            <w:r>
              <w:rPr>
                <w:rFonts w:ascii="Arial" w:cs="Arial" w:eastAsia="Arial" w:hAnsi="Arial"/>
                <w:sz w:val="13"/>
                <w:szCs w:val="13"/>
                <w:color w:val="auto"/>
              </w:rPr>
              <w:t>160</w:t>
            </w:r>
          </w:p>
        </w:tc>
        <w:tc>
          <w:tcPr>
            <w:tcW w:w="12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35"/>
              <w:spacing w:after="0" w:line="134" w:lineRule="exact"/>
              <w:rPr>
                <w:sz w:val="20"/>
                <w:szCs w:val="20"/>
                <w:color w:val="auto"/>
              </w:rPr>
            </w:pPr>
            <w:r>
              <w:rPr>
                <w:rFonts w:ascii="Arial" w:cs="Arial" w:eastAsia="Arial" w:hAnsi="Arial"/>
                <w:sz w:val="13"/>
                <w:szCs w:val="13"/>
                <w:color w:val="auto"/>
              </w:rPr>
              <w:t>160</w:t>
            </w:r>
          </w:p>
        </w:tc>
        <w:tc>
          <w:tcPr>
            <w:tcW w:w="24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w:t>
            </w:r>
          </w:p>
        </w:tc>
        <w:tc>
          <w:tcPr>
            <w:tcW w:w="520" w:type="dxa"/>
            <w:vAlign w:val="bottom"/>
            <w:shd w:val="clear" w:color="auto" w:fill="CCEEFF"/>
          </w:tcPr>
          <w:p>
            <w:pPr>
              <w:jc w:val="right"/>
              <w:ind w:right="15"/>
              <w:spacing w:after="0" w:line="134" w:lineRule="exact"/>
              <w:rPr>
                <w:sz w:val="20"/>
                <w:szCs w:val="20"/>
                <w:color w:val="auto"/>
              </w:rPr>
            </w:pPr>
            <w:r>
              <w:rPr>
                <w:rFonts w:ascii="Arial" w:cs="Arial" w:eastAsia="Arial" w:hAnsi="Arial"/>
                <w:sz w:val="13"/>
                <w:szCs w:val="13"/>
                <w:b w:val="1"/>
                <w:bCs w:val="1"/>
                <w:color w:val="auto"/>
              </w:rPr>
              <w:t>88</w:t>
            </w:r>
          </w:p>
        </w:tc>
        <w:tc>
          <w:tcPr>
            <w:tcW w:w="28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15"/>
              <w:spacing w:after="0" w:line="134" w:lineRule="exact"/>
              <w:rPr>
                <w:sz w:val="20"/>
                <w:szCs w:val="20"/>
                <w:color w:val="auto"/>
              </w:rPr>
            </w:pPr>
            <w:r>
              <w:rPr>
                <w:rFonts w:ascii="Arial" w:cs="Arial" w:eastAsia="Arial" w:hAnsi="Arial"/>
                <w:sz w:val="13"/>
                <w:szCs w:val="13"/>
                <w:color w:val="auto"/>
              </w:rPr>
              <w:t>105</w:t>
            </w:r>
          </w:p>
        </w:tc>
        <w:tc>
          <w:tcPr>
            <w:tcW w:w="18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ind w:right="15"/>
              <w:spacing w:after="0" w:line="134" w:lineRule="exact"/>
              <w:rPr>
                <w:sz w:val="20"/>
                <w:szCs w:val="20"/>
                <w:color w:val="auto"/>
              </w:rPr>
            </w:pPr>
            <w:r>
              <w:rPr>
                <w:rFonts w:ascii="Arial" w:cs="Arial" w:eastAsia="Arial" w:hAnsi="Arial"/>
                <w:sz w:val="13"/>
                <w:szCs w:val="13"/>
                <w:color w:val="auto"/>
              </w:rPr>
              <w:t>112</w:t>
            </w:r>
          </w:p>
        </w:tc>
        <w:tc>
          <w:tcPr>
            <w:tcW w:w="28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w:t>
            </w:r>
          </w:p>
        </w:tc>
        <w:tc>
          <w:tcPr>
            <w:tcW w:w="620" w:type="dxa"/>
            <w:vAlign w:val="bottom"/>
            <w:shd w:val="clear" w:color="auto" w:fill="CCEEFF"/>
          </w:tcPr>
          <w:p>
            <w:pPr>
              <w:jc w:val="right"/>
              <w:ind w:right="75"/>
              <w:spacing w:after="0" w:line="134" w:lineRule="exact"/>
              <w:rPr>
                <w:sz w:val="20"/>
                <w:szCs w:val="20"/>
                <w:color w:val="auto"/>
              </w:rPr>
            </w:pPr>
            <w:r>
              <w:rPr>
                <w:rFonts w:ascii="Arial" w:cs="Arial" w:eastAsia="Arial" w:hAnsi="Arial"/>
                <w:sz w:val="13"/>
                <w:szCs w:val="13"/>
                <w:b w:val="1"/>
                <w:bCs w:val="1"/>
                <w:color w:val="auto"/>
              </w:rPr>
              <w:t>5,159</w:t>
            </w:r>
          </w:p>
        </w:tc>
        <w:tc>
          <w:tcPr>
            <w:tcW w:w="20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5,523</w:t>
            </w:r>
          </w:p>
        </w:tc>
        <w:tc>
          <w:tcPr>
            <w:tcW w:w="340" w:type="dxa"/>
            <w:vAlign w:val="bottom"/>
            <w:shd w:val="clear" w:color="auto" w:fill="CCEEFF"/>
          </w:tcPr>
          <w:p>
            <w:pPr>
              <w:jc w:val="right"/>
              <w:ind w:right="15"/>
              <w:spacing w:after="0" w:line="134" w:lineRule="exact"/>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2,900</w:t>
            </w:r>
          </w:p>
        </w:tc>
      </w:tr>
      <w:tr>
        <w:trPr>
          <w:trHeight w:val="144"/>
        </w:trPr>
        <w:tc>
          <w:tcPr>
            <w:tcW w:w="20" w:type="dxa"/>
            <w:vAlign w:val="bottom"/>
          </w:tcPr>
          <w:p>
            <w:pPr>
              <w:spacing w:after="0"/>
              <w:rPr>
                <w:sz w:val="12"/>
                <w:szCs w:val="12"/>
                <w:color w:val="auto"/>
              </w:rPr>
            </w:pPr>
          </w:p>
        </w:tc>
        <w:tc>
          <w:tcPr>
            <w:tcW w:w="210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color w:val="auto"/>
              </w:rPr>
              <w:t>Corporate</w:t>
            </w:r>
          </w:p>
        </w:tc>
        <w:tc>
          <w:tcPr>
            <w:tcW w:w="1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24</w:t>
            </w:r>
          </w:p>
        </w:tc>
        <w:tc>
          <w:tcPr>
            <w:tcW w:w="2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4" w:lineRule="exact"/>
              <w:rPr>
                <w:sz w:val="20"/>
                <w:szCs w:val="20"/>
                <w:color w:val="auto"/>
              </w:rPr>
            </w:pPr>
            <w:r>
              <w:rPr>
                <w:rFonts w:ascii="Arial" w:cs="Arial" w:eastAsia="Arial" w:hAnsi="Arial"/>
                <w:sz w:val="13"/>
                <w:szCs w:val="13"/>
                <w:color w:val="auto"/>
              </w:rPr>
              <w:t>19</w:t>
            </w: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35"/>
              <w:spacing w:after="0" w:line="144" w:lineRule="exact"/>
              <w:rPr>
                <w:sz w:val="20"/>
                <w:szCs w:val="20"/>
                <w:color w:val="auto"/>
              </w:rPr>
            </w:pPr>
            <w:r>
              <w:rPr>
                <w:rFonts w:ascii="Arial" w:cs="Arial" w:eastAsia="Arial" w:hAnsi="Arial"/>
                <w:sz w:val="13"/>
                <w:szCs w:val="13"/>
                <w:color w:val="auto"/>
              </w:rPr>
              <w:t>18</w:t>
            </w:r>
          </w:p>
        </w:tc>
        <w:tc>
          <w:tcPr>
            <w:tcW w:w="2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
              <w:spacing w:after="0" w:line="144" w:lineRule="exact"/>
              <w:rPr>
                <w:sz w:val="20"/>
                <w:szCs w:val="20"/>
                <w:color w:val="auto"/>
              </w:rPr>
            </w:pPr>
            <w:r>
              <w:rPr>
                <w:rFonts w:ascii="Arial" w:cs="Arial" w:eastAsia="Arial" w:hAnsi="Arial"/>
                <w:sz w:val="13"/>
                <w:szCs w:val="13"/>
                <w:b w:val="1"/>
                <w:bCs w:val="1"/>
                <w:color w:val="auto"/>
              </w:rPr>
              <w:t>71</w:t>
            </w:r>
          </w:p>
        </w:tc>
        <w:tc>
          <w:tcPr>
            <w:tcW w:w="2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15"/>
              <w:spacing w:after="0" w:line="144" w:lineRule="exact"/>
              <w:rPr>
                <w:sz w:val="20"/>
                <w:szCs w:val="20"/>
                <w:color w:val="auto"/>
              </w:rPr>
            </w:pPr>
            <w:r>
              <w:rPr>
                <w:rFonts w:ascii="Arial" w:cs="Arial" w:eastAsia="Arial" w:hAnsi="Arial"/>
                <w:sz w:val="13"/>
                <w:szCs w:val="13"/>
                <w:color w:val="auto"/>
              </w:rPr>
              <w:t>82</w:t>
            </w: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
              <w:spacing w:after="0" w:line="144" w:lineRule="exact"/>
              <w:rPr>
                <w:sz w:val="20"/>
                <w:szCs w:val="20"/>
                <w:color w:val="auto"/>
              </w:rPr>
            </w:pPr>
            <w:r>
              <w:rPr>
                <w:rFonts w:ascii="Arial" w:cs="Arial" w:eastAsia="Arial" w:hAnsi="Arial"/>
                <w:sz w:val="13"/>
                <w:szCs w:val="13"/>
                <w:color w:val="auto"/>
              </w:rPr>
              <w:t>75</w:t>
            </w:r>
          </w:p>
        </w:tc>
        <w:tc>
          <w:tcPr>
            <w:tcW w:w="2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75"/>
              <w:spacing w:after="0" w:line="144" w:lineRule="exact"/>
              <w:rPr>
                <w:sz w:val="20"/>
                <w:szCs w:val="20"/>
                <w:color w:val="auto"/>
              </w:rPr>
            </w:pPr>
            <w:r>
              <w:rPr>
                <w:rFonts w:ascii="Arial" w:cs="Arial" w:eastAsia="Arial" w:hAnsi="Arial"/>
                <w:sz w:val="13"/>
                <w:szCs w:val="13"/>
                <w:b w:val="1"/>
                <w:bCs w:val="1"/>
                <w:color w:val="auto"/>
              </w:rPr>
              <w:t>1,884</w:t>
            </w: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1,066</w:t>
            </w:r>
          </w:p>
        </w:tc>
        <w:tc>
          <w:tcPr>
            <w:tcW w:w="3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920</w:t>
            </w:r>
          </w:p>
        </w:tc>
      </w:tr>
      <w:tr>
        <w:trPr>
          <w:trHeight w:val="134"/>
        </w:trPr>
        <w:tc>
          <w:tcPr>
            <w:tcW w:w="20" w:type="dxa"/>
            <w:vAlign w:val="bottom"/>
          </w:tcPr>
          <w:p>
            <w:pPr>
              <w:spacing w:after="0"/>
              <w:rPr>
                <w:sz w:val="11"/>
                <w:szCs w:val="11"/>
                <w:color w:val="auto"/>
              </w:rPr>
            </w:pPr>
          </w:p>
        </w:tc>
        <w:tc>
          <w:tcPr>
            <w:tcW w:w="2100" w:type="dxa"/>
            <w:vAlign w:val="bottom"/>
            <w:tcBorders>
              <w:bottom w:val="single" w:sz="8" w:color="auto"/>
            </w:tcBorders>
            <w:shd w:val="clear" w:color="auto" w:fill="CCEEFF"/>
          </w:tcPr>
          <w:p>
            <w:pPr>
              <w:spacing w:after="0" w:line="134" w:lineRule="exact"/>
              <w:rPr>
                <w:sz w:val="20"/>
                <w:szCs w:val="20"/>
                <w:color w:val="auto"/>
              </w:rPr>
            </w:pPr>
            <w:r>
              <w:rPr>
                <w:rFonts w:ascii="Arial" w:cs="Arial" w:eastAsia="Arial" w:hAnsi="Arial"/>
                <w:sz w:val="13"/>
                <w:szCs w:val="13"/>
                <w:color w:val="auto"/>
              </w:rPr>
              <w:t>Total</w:t>
            </w:r>
          </w:p>
        </w:tc>
        <w:tc>
          <w:tcPr>
            <w:tcW w:w="16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w:t>
            </w:r>
          </w:p>
        </w:tc>
        <w:tc>
          <w:tcPr>
            <w:tcW w:w="40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176</w:t>
            </w:r>
          </w:p>
        </w:tc>
        <w:tc>
          <w:tcPr>
            <w:tcW w:w="28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shd w:val="clear" w:color="auto" w:fill="CCEEFF"/>
          </w:tcPr>
          <w:p>
            <w:pPr>
              <w:jc w:val="right"/>
              <w:ind w:right="135"/>
              <w:spacing w:after="0" w:line="134" w:lineRule="exact"/>
              <w:rPr>
                <w:sz w:val="20"/>
                <w:szCs w:val="20"/>
                <w:color w:val="auto"/>
              </w:rPr>
            </w:pPr>
            <w:r>
              <w:rPr>
                <w:rFonts w:ascii="Arial" w:cs="Arial" w:eastAsia="Arial" w:hAnsi="Arial"/>
                <w:sz w:val="13"/>
                <w:szCs w:val="13"/>
                <w:color w:val="auto"/>
              </w:rPr>
              <w:t>179</w:t>
            </w:r>
          </w:p>
        </w:tc>
        <w:tc>
          <w:tcPr>
            <w:tcW w:w="12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460" w:type="dxa"/>
            <w:vAlign w:val="bottom"/>
            <w:tcBorders>
              <w:bottom w:val="single" w:sz="8" w:color="auto"/>
            </w:tcBorders>
            <w:shd w:val="clear" w:color="auto" w:fill="CCEEFF"/>
          </w:tcPr>
          <w:p>
            <w:pPr>
              <w:jc w:val="right"/>
              <w:ind w:right="35"/>
              <w:spacing w:after="0" w:line="134" w:lineRule="exact"/>
              <w:rPr>
                <w:sz w:val="20"/>
                <w:szCs w:val="20"/>
                <w:color w:val="auto"/>
              </w:rPr>
            </w:pPr>
            <w:r>
              <w:rPr>
                <w:rFonts w:ascii="Arial" w:cs="Arial" w:eastAsia="Arial" w:hAnsi="Arial"/>
                <w:sz w:val="13"/>
                <w:szCs w:val="13"/>
                <w:color w:val="auto"/>
              </w:rPr>
              <w:t>178</w:t>
            </w:r>
          </w:p>
        </w:tc>
        <w:tc>
          <w:tcPr>
            <w:tcW w:w="24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w:t>
            </w:r>
          </w:p>
        </w:tc>
        <w:tc>
          <w:tcPr>
            <w:tcW w:w="520" w:type="dxa"/>
            <w:vAlign w:val="bottom"/>
            <w:tcBorders>
              <w:bottom w:val="single" w:sz="8" w:color="auto"/>
            </w:tcBorders>
            <w:shd w:val="clear" w:color="auto" w:fill="CCEEFF"/>
          </w:tcPr>
          <w:p>
            <w:pPr>
              <w:jc w:val="right"/>
              <w:ind w:right="15"/>
              <w:spacing w:after="0" w:line="134" w:lineRule="exact"/>
              <w:rPr>
                <w:sz w:val="20"/>
                <w:szCs w:val="20"/>
                <w:color w:val="auto"/>
              </w:rPr>
            </w:pPr>
            <w:r>
              <w:rPr>
                <w:rFonts w:ascii="Arial" w:cs="Arial" w:eastAsia="Arial" w:hAnsi="Arial"/>
                <w:sz w:val="13"/>
                <w:szCs w:val="13"/>
                <w:b w:val="1"/>
                <w:bCs w:val="1"/>
                <w:color w:val="auto"/>
              </w:rPr>
              <w:t>159</w:t>
            </w:r>
          </w:p>
        </w:tc>
        <w:tc>
          <w:tcPr>
            <w:tcW w:w="28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620" w:type="dxa"/>
            <w:vAlign w:val="bottom"/>
            <w:tcBorders>
              <w:bottom w:val="single" w:sz="8" w:color="auto"/>
            </w:tcBorders>
            <w:shd w:val="clear" w:color="auto" w:fill="CCEEFF"/>
          </w:tcPr>
          <w:p>
            <w:pPr>
              <w:jc w:val="right"/>
              <w:ind w:right="115"/>
              <w:spacing w:after="0" w:line="134" w:lineRule="exact"/>
              <w:rPr>
                <w:sz w:val="20"/>
                <w:szCs w:val="20"/>
                <w:color w:val="auto"/>
              </w:rPr>
            </w:pPr>
            <w:r>
              <w:rPr>
                <w:rFonts w:ascii="Arial" w:cs="Arial" w:eastAsia="Arial" w:hAnsi="Arial"/>
                <w:sz w:val="13"/>
                <w:szCs w:val="13"/>
                <w:color w:val="auto"/>
              </w:rPr>
              <w:t>187</w:t>
            </w:r>
          </w:p>
        </w:tc>
        <w:tc>
          <w:tcPr>
            <w:tcW w:w="18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shd w:val="clear" w:color="auto" w:fill="CCEEFF"/>
          </w:tcPr>
          <w:p>
            <w:pPr>
              <w:jc w:val="right"/>
              <w:ind w:right="15"/>
              <w:spacing w:after="0" w:line="134" w:lineRule="exact"/>
              <w:rPr>
                <w:sz w:val="20"/>
                <w:szCs w:val="20"/>
                <w:color w:val="auto"/>
              </w:rPr>
            </w:pPr>
            <w:r>
              <w:rPr>
                <w:rFonts w:ascii="Arial" w:cs="Arial" w:eastAsia="Arial" w:hAnsi="Arial"/>
                <w:sz w:val="13"/>
                <w:szCs w:val="13"/>
                <w:color w:val="auto"/>
              </w:rPr>
              <w:t>187</w:t>
            </w:r>
          </w:p>
        </w:tc>
        <w:tc>
          <w:tcPr>
            <w:tcW w:w="28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b w:val="1"/>
                <w:bCs w:val="1"/>
                <w:color w:val="auto"/>
              </w:rPr>
              <w:t>7,043</w:t>
            </w:r>
          </w:p>
        </w:tc>
        <w:tc>
          <w:tcPr>
            <w:tcW w:w="20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6,589</w:t>
            </w:r>
          </w:p>
        </w:tc>
        <w:tc>
          <w:tcPr>
            <w:tcW w:w="340" w:type="dxa"/>
            <w:vAlign w:val="bottom"/>
            <w:tcBorders>
              <w:bottom w:val="single" w:sz="8" w:color="auto"/>
            </w:tcBorders>
            <w:shd w:val="clear" w:color="auto" w:fill="CCEEFF"/>
          </w:tcPr>
          <w:p>
            <w:pPr>
              <w:jc w:val="right"/>
              <w:ind w:right="15"/>
              <w:spacing w:after="0" w:line="134" w:lineRule="exact"/>
              <w:rPr>
                <w:sz w:val="20"/>
                <w:szCs w:val="20"/>
                <w:color w:val="auto"/>
              </w:rPr>
            </w:pPr>
            <w:r>
              <w:rPr>
                <w:rFonts w:ascii="Arial" w:cs="Arial" w:eastAsia="Arial" w:hAnsi="Arial"/>
                <w:sz w:val="13"/>
                <w:szCs w:val="13"/>
                <w:color w:val="auto"/>
              </w:rPr>
              <w:t>$</w:t>
            </w:r>
          </w:p>
        </w:tc>
        <w:tc>
          <w:tcPr>
            <w:tcW w:w="52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3,820</w:t>
            </w:r>
          </w:p>
        </w:tc>
      </w:tr>
      <w:tr>
        <w:trPr>
          <w:trHeight w:val="20"/>
        </w:trPr>
        <w:tc>
          <w:tcPr>
            <w:tcW w:w="20" w:type="dxa"/>
            <w:vAlign w:val="bottom"/>
          </w:tcPr>
          <w:p>
            <w:pPr>
              <w:spacing w:after="0" w:line="20" w:lineRule="exact"/>
              <w:rPr>
                <w:sz w:val="1"/>
                <w:szCs w:val="1"/>
                <w:color w:val="auto"/>
              </w:rPr>
            </w:pPr>
          </w:p>
        </w:tc>
        <w:tc>
          <w:tcPr>
            <w:tcW w:w="2940" w:type="dxa"/>
            <w:vAlign w:val="bottom"/>
            <w:tcBorders>
              <w:bottom w:val="single" w:sz="8" w:color="auto"/>
            </w:tcBorders>
            <w:gridSpan w:val="4"/>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06"/>
        </w:trPr>
        <w:tc>
          <w:tcPr>
            <w:tcW w:w="2960" w:type="dxa"/>
            <w:vAlign w:val="bottom"/>
            <w:gridSpan w:val="5"/>
          </w:tcPr>
          <w:p>
            <w:pPr>
              <w:spacing w:after="0"/>
              <w:rPr>
                <w:sz w:val="20"/>
                <w:szCs w:val="20"/>
                <w:color w:val="auto"/>
              </w:rPr>
            </w:pPr>
            <w:r>
              <w:rPr>
                <w:rFonts w:ascii="Arial" w:cs="Arial" w:eastAsia="Arial" w:hAnsi="Arial"/>
                <w:sz w:val="10"/>
                <w:szCs w:val="10"/>
                <w:color w:val="auto"/>
              </w:rPr>
              <w:t>(1) Represents cash capital expenditures for all years presented.</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54"/>
        </w:trPr>
        <w:tc>
          <w:tcPr>
            <w:tcW w:w="2120" w:type="dxa"/>
            <w:vAlign w:val="bottom"/>
            <w:gridSpan w:val="2"/>
          </w:tcPr>
          <w:p>
            <w:pPr>
              <w:spacing w:after="0"/>
              <w:rPr>
                <w:sz w:val="20"/>
                <w:szCs w:val="20"/>
                <w:color w:val="auto"/>
              </w:rPr>
            </w:pPr>
            <w:r>
              <w:rPr>
                <w:rFonts w:ascii="Arial" w:cs="Arial" w:eastAsia="Arial" w:hAnsi="Arial"/>
                <w:sz w:val="13"/>
                <w:szCs w:val="13"/>
                <w:b w:val="1"/>
                <w:bCs w:val="1"/>
                <w:color w:val="auto"/>
              </w:rPr>
              <w:t>3. Impairment and Other Charges</w:t>
            </w: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239"/>
        </w:trPr>
        <w:tc>
          <w:tcPr>
            <w:tcW w:w="20" w:type="dxa"/>
            <w:vAlign w:val="bottom"/>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 in millions)</w:t>
            </w:r>
          </w:p>
        </w:tc>
        <w:tc>
          <w:tcPr>
            <w:tcW w:w="1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475"/>
              <w:spacing w:after="0"/>
              <w:rPr>
                <w:sz w:val="20"/>
                <w:szCs w:val="20"/>
                <w:color w:val="auto"/>
              </w:rPr>
            </w:pPr>
            <w:r>
              <w:rPr>
                <w:rFonts w:ascii="Arial" w:cs="Arial" w:eastAsia="Arial" w:hAnsi="Arial"/>
                <w:sz w:val="13"/>
                <w:szCs w:val="13"/>
                <w:b w:val="1"/>
                <w:bCs w:val="1"/>
                <w:color w:val="auto"/>
              </w:rPr>
              <w:t>2020</w:t>
            </w:r>
          </w:p>
        </w:tc>
        <w:tc>
          <w:tcPr>
            <w:tcW w:w="1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475"/>
              <w:spacing w:after="0"/>
              <w:rPr>
                <w:sz w:val="20"/>
                <w:szCs w:val="20"/>
                <w:color w:val="auto"/>
              </w:rPr>
            </w:pPr>
            <w:r>
              <w:rPr>
                <w:rFonts w:ascii="Arial" w:cs="Arial" w:eastAsia="Arial" w:hAnsi="Arial"/>
                <w:sz w:val="13"/>
                <w:szCs w:val="13"/>
                <w:color w:val="auto"/>
              </w:rPr>
              <w:t>2019</w:t>
            </w:r>
          </w:p>
        </w:tc>
        <w:tc>
          <w:tcPr>
            <w:tcW w:w="2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2018</w:t>
            </w:r>
          </w:p>
        </w:tc>
        <w:tc>
          <w:tcPr>
            <w:tcW w:w="520" w:type="dxa"/>
            <w:vAlign w:val="bottom"/>
            <w:tcBorders>
              <w:bottom w:val="single" w:sz="8" w:color="auto"/>
            </w:tcBorders>
          </w:tcPr>
          <w:p>
            <w:pPr>
              <w:spacing w:after="0"/>
              <w:rPr>
                <w:sz w:val="20"/>
                <w:szCs w:val="20"/>
                <w:color w:val="auto"/>
              </w:rPr>
            </w:pPr>
          </w:p>
        </w:tc>
      </w:tr>
      <w:tr>
        <w:trPr>
          <w:trHeight w:val="134"/>
        </w:trPr>
        <w:tc>
          <w:tcPr>
            <w:tcW w:w="20" w:type="dxa"/>
            <w:vAlign w:val="bottom"/>
          </w:tcPr>
          <w:p>
            <w:pPr>
              <w:spacing w:after="0"/>
              <w:rPr>
                <w:sz w:val="11"/>
                <w:szCs w:val="11"/>
                <w:color w:val="auto"/>
              </w:rPr>
            </w:pPr>
          </w:p>
        </w:tc>
        <w:tc>
          <w:tcPr>
            <w:tcW w:w="210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Impairment of long-lived assets</w:t>
            </w: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335"/>
              <w:spacing w:after="0" w:line="134" w:lineRule="exact"/>
              <w:rPr>
                <w:sz w:val="20"/>
                <w:szCs w:val="20"/>
                <w:color w:val="auto"/>
              </w:rPr>
            </w:pPr>
            <w:r>
              <w:rPr>
                <w:rFonts w:ascii="Arial" w:cs="Arial" w:eastAsia="Arial" w:hAnsi="Arial"/>
                <w:sz w:val="13"/>
                <w:szCs w:val="13"/>
                <w:b w:val="1"/>
                <w:bCs w:val="1"/>
                <w:color w:val="auto"/>
              </w:rPr>
              <w:t>$</w:t>
            </w: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77</w:t>
            </w: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jc w:val="right"/>
              <w:ind w:right="335"/>
              <w:spacing w:after="0" w:line="134"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37</w:t>
            </w: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jc w:val="right"/>
              <w:ind w:right="375"/>
              <w:spacing w:after="0" w:line="134"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4</w:t>
            </w:r>
          </w:p>
        </w:tc>
      </w:tr>
      <w:tr>
        <w:trPr>
          <w:trHeight w:val="144"/>
        </w:trPr>
        <w:tc>
          <w:tcPr>
            <w:tcW w:w="20" w:type="dxa"/>
            <w:vAlign w:val="bottom"/>
          </w:tcPr>
          <w:p>
            <w:pPr>
              <w:spacing w:after="0"/>
              <w:rPr>
                <w:sz w:val="12"/>
                <w:szCs w:val="12"/>
                <w:color w:val="auto"/>
              </w:rPr>
            </w:pPr>
          </w:p>
        </w:tc>
        <w:tc>
          <w:tcPr>
            <w:tcW w:w="2100" w:type="dxa"/>
            <w:vAlign w:val="bottom"/>
          </w:tcPr>
          <w:p>
            <w:pPr>
              <w:spacing w:after="0" w:line="144" w:lineRule="exact"/>
              <w:rPr>
                <w:sz w:val="20"/>
                <w:szCs w:val="20"/>
                <w:color w:val="auto"/>
              </w:rPr>
            </w:pPr>
            <w:r>
              <w:rPr>
                <w:rFonts w:ascii="Arial" w:cs="Arial" w:eastAsia="Arial" w:hAnsi="Arial"/>
                <w:sz w:val="13"/>
                <w:szCs w:val="13"/>
                <w:color w:val="auto"/>
              </w:rPr>
              <w:t>Runners Point shut down</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19</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r>
      <w:tr>
        <w:trPr>
          <w:trHeight w:val="144"/>
        </w:trPr>
        <w:tc>
          <w:tcPr>
            <w:tcW w:w="20" w:type="dxa"/>
            <w:vAlign w:val="bottom"/>
          </w:tcPr>
          <w:p>
            <w:pPr>
              <w:spacing w:after="0"/>
              <w:rPr>
                <w:sz w:val="12"/>
                <w:szCs w:val="12"/>
                <w:color w:val="auto"/>
              </w:rPr>
            </w:pPr>
          </w:p>
        </w:tc>
        <w:tc>
          <w:tcPr>
            <w:tcW w:w="21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Losses related to social unrest</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8</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r>
      <w:tr>
        <w:trPr>
          <w:trHeight w:val="144"/>
        </w:trPr>
        <w:tc>
          <w:tcPr>
            <w:tcW w:w="20" w:type="dxa"/>
            <w:vAlign w:val="bottom"/>
          </w:tcPr>
          <w:p>
            <w:pPr>
              <w:spacing w:after="0"/>
              <w:rPr>
                <w:sz w:val="12"/>
                <w:szCs w:val="12"/>
                <w:color w:val="auto"/>
              </w:rPr>
            </w:pPr>
          </w:p>
        </w:tc>
        <w:tc>
          <w:tcPr>
            <w:tcW w:w="2100" w:type="dxa"/>
            <w:vAlign w:val="bottom"/>
          </w:tcPr>
          <w:p>
            <w:pPr>
              <w:spacing w:after="0" w:line="144" w:lineRule="exact"/>
              <w:rPr>
                <w:sz w:val="20"/>
                <w:szCs w:val="20"/>
                <w:color w:val="auto"/>
              </w:rPr>
            </w:pPr>
            <w:r>
              <w:rPr>
                <w:rFonts w:ascii="Arial" w:cs="Arial" w:eastAsia="Arial" w:hAnsi="Arial"/>
                <w:sz w:val="13"/>
                <w:szCs w:val="13"/>
                <w:color w:val="auto"/>
              </w:rPr>
              <w:t>Impairment of Investments</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4</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jc w:val="right"/>
              <w:spacing w:after="0" w:line="144" w:lineRule="exact"/>
              <w:rPr>
                <w:sz w:val="20"/>
                <w:szCs w:val="20"/>
                <w:color w:val="auto"/>
              </w:rPr>
            </w:pPr>
            <w:r>
              <w:rPr>
                <w:rFonts w:ascii="Arial" w:cs="Arial" w:eastAsia="Arial" w:hAnsi="Arial"/>
                <w:sz w:val="13"/>
                <w:szCs w:val="13"/>
                <w:color w:val="auto"/>
              </w:rPr>
              <w:t>11</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r>
      <w:tr>
        <w:trPr>
          <w:trHeight w:val="144"/>
        </w:trPr>
        <w:tc>
          <w:tcPr>
            <w:tcW w:w="20" w:type="dxa"/>
            <w:vAlign w:val="bottom"/>
          </w:tcPr>
          <w:p>
            <w:pPr>
              <w:spacing w:after="0"/>
              <w:rPr>
                <w:sz w:val="12"/>
                <w:szCs w:val="12"/>
                <w:color w:val="auto"/>
              </w:rPr>
            </w:pPr>
          </w:p>
        </w:tc>
        <w:tc>
          <w:tcPr>
            <w:tcW w:w="21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EMEA reorganization</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4</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r>
      <w:tr>
        <w:trPr>
          <w:trHeight w:val="144"/>
        </w:trPr>
        <w:tc>
          <w:tcPr>
            <w:tcW w:w="20" w:type="dxa"/>
            <w:vAlign w:val="bottom"/>
          </w:tcPr>
          <w:p>
            <w:pPr>
              <w:spacing w:after="0"/>
              <w:rPr>
                <w:sz w:val="12"/>
                <w:szCs w:val="12"/>
                <w:color w:val="auto"/>
              </w:rPr>
            </w:pPr>
          </w:p>
        </w:tc>
        <w:tc>
          <w:tcPr>
            <w:tcW w:w="2100" w:type="dxa"/>
            <w:vAlign w:val="bottom"/>
          </w:tcPr>
          <w:p>
            <w:pPr>
              <w:spacing w:after="0" w:line="144" w:lineRule="exact"/>
              <w:rPr>
                <w:sz w:val="20"/>
                <w:szCs w:val="20"/>
                <w:color w:val="auto"/>
              </w:rPr>
            </w:pPr>
            <w:r>
              <w:rPr>
                <w:rFonts w:ascii="Arial" w:cs="Arial" w:eastAsia="Arial" w:hAnsi="Arial"/>
                <w:sz w:val="13"/>
                <w:szCs w:val="13"/>
                <w:color w:val="auto"/>
              </w:rPr>
              <w:t>Eastbay reorganization</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3</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r>
      <w:tr>
        <w:trPr>
          <w:trHeight w:val="144"/>
        </w:trPr>
        <w:tc>
          <w:tcPr>
            <w:tcW w:w="20" w:type="dxa"/>
            <w:vAlign w:val="bottom"/>
          </w:tcPr>
          <w:p>
            <w:pPr>
              <w:spacing w:after="0"/>
              <w:rPr>
                <w:sz w:val="12"/>
                <w:szCs w:val="12"/>
                <w:color w:val="auto"/>
              </w:rPr>
            </w:pPr>
          </w:p>
        </w:tc>
        <w:tc>
          <w:tcPr>
            <w:tcW w:w="21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Pension litigation related charges</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2</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18</w:t>
            </w:r>
          </w:p>
        </w:tc>
      </w:tr>
      <w:tr>
        <w:trPr>
          <w:trHeight w:val="144"/>
        </w:trPr>
        <w:tc>
          <w:tcPr>
            <w:tcW w:w="20" w:type="dxa"/>
            <w:vAlign w:val="bottom"/>
          </w:tcPr>
          <w:p>
            <w:pPr>
              <w:spacing w:after="0"/>
              <w:rPr>
                <w:sz w:val="12"/>
                <w:szCs w:val="12"/>
                <w:color w:val="auto"/>
              </w:rPr>
            </w:pPr>
          </w:p>
        </w:tc>
        <w:tc>
          <w:tcPr>
            <w:tcW w:w="2100" w:type="dxa"/>
            <w:vAlign w:val="bottom"/>
          </w:tcPr>
          <w:p>
            <w:pPr>
              <w:spacing w:after="0" w:line="144" w:lineRule="exact"/>
              <w:rPr>
                <w:sz w:val="20"/>
                <w:szCs w:val="20"/>
                <w:color w:val="auto"/>
              </w:rPr>
            </w:pPr>
            <w:r>
              <w:rPr>
                <w:rFonts w:ascii="Arial" w:cs="Arial" w:eastAsia="Arial" w:hAnsi="Arial"/>
                <w:sz w:val="13"/>
                <w:szCs w:val="13"/>
                <w:color w:val="auto"/>
              </w:rPr>
              <w:t>Lease termination costs</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jc w:val="right"/>
              <w:spacing w:after="0" w:line="144" w:lineRule="exact"/>
              <w:rPr>
                <w:sz w:val="20"/>
                <w:szCs w:val="20"/>
                <w:color w:val="auto"/>
              </w:rPr>
            </w:pPr>
            <w:r>
              <w:rPr>
                <w:rFonts w:ascii="Arial" w:cs="Arial" w:eastAsia="Arial" w:hAnsi="Arial"/>
                <w:sz w:val="13"/>
                <w:szCs w:val="13"/>
                <w:color w:val="auto"/>
              </w:rPr>
              <w:t>13</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r>
      <w:tr>
        <w:trPr>
          <w:trHeight w:val="144"/>
        </w:trPr>
        <w:tc>
          <w:tcPr>
            <w:tcW w:w="20" w:type="dxa"/>
            <w:vAlign w:val="bottom"/>
          </w:tcPr>
          <w:p>
            <w:pPr>
              <w:spacing w:after="0"/>
              <w:rPr>
                <w:sz w:val="12"/>
                <w:szCs w:val="12"/>
                <w:color w:val="auto"/>
              </w:rPr>
            </w:pPr>
          </w:p>
        </w:tc>
        <w:tc>
          <w:tcPr>
            <w:tcW w:w="2100" w:type="dxa"/>
            <w:vAlign w:val="bottom"/>
            <w:tcBorders>
              <w:bottom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rPr>
              <w:t>Other intangible asset impairments</w:t>
            </w:r>
          </w:p>
        </w:tc>
        <w:tc>
          <w:tcPr>
            <w:tcW w:w="16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w:t>
            </w:r>
          </w:p>
        </w:tc>
        <w:tc>
          <w:tcPr>
            <w:tcW w:w="1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15</w:t>
            </w:r>
          </w:p>
        </w:tc>
      </w:tr>
      <w:tr>
        <w:trPr>
          <w:trHeight w:val="134"/>
        </w:trPr>
        <w:tc>
          <w:tcPr>
            <w:tcW w:w="20" w:type="dxa"/>
            <w:vAlign w:val="bottom"/>
            <w:tcBorders>
              <w:bottom w:val="single" w:sz="8" w:color="auto"/>
            </w:tcBorders>
          </w:tcPr>
          <w:p>
            <w:pPr>
              <w:spacing w:after="0"/>
              <w:rPr>
                <w:sz w:val="11"/>
                <w:szCs w:val="11"/>
                <w:color w:val="auto"/>
              </w:rPr>
            </w:pPr>
          </w:p>
        </w:tc>
        <w:tc>
          <w:tcPr>
            <w:tcW w:w="2100" w:type="dxa"/>
            <w:vAlign w:val="bottom"/>
            <w:tcBorders>
              <w:bottom w:val="single" w:sz="8" w:color="auto"/>
            </w:tcBorders>
          </w:tcPr>
          <w:p>
            <w:pPr>
              <w:spacing w:after="0" w:line="134" w:lineRule="exact"/>
              <w:rPr>
                <w:sz w:val="20"/>
                <w:szCs w:val="20"/>
                <w:color w:val="auto"/>
              </w:rPr>
            </w:pPr>
            <w:r>
              <w:rPr>
                <w:rFonts w:ascii="Arial" w:cs="Arial" w:eastAsia="Arial" w:hAnsi="Arial"/>
                <w:sz w:val="13"/>
                <w:szCs w:val="13"/>
                <w:color w:val="auto"/>
              </w:rPr>
              <w:t>Total impairment and other charges</w:t>
            </w:r>
          </w:p>
        </w:tc>
        <w:tc>
          <w:tcPr>
            <w:tcW w:w="1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335"/>
              <w:spacing w:after="0" w:line="134" w:lineRule="exact"/>
              <w:rPr>
                <w:sz w:val="20"/>
                <w:szCs w:val="20"/>
                <w:color w:val="auto"/>
              </w:rPr>
            </w:pPr>
            <w:r>
              <w:rPr>
                <w:rFonts w:ascii="Arial" w:cs="Arial" w:eastAsia="Arial" w:hAnsi="Arial"/>
                <w:sz w:val="13"/>
                <w:szCs w:val="13"/>
                <w:b w:val="1"/>
                <w:bCs w:val="1"/>
                <w:color w:val="auto"/>
              </w:rPr>
              <w:t>$</w:t>
            </w:r>
          </w:p>
        </w:tc>
        <w:tc>
          <w:tcPr>
            <w:tcW w:w="2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117</w:t>
            </w:r>
          </w:p>
        </w:tc>
        <w:tc>
          <w:tcPr>
            <w:tcW w:w="1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335"/>
              <w:spacing w:after="0" w:line="134" w:lineRule="exact"/>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65</w:t>
            </w: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375"/>
              <w:spacing w:after="0" w:line="134" w:lineRule="exact"/>
              <w:rPr>
                <w:sz w:val="20"/>
                <w:szCs w:val="20"/>
                <w:color w:val="auto"/>
              </w:rPr>
            </w:pPr>
            <w:r>
              <w:rPr>
                <w:rFonts w:ascii="Arial" w:cs="Arial" w:eastAsia="Arial" w:hAnsi="Arial"/>
                <w:sz w:val="13"/>
                <w:szCs w:val="13"/>
                <w:color w:val="auto"/>
              </w:rPr>
              <w:t>$</w:t>
            </w:r>
          </w:p>
        </w:tc>
        <w:tc>
          <w:tcPr>
            <w:tcW w:w="3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37</w:t>
            </w:r>
          </w:p>
        </w:tc>
      </w:tr>
      <w:tr>
        <w:trPr>
          <w:trHeight w:val="20"/>
        </w:trPr>
        <w:tc>
          <w:tcPr>
            <w:tcW w:w="2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left="20" w:right="39"/>
        <w:spacing w:after="0" w:line="233" w:lineRule="auto"/>
        <w:rPr>
          <w:sz w:val="20"/>
          <w:szCs w:val="20"/>
          <w:color w:val="auto"/>
        </w:rPr>
      </w:pPr>
      <w:r>
        <w:rPr>
          <w:rFonts w:ascii="Arial" w:cs="Arial" w:eastAsia="Arial" w:hAnsi="Arial"/>
          <w:sz w:val="13"/>
          <w:szCs w:val="13"/>
          <w:color w:val="auto"/>
        </w:rPr>
        <w:t>Due to COVID-19 and its effect on our actual and projected results, during the first quarter of 2020, we determined that a triggering event occurred for certain underperforming stores operating in Europe and, therefore, we conducted an impairment review. We evaluated the long-lived assets, including the right-of-use assets, and recorded non-cash charges of $15 million to write down store fixtures, leasehold improvements, and right-of-use assets of 70 stores. During the fourth quarter of 2020, we conducted an impairment review for approximately 90 underperforming stores. We evaluated the long-lived assets, including the right-of-use assets and recorded non-cash charges of $62 million to write down store fixtures, leasehold improvements, and right-of-use assets for approximately 60 of these stores.</w:t>
      </w:r>
    </w:p>
    <w:p>
      <w:pPr>
        <w:spacing w:after="0" w:line="83" w:lineRule="exact"/>
        <w:rPr>
          <w:sz w:val="20"/>
          <w:szCs w:val="20"/>
          <w:color w:val="auto"/>
        </w:rPr>
      </w:pPr>
    </w:p>
    <w:p>
      <w:pPr>
        <w:jc w:val="both"/>
        <w:ind w:left="20" w:right="39"/>
        <w:spacing w:after="0" w:line="235" w:lineRule="auto"/>
        <w:rPr>
          <w:sz w:val="20"/>
          <w:szCs w:val="20"/>
          <w:color w:val="auto"/>
        </w:rPr>
      </w:pPr>
      <w:r>
        <w:rPr>
          <w:rFonts w:ascii="Arial" w:cs="Arial" w:eastAsia="Arial" w:hAnsi="Arial"/>
          <w:sz w:val="13"/>
          <w:szCs w:val="13"/>
          <w:color w:val="auto"/>
        </w:rPr>
        <w:t>Losses related to social unrest represented inventory losses, damages to store property, repairs, and other costs incurred in connection with the riots that affected certain parts of the United States and Canada during the second quarter of 2020 and resulted in a loss of $18 million. Approximately 140 stores were damaged due to the unrest. The total charge included inventory losses of $15 million, damages to store property of $1 million, and repairs and other costs of $2 million.</w:t>
      </w:r>
    </w:p>
    <w:p>
      <w:pPr>
        <w:spacing w:after="0" w:line="327" w:lineRule="exact"/>
        <w:rPr>
          <w:sz w:val="20"/>
          <w:szCs w:val="20"/>
          <w:color w:val="auto"/>
        </w:rPr>
      </w:pPr>
    </w:p>
    <w:p>
      <w:pPr>
        <w:ind w:left="7520"/>
        <w:spacing w:after="0"/>
        <w:rPr>
          <w:sz w:val="20"/>
          <w:szCs w:val="20"/>
          <w:color w:val="auto"/>
        </w:rPr>
      </w:pPr>
      <w:r>
        <w:rPr>
          <w:rFonts w:ascii="Arial" w:cs="Arial" w:eastAsia="Arial" w:hAnsi="Arial"/>
          <w:sz w:val="12"/>
          <w:szCs w:val="12"/>
          <w:color w:val="auto"/>
        </w:rPr>
        <w:t>2020 Form 10-K Page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365125</wp:posOffset>
            </wp:positionV>
            <wp:extent cx="5680075" cy="196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80075" cy="19685"/>
                    </a:xfrm>
                    <a:prstGeom prst="rect">
                      <a:avLst/>
                    </a:prstGeom>
                    <a:noFill/>
                  </pic:spPr>
                </pic:pic>
              </a:graphicData>
            </a:graphic>
          </wp:anchor>
        </w:drawing>
      </w:r>
    </w:p>
    <w:p>
      <w:pPr>
        <w:sectPr>
          <w:pgSz w:w="11900" w:h="16838" w:orient="portrait"/>
          <w:cols w:equalWidth="0" w:num="1">
            <w:col w:w="9019"/>
          </w:cols>
          <w:pgMar w:left="1440" w:top="995" w:right="1440"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2992755</wp:posOffset>
            </wp:positionH>
            <wp:positionV relativeFrom="page">
              <wp:posOffset>375285</wp:posOffset>
            </wp:positionV>
            <wp:extent cx="1563370" cy="169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1563370" cy="169545"/>
                    </a:xfrm>
                    <a:prstGeom prst="rect">
                      <a:avLst/>
                    </a:prstGeom>
                    <a:noFill/>
                  </pic:spPr>
                </pic:pic>
              </a:graphicData>
            </a:graphic>
          </wp:anchor>
        </w:drawing>
        <w:t>NOTES TO CONSOLIDATED FINANCIAL STATEMENTS</w:t>
      </w:r>
    </w:p>
    <w:p>
      <w:pPr>
        <w:spacing w:after="0" w:line="159" w:lineRule="exact"/>
        <w:rPr>
          <w:sz w:val="20"/>
          <w:szCs w:val="20"/>
          <w:color w:val="auto"/>
        </w:rPr>
      </w:pPr>
    </w:p>
    <w:p>
      <w:pPr>
        <w:jc w:val="both"/>
        <w:ind w:left="20" w:right="39"/>
        <w:spacing w:after="0" w:line="235" w:lineRule="auto"/>
        <w:rPr>
          <w:sz w:val="20"/>
          <w:szCs w:val="20"/>
          <w:color w:val="auto"/>
        </w:rPr>
      </w:pPr>
      <w:r>
        <w:rPr>
          <w:rFonts w:ascii="Arial" w:cs="Arial" w:eastAsia="Arial" w:hAnsi="Arial"/>
          <w:sz w:val="13"/>
          <w:szCs w:val="13"/>
          <w:color w:val="auto"/>
        </w:rPr>
        <w:t>Substantially all of the damaged stores reopened during the third quarter. During the fourth quarter, we recorded a partial insurance recovery of $10 million representing an advance on our claim. We are continuing to work with our insurers to determine the remaining amount of our covered losses under our property insurance policy. Additional insurance recoveries will be recorded in the period in which we conclude our settlement discussions with our insurance providers.</w:t>
      </w:r>
    </w:p>
    <w:p>
      <w:pPr>
        <w:spacing w:after="0" w:line="81" w:lineRule="exact"/>
        <w:rPr>
          <w:sz w:val="20"/>
          <w:szCs w:val="20"/>
          <w:color w:val="auto"/>
        </w:rPr>
      </w:pPr>
    </w:p>
    <w:p>
      <w:pPr>
        <w:jc w:val="both"/>
        <w:ind w:left="20" w:right="39"/>
        <w:spacing w:after="0" w:line="233" w:lineRule="auto"/>
        <w:rPr>
          <w:sz w:val="20"/>
          <w:szCs w:val="20"/>
          <w:color w:val="auto"/>
        </w:rPr>
      </w:pPr>
      <w:r>
        <w:rPr>
          <w:rFonts w:ascii="Arial" w:cs="Arial" w:eastAsia="Arial" w:hAnsi="Arial"/>
          <w:sz w:val="13"/>
          <w:szCs w:val="13"/>
          <w:color w:val="auto"/>
        </w:rPr>
        <w:t>In May 2020, we made the strategic decision to shut down our Runners Point business and to consolidate our Sidestep support staff into our other operations in Europe. Also, as part of the next phase of the Champs Sports and Eastbay strategic initiative, we restructured positions and aligned several functions across the banners and consolidated certain Eastbay operations into the Champs Sports headquarters. We recorded charges of $19 million related to the shutdown of the Runners Point business and $3 million related to the reorganization associated with Eastbay. As part of the decision to close the Runners Point banner, certain Runners Point stores have been converted into other banners and approximately 40 Runners Point and Sidestep stores closed prior to their natural lease expirations. In the fourth quarter of 2020, we recorded a charge of $4 million in connection with the reorganization of certain support functions and supply chain operations within our EMEA segment.</w:t>
      </w:r>
    </w:p>
    <w:p>
      <w:pPr>
        <w:spacing w:after="0" w:line="82" w:lineRule="exact"/>
        <w:rPr>
          <w:sz w:val="20"/>
          <w:szCs w:val="20"/>
          <w:color w:val="auto"/>
        </w:rPr>
      </w:pPr>
    </w:p>
    <w:p>
      <w:pPr>
        <w:jc w:val="both"/>
        <w:ind w:left="20" w:right="39"/>
        <w:spacing w:after="0" w:line="236" w:lineRule="auto"/>
        <w:rPr>
          <w:sz w:val="20"/>
          <w:szCs w:val="20"/>
          <w:color w:val="auto"/>
        </w:rPr>
      </w:pPr>
      <w:r>
        <w:rPr>
          <w:rFonts w:ascii="Arial" w:cs="Arial" w:eastAsia="Arial" w:hAnsi="Arial"/>
          <w:sz w:val="13"/>
          <w:szCs w:val="13"/>
          <w:color w:val="auto"/>
        </w:rPr>
        <w:t>The table below presents a rollforward of our restructuring liability, which is recorded in Accrued and other liabilities on the Consolidated Balance Sheets. The remaining restructuring liability at January 30, 2021, which primarily relates to severance payments, is expected to be substantially paid within the next twelve months.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64"/>
        </w:trPr>
        <w:tc>
          <w:tcPr>
            <w:tcW w:w="2780" w:type="dxa"/>
            <w:vAlign w:val="bottom"/>
            <w:gridSpan w:val="2"/>
          </w:tcPr>
          <w:p>
            <w:pPr>
              <w:spacing w:after="0"/>
              <w:rPr>
                <w:sz w:val="20"/>
                <w:szCs w:val="20"/>
                <w:color w:val="auto"/>
              </w:rPr>
            </w:pPr>
            <w:r>
              <w:rPr>
                <w:rFonts w:ascii="Arial" w:cs="Arial" w:eastAsia="Arial" w:hAnsi="Arial"/>
                <w:sz w:val="13"/>
                <w:szCs w:val="13"/>
                <w:color w:val="auto"/>
              </w:rPr>
              <w:t>($ in millions)</w:t>
            </w:r>
          </w:p>
        </w:tc>
        <w:tc>
          <w:tcPr>
            <w:tcW w:w="1060" w:type="dxa"/>
            <w:vAlign w:val="bottom"/>
          </w:tcPr>
          <w:p>
            <w:pPr>
              <w:spacing w:after="0"/>
              <w:rPr>
                <w:sz w:val="14"/>
                <w:szCs w:val="14"/>
                <w:color w:val="auto"/>
              </w:rPr>
            </w:pPr>
          </w:p>
        </w:tc>
        <w:tc>
          <w:tcPr>
            <w:tcW w:w="1180" w:type="dxa"/>
            <w:vAlign w:val="bottom"/>
          </w:tcPr>
          <w:p>
            <w:pPr>
              <w:jc w:val="right"/>
              <w:ind w:right="195"/>
              <w:spacing w:after="0"/>
              <w:rPr>
                <w:sz w:val="20"/>
                <w:szCs w:val="20"/>
                <w:color w:val="auto"/>
              </w:rPr>
            </w:pPr>
            <w:r>
              <w:rPr>
                <w:rFonts w:ascii="Arial" w:cs="Arial" w:eastAsia="Arial" w:hAnsi="Arial"/>
                <w:sz w:val="13"/>
                <w:szCs w:val="13"/>
                <w:b w:val="1"/>
                <w:bCs w:val="1"/>
                <w:color w:val="auto"/>
              </w:rPr>
              <w:t>Runners Point</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Eastbay</w:t>
            </w:r>
          </w:p>
        </w:tc>
        <w:tc>
          <w:tcPr>
            <w:tcW w:w="360" w:type="dxa"/>
            <w:vAlign w:val="bottom"/>
          </w:tcPr>
          <w:p>
            <w:pPr>
              <w:spacing w:after="0"/>
              <w:rPr>
                <w:sz w:val="14"/>
                <w:szCs w:val="14"/>
                <w:color w:val="auto"/>
              </w:rPr>
            </w:pPr>
          </w:p>
        </w:tc>
        <w:tc>
          <w:tcPr>
            <w:tcW w:w="960" w:type="dxa"/>
            <w:vAlign w:val="bottom"/>
          </w:tcPr>
          <w:p>
            <w:pPr>
              <w:jc w:val="right"/>
              <w:ind w:right="35"/>
              <w:spacing w:after="0"/>
              <w:rPr>
                <w:sz w:val="20"/>
                <w:szCs w:val="20"/>
                <w:color w:val="auto"/>
              </w:rPr>
            </w:pPr>
            <w:r>
              <w:rPr>
                <w:rFonts w:ascii="Arial" w:cs="Arial" w:eastAsia="Arial" w:hAnsi="Arial"/>
                <w:sz w:val="13"/>
                <w:szCs w:val="13"/>
                <w:b w:val="1"/>
                <w:bCs w:val="1"/>
                <w:color w:val="auto"/>
              </w:rPr>
              <w:t>EMEA</w:t>
            </w: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ind w:right="375"/>
              <w:spacing w:after="0"/>
              <w:rPr>
                <w:sz w:val="20"/>
                <w:szCs w:val="20"/>
                <w:color w:val="auto"/>
              </w:rPr>
            </w:pPr>
            <w:r>
              <w:rPr>
                <w:rFonts w:ascii="Arial" w:cs="Arial" w:eastAsia="Arial" w:hAnsi="Arial"/>
                <w:sz w:val="13"/>
                <w:szCs w:val="13"/>
                <w:b w:val="1"/>
                <w:bCs w:val="1"/>
                <w:color w:val="auto"/>
              </w:rPr>
              <w:t>Total</w:t>
            </w:r>
          </w:p>
        </w:tc>
      </w:tr>
      <w:tr>
        <w:trPr>
          <w:trHeight w:val="134"/>
        </w:trPr>
        <w:tc>
          <w:tcPr>
            <w:tcW w:w="20" w:type="dxa"/>
            <w:vAlign w:val="bottom"/>
          </w:tcPr>
          <w:p>
            <w:pPr>
              <w:spacing w:after="0"/>
              <w:rPr>
                <w:sz w:val="11"/>
                <w:szCs w:val="11"/>
                <w:color w:val="auto"/>
              </w:rPr>
            </w:pPr>
          </w:p>
        </w:tc>
        <w:tc>
          <w:tcPr>
            <w:tcW w:w="2760" w:type="dxa"/>
            <w:vAlign w:val="bottom"/>
            <w:tcBorders>
              <w:top w:val="single" w:sz="8" w:color="auto"/>
            </w:tcBorders>
            <w:shd w:val="clear" w:color="auto" w:fill="CCEEFF"/>
          </w:tcPr>
          <w:p>
            <w:pPr>
              <w:spacing w:after="0" w:line="134" w:lineRule="exact"/>
              <w:rPr>
                <w:sz w:val="20"/>
                <w:szCs w:val="20"/>
                <w:color w:val="auto"/>
              </w:rPr>
            </w:pPr>
            <w:r>
              <w:rPr>
                <w:rFonts w:ascii="Arial" w:cs="Arial" w:eastAsia="Arial" w:hAnsi="Arial"/>
                <w:sz w:val="13"/>
                <w:szCs w:val="13"/>
                <w:color w:val="auto"/>
              </w:rPr>
              <w:t>Balance as of February 1, 2020</w:t>
            </w:r>
          </w:p>
        </w:tc>
        <w:tc>
          <w:tcPr>
            <w:tcW w:w="106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1180" w:type="dxa"/>
            <w:vAlign w:val="bottom"/>
            <w:tcBorders>
              <w:top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ind w:right="755"/>
              <w:spacing w:after="0" w:line="134" w:lineRule="exact"/>
              <w:rPr>
                <w:sz w:val="20"/>
                <w:szCs w:val="20"/>
                <w:color w:val="auto"/>
              </w:rPr>
            </w:pPr>
            <w:r>
              <w:rPr>
                <w:rFonts w:ascii="Arial" w:cs="Arial" w:eastAsia="Arial" w:hAnsi="Arial"/>
                <w:sz w:val="13"/>
                <w:szCs w:val="13"/>
                <w:b w:val="1"/>
                <w:bCs w:val="1"/>
                <w:color w:val="auto"/>
              </w:rPr>
              <w:t>$</w:t>
            </w:r>
          </w:p>
        </w:tc>
        <w:tc>
          <w:tcPr>
            <w:tcW w:w="360" w:type="dxa"/>
            <w:vAlign w:val="bottom"/>
            <w:tcBorders>
              <w:top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color w:val="auto"/>
              </w:rPr>
              <w:t>—</w:t>
            </w:r>
          </w:p>
        </w:tc>
        <w:tc>
          <w:tcPr>
            <w:tcW w:w="960" w:type="dxa"/>
            <w:vAlign w:val="bottom"/>
            <w:tcBorders>
              <w:top w:val="single" w:sz="8" w:color="auto"/>
            </w:tcBorders>
            <w:shd w:val="clear" w:color="auto" w:fill="CCEEFF"/>
          </w:tcPr>
          <w:p>
            <w:pPr>
              <w:jc w:val="right"/>
              <w:ind w:right="735"/>
              <w:spacing w:after="0" w:line="134" w:lineRule="exact"/>
              <w:rPr>
                <w:sz w:val="20"/>
                <w:szCs w:val="20"/>
                <w:color w:val="auto"/>
              </w:rPr>
            </w:pPr>
            <w:r>
              <w:rPr>
                <w:rFonts w:ascii="Arial" w:cs="Arial" w:eastAsia="Arial" w:hAnsi="Arial"/>
                <w:sz w:val="13"/>
                <w:szCs w:val="13"/>
                <w:color w:val="auto"/>
              </w:rPr>
              <w:t>$</w:t>
            </w:r>
          </w:p>
        </w:tc>
        <w:tc>
          <w:tcPr>
            <w:tcW w:w="360" w:type="dxa"/>
            <w:vAlign w:val="bottom"/>
            <w:tcBorders>
              <w:top w:val="single" w:sz="8" w:color="auto"/>
            </w:tcBorders>
            <w:shd w:val="clear" w:color="auto" w:fill="CCEEFF"/>
          </w:tcPr>
          <w:p>
            <w:pPr>
              <w:jc w:val="right"/>
              <w:ind w:right="55"/>
              <w:spacing w:after="0" w:line="134" w:lineRule="exact"/>
              <w:rPr>
                <w:sz w:val="20"/>
                <w:szCs w:val="20"/>
                <w:color w:val="auto"/>
              </w:rPr>
            </w:pPr>
            <w:r>
              <w:rPr>
                <w:rFonts w:ascii="Arial" w:cs="Arial" w:eastAsia="Arial" w:hAnsi="Arial"/>
                <w:sz w:val="13"/>
                <w:szCs w:val="13"/>
                <w:color w:val="auto"/>
              </w:rPr>
              <w:t>—</w:t>
            </w:r>
          </w:p>
        </w:tc>
        <w:tc>
          <w:tcPr>
            <w:tcW w:w="360" w:type="dxa"/>
            <w:vAlign w:val="bottom"/>
            <w:tcBorders>
              <w:top w:val="single" w:sz="8" w:color="auto"/>
            </w:tcBorders>
            <w:shd w:val="clear" w:color="auto" w:fill="CCEEFF"/>
          </w:tcPr>
          <w:p>
            <w:pPr>
              <w:jc w:val="right"/>
              <w:ind w:right="115"/>
              <w:spacing w:after="0" w:line="134" w:lineRule="exact"/>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r>
      <w:tr>
        <w:trPr>
          <w:trHeight w:val="144"/>
        </w:trPr>
        <w:tc>
          <w:tcPr>
            <w:tcW w:w="20" w:type="dxa"/>
            <w:vAlign w:val="bottom"/>
          </w:tcPr>
          <w:p>
            <w:pPr>
              <w:spacing w:after="0"/>
              <w:rPr>
                <w:sz w:val="12"/>
                <w:szCs w:val="12"/>
                <w:color w:val="auto"/>
              </w:rPr>
            </w:pPr>
          </w:p>
        </w:tc>
        <w:tc>
          <w:tcPr>
            <w:tcW w:w="2760" w:type="dxa"/>
            <w:vAlign w:val="bottom"/>
          </w:tcPr>
          <w:p>
            <w:pPr>
              <w:ind w:left="80"/>
              <w:spacing w:after="0" w:line="144" w:lineRule="exact"/>
              <w:rPr>
                <w:sz w:val="20"/>
                <w:szCs w:val="20"/>
                <w:color w:val="auto"/>
              </w:rPr>
            </w:pPr>
            <w:r>
              <w:rPr>
                <w:rFonts w:ascii="Arial" w:cs="Arial" w:eastAsia="Arial" w:hAnsi="Arial"/>
                <w:sz w:val="13"/>
                <w:szCs w:val="13"/>
                <w:color w:val="auto"/>
              </w:rPr>
              <w:t>Charges</w:t>
            </w:r>
          </w:p>
        </w:tc>
        <w:tc>
          <w:tcPr>
            <w:tcW w:w="1060" w:type="dxa"/>
            <w:vAlign w:val="bottom"/>
          </w:tcPr>
          <w:p>
            <w:pPr>
              <w:spacing w:after="0"/>
              <w:rPr>
                <w:sz w:val="12"/>
                <w:szCs w:val="12"/>
                <w:color w:val="auto"/>
              </w:rPr>
            </w:pPr>
          </w:p>
        </w:tc>
        <w:tc>
          <w:tcPr>
            <w:tcW w:w="1180" w:type="dxa"/>
            <w:vAlign w:val="bottom"/>
          </w:tcPr>
          <w:p>
            <w:pPr>
              <w:jc w:val="right"/>
              <w:ind w:right="75"/>
              <w:spacing w:after="0" w:line="144" w:lineRule="exact"/>
              <w:rPr>
                <w:sz w:val="20"/>
                <w:szCs w:val="20"/>
                <w:color w:val="auto"/>
              </w:rPr>
            </w:pPr>
            <w:r>
              <w:rPr>
                <w:rFonts w:ascii="Arial" w:cs="Arial" w:eastAsia="Arial" w:hAnsi="Arial"/>
                <w:sz w:val="13"/>
                <w:szCs w:val="13"/>
                <w:color w:val="auto"/>
              </w:rPr>
              <w:t>19</w:t>
            </w:r>
          </w:p>
        </w:tc>
        <w:tc>
          <w:tcPr>
            <w:tcW w:w="980" w:type="dxa"/>
            <w:vAlign w:val="bottom"/>
          </w:tcPr>
          <w:p>
            <w:pPr>
              <w:spacing w:after="0"/>
              <w:rPr>
                <w:sz w:val="12"/>
                <w:szCs w:val="12"/>
                <w:color w:val="auto"/>
              </w:rPr>
            </w:pPr>
          </w:p>
        </w:tc>
        <w:tc>
          <w:tcPr>
            <w:tcW w:w="360" w:type="dxa"/>
            <w:vAlign w:val="bottom"/>
          </w:tcPr>
          <w:p>
            <w:pPr>
              <w:jc w:val="right"/>
              <w:ind w:right="75"/>
              <w:spacing w:after="0" w:line="144" w:lineRule="exact"/>
              <w:rPr>
                <w:sz w:val="20"/>
                <w:szCs w:val="20"/>
                <w:color w:val="auto"/>
              </w:rPr>
            </w:pPr>
            <w:r>
              <w:rPr>
                <w:rFonts w:ascii="Arial" w:cs="Arial" w:eastAsia="Arial" w:hAnsi="Arial"/>
                <w:sz w:val="13"/>
                <w:szCs w:val="13"/>
                <w:color w:val="auto"/>
              </w:rPr>
              <w:t>3</w:t>
            </w:r>
          </w:p>
        </w:tc>
        <w:tc>
          <w:tcPr>
            <w:tcW w:w="960" w:type="dxa"/>
            <w:vAlign w:val="bottom"/>
          </w:tcPr>
          <w:p>
            <w:pPr>
              <w:spacing w:after="0"/>
              <w:rPr>
                <w:sz w:val="12"/>
                <w:szCs w:val="12"/>
                <w:color w:val="auto"/>
              </w:rPr>
            </w:pPr>
          </w:p>
        </w:tc>
        <w:tc>
          <w:tcPr>
            <w:tcW w:w="360" w:type="dxa"/>
            <w:vAlign w:val="bottom"/>
          </w:tcPr>
          <w:p>
            <w:pPr>
              <w:jc w:val="right"/>
              <w:ind w:right="55"/>
              <w:spacing w:after="0" w:line="144" w:lineRule="exact"/>
              <w:rPr>
                <w:sz w:val="20"/>
                <w:szCs w:val="20"/>
                <w:color w:val="auto"/>
              </w:rPr>
            </w:pPr>
            <w:r>
              <w:rPr>
                <w:rFonts w:ascii="Arial" w:cs="Arial" w:eastAsia="Arial" w:hAnsi="Arial"/>
                <w:sz w:val="13"/>
                <w:szCs w:val="13"/>
                <w:color w:val="auto"/>
              </w:rPr>
              <w:t>4</w:t>
            </w:r>
          </w:p>
        </w:tc>
        <w:tc>
          <w:tcPr>
            <w:tcW w:w="360" w:type="dxa"/>
            <w:vAlign w:val="bottom"/>
          </w:tcPr>
          <w:p>
            <w:pPr>
              <w:spacing w:after="0"/>
              <w:rPr>
                <w:sz w:val="12"/>
                <w:szCs w:val="12"/>
                <w:color w:val="auto"/>
              </w:rPr>
            </w:pPr>
          </w:p>
        </w:tc>
        <w:tc>
          <w:tcPr>
            <w:tcW w:w="920" w:type="dxa"/>
            <w:vAlign w:val="bottom"/>
          </w:tcPr>
          <w:p>
            <w:pPr>
              <w:jc w:val="right"/>
              <w:spacing w:after="0" w:line="144" w:lineRule="exact"/>
              <w:rPr>
                <w:sz w:val="20"/>
                <w:szCs w:val="20"/>
                <w:color w:val="auto"/>
              </w:rPr>
            </w:pPr>
            <w:r>
              <w:rPr>
                <w:rFonts w:ascii="Arial" w:cs="Arial" w:eastAsia="Arial" w:hAnsi="Arial"/>
                <w:sz w:val="13"/>
                <w:szCs w:val="13"/>
                <w:color w:val="auto"/>
              </w:rPr>
              <w:t>26</w:t>
            </w:r>
          </w:p>
        </w:tc>
      </w:tr>
      <w:tr>
        <w:trPr>
          <w:trHeight w:val="144"/>
        </w:trPr>
        <w:tc>
          <w:tcPr>
            <w:tcW w:w="20" w:type="dxa"/>
            <w:vAlign w:val="bottom"/>
          </w:tcPr>
          <w:p>
            <w:pPr>
              <w:spacing w:after="0"/>
              <w:rPr>
                <w:sz w:val="12"/>
                <w:szCs w:val="12"/>
                <w:color w:val="auto"/>
              </w:rPr>
            </w:pPr>
          </w:p>
        </w:tc>
        <w:tc>
          <w:tcPr>
            <w:tcW w:w="2760" w:type="dxa"/>
            <w:vAlign w:val="bottom"/>
            <w:tcBorders>
              <w:bottom w:val="single" w:sz="8" w:color="auto"/>
            </w:tcBorders>
            <w:shd w:val="clear" w:color="auto" w:fill="CCEEFF"/>
          </w:tcPr>
          <w:p>
            <w:pPr>
              <w:ind w:left="80"/>
              <w:spacing w:after="0" w:line="144" w:lineRule="exact"/>
              <w:rPr>
                <w:sz w:val="20"/>
                <w:szCs w:val="20"/>
                <w:color w:val="auto"/>
              </w:rPr>
            </w:pPr>
            <w:r>
              <w:rPr>
                <w:rFonts w:ascii="Arial" w:cs="Arial" w:eastAsia="Arial" w:hAnsi="Arial"/>
                <w:sz w:val="13"/>
                <w:szCs w:val="13"/>
                <w:color w:val="auto"/>
              </w:rPr>
              <w:t>Payments</w:t>
            </w:r>
          </w:p>
        </w:tc>
        <w:tc>
          <w:tcPr>
            <w:tcW w:w="106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ind w:right="35"/>
              <w:spacing w:after="0" w:line="144" w:lineRule="exact"/>
              <w:rPr>
                <w:sz w:val="20"/>
                <w:szCs w:val="20"/>
                <w:color w:val="auto"/>
              </w:rPr>
            </w:pPr>
            <w:r>
              <w:rPr>
                <w:rFonts w:ascii="Arial" w:cs="Arial" w:eastAsia="Arial" w:hAnsi="Arial"/>
                <w:sz w:val="13"/>
                <w:szCs w:val="13"/>
                <w:color w:val="auto"/>
              </w:rPr>
              <w:t>(13)</w:t>
            </w:r>
          </w:p>
        </w:tc>
        <w:tc>
          <w:tcPr>
            <w:tcW w:w="98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ind w:right="35"/>
              <w:spacing w:after="0" w:line="144" w:lineRule="exact"/>
              <w:rPr>
                <w:sz w:val="20"/>
                <w:szCs w:val="20"/>
                <w:color w:val="auto"/>
              </w:rPr>
            </w:pPr>
            <w:r>
              <w:rPr>
                <w:rFonts w:ascii="Arial" w:cs="Arial" w:eastAsia="Arial" w:hAnsi="Arial"/>
                <w:sz w:val="13"/>
                <w:szCs w:val="13"/>
                <w:color w:val="auto"/>
              </w:rPr>
              <w:t>(3)</w:t>
            </w:r>
          </w:p>
        </w:tc>
        <w:tc>
          <w:tcPr>
            <w:tcW w:w="96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w:t>
            </w:r>
          </w:p>
        </w:tc>
        <w:tc>
          <w:tcPr>
            <w:tcW w:w="3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(16)</w:t>
            </w:r>
          </w:p>
        </w:tc>
      </w:tr>
      <w:tr>
        <w:trPr>
          <w:trHeight w:val="134"/>
        </w:trPr>
        <w:tc>
          <w:tcPr>
            <w:tcW w:w="20" w:type="dxa"/>
            <w:vAlign w:val="bottom"/>
            <w:tcBorders>
              <w:bottom w:val="single" w:sz="8" w:color="auto"/>
            </w:tcBorders>
          </w:tcPr>
          <w:p>
            <w:pPr>
              <w:spacing w:after="0"/>
              <w:rPr>
                <w:sz w:val="11"/>
                <w:szCs w:val="11"/>
                <w:color w:val="auto"/>
              </w:rPr>
            </w:pPr>
          </w:p>
        </w:tc>
        <w:tc>
          <w:tcPr>
            <w:tcW w:w="2760" w:type="dxa"/>
            <w:vAlign w:val="bottom"/>
            <w:tcBorders>
              <w:bottom w:val="single" w:sz="8" w:color="auto"/>
            </w:tcBorders>
          </w:tcPr>
          <w:p>
            <w:pPr>
              <w:spacing w:after="0" w:line="134" w:lineRule="exact"/>
              <w:rPr>
                <w:sz w:val="20"/>
                <w:szCs w:val="20"/>
                <w:color w:val="auto"/>
              </w:rPr>
            </w:pPr>
            <w:r>
              <w:rPr>
                <w:rFonts w:ascii="Arial" w:cs="Arial" w:eastAsia="Arial" w:hAnsi="Arial"/>
                <w:sz w:val="13"/>
                <w:szCs w:val="13"/>
                <w:color w:val="auto"/>
              </w:rPr>
              <w:t>Balance as of January 30, 2021</w:t>
            </w:r>
          </w:p>
        </w:tc>
        <w:tc>
          <w:tcPr>
            <w:tcW w:w="10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w:t>
            </w:r>
          </w:p>
        </w:tc>
        <w:tc>
          <w:tcPr>
            <w:tcW w:w="1180" w:type="dxa"/>
            <w:vAlign w:val="bottom"/>
            <w:tcBorders>
              <w:bottom w:val="single" w:sz="8" w:color="auto"/>
            </w:tcBorders>
          </w:tcPr>
          <w:p>
            <w:pPr>
              <w:jc w:val="right"/>
              <w:ind w:right="75"/>
              <w:spacing w:after="0" w:line="134" w:lineRule="exact"/>
              <w:rPr>
                <w:sz w:val="20"/>
                <w:szCs w:val="20"/>
                <w:color w:val="auto"/>
              </w:rPr>
            </w:pPr>
            <w:r>
              <w:rPr>
                <w:rFonts w:ascii="Arial" w:cs="Arial" w:eastAsia="Arial" w:hAnsi="Arial"/>
                <w:sz w:val="13"/>
                <w:szCs w:val="13"/>
                <w:b w:val="1"/>
                <w:bCs w:val="1"/>
                <w:color w:val="auto"/>
              </w:rPr>
              <w:t>6</w:t>
            </w:r>
          </w:p>
        </w:tc>
        <w:tc>
          <w:tcPr>
            <w:tcW w:w="980" w:type="dxa"/>
            <w:vAlign w:val="bottom"/>
            <w:tcBorders>
              <w:bottom w:val="single" w:sz="8" w:color="auto"/>
            </w:tcBorders>
          </w:tcPr>
          <w:p>
            <w:pPr>
              <w:jc w:val="right"/>
              <w:ind w:right="755"/>
              <w:spacing w:after="0" w:line="134" w:lineRule="exact"/>
              <w:rPr>
                <w:sz w:val="20"/>
                <w:szCs w:val="20"/>
                <w:color w:val="auto"/>
              </w:rPr>
            </w:pPr>
            <w:r>
              <w:rPr>
                <w:rFonts w:ascii="Arial" w:cs="Arial" w:eastAsia="Arial" w:hAnsi="Arial"/>
                <w:sz w:val="13"/>
                <w:szCs w:val="13"/>
                <w:b w:val="1"/>
                <w:bCs w:val="1"/>
                <w:color w:val="auto"/>
              </w:rPr>
              <w:t>$</w:t>
            </w:r>
          </w:p>
        </w:tc>
        <w:tc>
          <w:tcPr>
            <w:tcW w:w="360" w:type="dxa"/>
            <w:vAlign w:val="bottom"/>
            <w:tcBorders>
              <w:bottom w:val="single" w:sz="8" w:color="auto"/>
            </w:tcBorders>
          </w:tcPr>
          <w:p>
            <w:pPr>
              <w:jc w:val="right"/>
              <w:ind w:right="75"/>
              <w:spacing w:after="0" w:line="134" w:lineRule="exact"/>
              <w:rPr>
                <w:sz w:val="20"/>
                <w:szCs w:val="20"/>
                <w:color w:val="auto"/>
              </w:rPr>
            </w:pPr>
            <w:r>
              <w:rPr>
                <w:rFonts w:ascii="Arial" w:cs="Arial" w:eastAsia="Arial" w:hAnsi="Arial"/>
                <w:sz w:val="13"/>
                <w:szCs w:val="13"/>
                <w:b w:val="1"/>
                <w:bCs w:val="1"/>
                <w:color w:val="auto"/>
              </w:rPr>
              <w:t>—</w:t>
            </w:r>
          </w:p>
        </w:tc>
        <w:tc>
          <w:tcPr>
            <w:tcW w:w="960" w:type="dxa"/>
            <w:vAlign w:val="bottom"/>
            <w:tcBorders>
              <w:bottom w:val="single" w:sz="8" w:color="auto"/>
            </w:tcBorders>
          </w:tcPr>
          <w:p>
            <w:pPr>
              <w:jc w:val="right"/>
              <w:ind w:right="735"/>
              <w:spacing w:after="0" w:line="134" w:lineRule="exact"/>
              <w:rPr>
                <w:sz w:val="20"/>
                <w:szCs w:val="20"/>
                <w:color w:val="auto"/>
              </w:rPr>
            </w:pPr>
            <w:r>
              <w:rPr>
                <w:rFonts w:ascii="Arial" w:cs="Arial" w:eastAsia="Arial" w:hAnsi="Arial"/>
                <w:sz w:val="13"/>
                <w:szCs w:val="13"/>
                <w:b w:val="1"/>
                <w:bCs w:val="1"/>
                <w:color w:val="auto"/>
              </w:rPr>
              <w:t>$</w:t>
            </w:r>
          </w:p>
        </w:tc>
        <w:tc>
          <w:tcPr>
            <w:tcW w:w="360" w:type="dxa"/>
            <w:vAlign w:val="bottom"/>
            <w:tcBorders>
              <w:bottom w:val="single" w:sz="8" w:color="auto"/>
            </w:tcBorders>
          </w:tcPr>
          <w:p>
            <w:pPr>
              <w:jc w:val="right"/>
              <w:ind w:right="55"/>
              <w:spacing w:after="0" w:line="134" w:lineRule="exact"/>
              <w:rPr>
                <w:sz w:val="20"/>
                <w:szCs w:val="20"/>
                <w:color w:val="auto"/>
              </w:rPr>
            </w:pPr>
            <w:r>
              <w:rPr>
                <w:rFonts w:ascii="Arial" w:cs="Arial" w:eastAsia="Arial" w:hAnsi="Arial"/>
                <w:sz w:val="13"/>
                <w:szCs w:val="13"/>
                <w:b w:val="1"/>
                <w:bCs w:val="1"/>
                <w:color w:val="auto"/>
              </w:rPr>
              <w:t>4</w:t>
            </w:r>
          </w:p>
        </w:tc>
        <w:tc>
          <w:tcPr>
            <w:tcW w:w="360" w:type="dxa"/>
            <w:vAlign w:val="bottom"/>
            <w:tcBorders>
              <w:bottom w:val="single" w:sz="8" w:color="auto"/>
            </w:tcBorders>
          </w:tcPr>
          <w:p>
            <w:pPr>
              <w:jc w:val="right"/>
              <w:ind w:right="115"/>
              <w:spacing w:after="0" w:line="134" w:lineRule="exact"/>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10</w:t>
            </w:r>
          </w:p>
        </w:tc>
      </w:tr>
      <w:tr>
        <w:trPr>
          <w:trHeight w:val="20"/>
        </w:trPr>
        <w:tc>
          <w:tcPr>
            <w:tcW w:w="20" w:type="dxa"/>
            <w:vAlign w:val="bottom"/>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both"/>
        <w:ind w:left="20" w:right="39"/>
        <w:spacing w:after="0" w:line="236" w:lineRule="auto"/>
        <w:rPr>
          <w:sz w:val="20"/>
          <w:szCs w:val="20"/>
          <w:color w:val="auto"/>
        </w:rPr>
      </w:pPr>
      <w:r>
        <w:rPr>
          <w:rFonts w:ascii="Arial" w:cs="Arial" w:eastAsia="Arial" w:hAnsi="Arial"/>
          <w:sz w:val="13"/>
          <w:szCs w:val="13"/>
          <w:color w:val="auto"/>
        </w:rPr>
        <w:t>During 2020 and 2019, we recorded non-cash charges of $4 million and $11 million, respectively, related to the write-down of certain minority investments. One of our investments experienced a deterioration in their future outlook and due to the underperformance of this investee, we have partially written down our investment in 2020 and 2019. In 2019, we recorded a full write down our investment in a children’s athletics startup which filed for bankruptcy.</w:t>
      </w:r>
    </w:p>
    <w:p>
      <w:pPr>
        <w:spacing w:after="0" w:line="133" w:lineRule="exact"/>
        <w:rPr>
          <w:sz w:val="20"/>
          <w:szCs w:val="20"/>
          <w:color w:val="auto"/>
        </w:rPr>
      </w:pPr>
    </w:p>
    <w:p>
      <w:pPr>
        <w:jc w:val="both"/>
        <w:ind w:left="20" w:right="39"/>
        <w:spacing w:after="0" w:line="235" w:lineRule="auto"/>
        <w:rPr>
          <w:sz w:val="20"/>
          <w:szCs w:val="20"/>
          <w:color w:val="auto"/>
        </w:rPr>
      </w:pPr>
      <w:r>
        <w:rPr>
          <w:rFonts w:ascii="Arial" w:cs="Arial" w:eastAsia="Arial" w:hAnsi="Arial"/>
          <w:sz w:val="13"/>
          <w:szCs w:val="13"/>
          <w:color w:val="auto"/>
        </w:rPr>
        <w:t>The Company and the Company’s U.S. pension plan were involved in litigation related to the conversion of the plan to a cash balance plan. The court entered its final judgment in 2018, which required the plan be reformed as directed by the court order. We recorded charges in 2020, 2019, and 2018, related to the pension matter and related plan reformation totaling $2 million, $4 million, and $18 million, respectively. These charges recorded represented certain costs of the reformation and related administrative expenses.</w:t>
      </w:r>
    </w:p>
    <w:p>
      <w:pPr>
        <w:spacing w:after="0" w:line="133" w:lineRule="exact"/>
        <w:rPr>
          <w:sz w:val="20"/>
          <w:szCs w:val="20"/>
          <w:color w:val="auto"/>
        </w:rPr>
      </w:pPr>
    </w:p>
    <w:p>
      <w:pPr>
        <w:jc w:val="both"/>
        <w:ind w:left="20" w:right="39"/>
        <w:spacing w:after="0" w:line="235" w:lineRule="auto"/>
        <w:rPr>
          <w:sz w:val="20"/>
          <w:szCs w:val="20"/>
          <w:color w:val="auto"/>
        </w:rPr>
      </w:pPr>
      <w:r>
        <w:rPr>
          <w:rFonts w:ascii="Arial" w:cs="Arial" w:eastAsia="Arial" w:hAnsi="Arial"/>
          <w:sz w:val="13"/>
          <w:szCs w:val="13"/>
          <w:color w:val="auto"/>
        </w:rPr>
        <w:t>During 2019, we performed an impairment review on our Footaction stores, certain other underperforming stores and a vacant store that had been previously subleased. We evaluated the long-lived assets, including the right-of-use assets, of these stores and recorded non-cash charges of $37 million to write down right-of-use assets, store fixtures and leasehold improvements. We also recorded $13 million of lease termination costs related to the closure of our SIX:02 locations during 2019.</w:t>
      </w:r>
    </w:p>
    <w:p>
      <w:pPr>
        <w:spacing w:after="0" w:line="133" w:lineRule="exact"/>
        <w:rPr>
          <w:sz w:val="20"/>
          <w:szCs w:val="20"/>
          <w:color w:val="auto"/>
        </w:rPr>
      </w:pPr>
    </w:p>
    <w:p>
      <w:pPr>
        <w:jc w:val="both"/>
        <w:ind w:left="20" w:right="39"/>
        <w:spacing w:after="0" w:line="236" w:lineRule="auto"/>
        <w:rPr>
          <w:sz w:val="20"/>
          <w:szCs w:val="20"/>
          <w:color w:val="auto"/>
        </w:rPr>
      </w:pPr>
      <w:r>
        <w:rPr>
          <w:rFonts w:ascii="Arial" w:cs="Arial" w:eastAsia="Arial" w:hAnsi="Arial"/>
          <w:sz w:val="13"/>
          <w:szCs w:val="13"/>
          <w:color w:val="auto"/>
        </w:rPr>
        <w:t>During 2018, we recorded non-cash impairment charges of $4 million to write down store fixtures and leasehold improvements. We also performed an impairment review of other intangible assets and recorded a charge of $15 million to write down the value of the trademarks/trade names associated with Runners Point.</w:t>
      </w:r>
    </w:p>
    <w:p>
      <w:pPr>
        <w:spacing w:after="0" w:line="6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4. Other Income, net</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3"/>
          <w:szCs w:val="13"/>
          <w:color w:val="auto"/>
        </w:rPr>
        <w:t>Other income, net was $198 million, $12 million, and $5 million in 2020, 2019, and 2018, respectively.</w:t>
      </w:r>
    </w:p>
    <w:p>
      <w:pPr>
        <w:spacing w:after="0" w:line="97" w:lineRule="exact"/>
        <w:rPr>
          <w:sz w:val="20"/>
          <w:szCs w:val="20"/>
          <w:color w:val="auto"/>
        </w:rPr>
      </w:pPr>
    </w:p>
    <w:p>
      <w:pPr>
        <w:ind w:left="7520"/>
        <w:spacing w:after="0"/>
        <w:rPr>
          <w:sz w:val="20"/>
          <w:szCs w:val="20"/>
          <w:color w:val="auto"/>
        </w:rPr>
      </w:pPr>
      <w:r>
        <w:rPr>
          <w:rFonts w:ascii="Arial" w:cs="Arial" w:eastAsia="Arial" w:hAnsi="Arial"/>
          <w:sz w:val="12"/>
          <w:szCs w:val="12"/>
          <w:color w:val="auto"/>
        </w:rPr>
        <w:t>2020 Form 10-K Page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365125</wp:posOffset>
            </wp:positionV>
            <wp:extent cx="5680075" cy="133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80075" cy="13335"/>
                    </a:xfrm>
                    <a:prstGeom prst="rect">
                      <a:avLst/>
                    </a:prstGeom>
                    <a:noFill/>
                  </pic:spPr>
                </pic:pic>
              </a:graphicData>
            </a:graphic>
          </wp:anchor>
        </w:drawing>
      </w:r>
    </w:p>
    <w:p>
      <w:pPr>
        <w:sectPr>
          <w:pgSz w:w="11900" w:h="16838" w:orient="portrait"/>
          <w:cols w:equalWidth="0" w:num="1">
            <w:col w:w="9019"/>
          </w:cols>
          <w:pgMar w:left="1440" w:top="995" w:right="1440" w:bottom="1440" w:gutter="0" w:footer="0" w:header="0"/>
        </w:sectPr>
      </w:pPr>
    </w:p>
    <w:bookmarkStart w:id="54" w:name="page55"/>
    <w:bookmarkEnd w:id="54"/>
    <w:p>
      <w:pPr>
        <w:ind w:left="27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2992755</wp:posOffset>
            </wp:positionH>
            <wp:positionV relativeFrom="page">
              <wp:posOffset>375285</wp:posOffset>
            </wp:positionV>
            <wp:extent cx="1563370" cy="169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1563370" cy="169545"/>
                    </a:xfrm>
                    <a:prstGeom prst="rect">
                      <a:avLst/>
                    </a:prstGeom>
                    <a:noFill/>
                  </pic:spPr>
                </pic:pic>
              </a:graphicData>
            </a:graphic>
          </wp:anchor>
        </w:drawing>
        <w:t>NOTES TO CONSOLIDATED FINANCIAL STATEMENTS</w:t>
      </w:r>
    </w:p>
    <w:p>
      <w:pPr>
        <w:spacing w:after="0" w:line="159" w:lineRule="exact"/>
        <w:rPr>
          <w:sz w:val="20"/>
          <w:szCs w:val="20"/>
          <w:color w:val="auto"/>
        </w:rPr>
      </w:pPr>
    </w:p>
    <w:p>
      <w:pPr>
        <w:ind w:left="20"/>
        <w:spacing w:after="0"/>
        <w:rPr>
          <w:sz w:val="20"/>
          <w:szCs w:val="20"/>
          <w:color w:val="auto"/>
        </w:rPr>
      </w:pPr>
      <w:r>
        <w:rPr>
          <w:rFonts w:ascii="Arial" w:cs="Arial" w:eastAsia="Arial" w:hAnsi="Arial"/>
          <w:sz w:val="13"/>
          <w:szCs w:val="13"/>
          <w:color w:val="auto"/>
        </w:rPr>
        <w:t>Other income, net includes non-operating items, such as:</w:t>
      </w:r>
    </w:p>
    <w:p>
      <w:pPr>
        <w:spacing w:after="0" w:line="81" w:lineRule="exact"/>
        <w:rPr>
          <w:sz w:val="20"/>
          <w:szCs w:val="20"/>
          <w:color w:val="auto"/>
        </w:rPr>
      </w:pPr>
    </w:p>
    <w:p>
      <w:pPr>
        <w:ind w:left="820" w:hanging="246"/>
        <w:spacing w:after="0"/>
        <w:tabs>
          <w:tab w:leader="none" w:pos="8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franchise royalty income,</w:t>
      </w:r>
    </w:p>
    <w:p>
      <w:pPr>
        <w:ind w:left="820" w:hanging="246"/>
        <w:spacing w:after="0" w:line="230" w:lineRule="auto"/>
        <w:tabs>
          <w:tab w:leader="none" w:pos="8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gains associated with disposal of property,</w:t>
      </w:r>
    </w:p>
    <w:p>
      <w:pPr>
        <w:ind w:left="820" w:hanging="246"/>
        <w:spacing w:after="0" w:line="230" w:lineRule="auto"/>
        <w:tabs>
          <w:tab w:leader="none" w:pos="8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changes in fair value, premiums paid, and realized gains associated with foreign currency option contracts,</w:t>
      </w:r>
    </w:p>
    <w:p>
      <w:pPr>
        <w:ind w:left="820" w:hanging="246"/>
        <w:spacing w:after="0" w:line="230" w:lineRule="auto"/>
        <w:tabs>
          <w:tab w:leader="none" w:pos="8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changes in the market value of our available-for-sale security,</w:t>
      </w:r>
    </w:p>
    <w:p>
      <w:pPr>
        <w:ind w:left="820" w:hanging="246"/>
        <w:spacing w:after="0" w:line="230" w:lineRule="auto"/>
        <w:tabs>
          <w:tab w:leader="none" w:pos="8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premiums paid to repurchase and retire bonds,</w:t>
      </w:r>
    </w:p>
    <w:p>
      <w:pPr>
        <w:ind w:left="820" w:right="59" w:hanging="246"/>
        <w:spacing w:after="0" w:line="230" w:lineRule="auto"/>
        <w:tabs>
          <w:tab w:leader="none" w:pos="8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changes in value for our investments accounted for using the fair value measurement alternative, which is at cost adjusted for changes in observable prices minus impairment,</w:t>
      </w:r>
    </w:p>
    <w:p>
      <w:pPr>
        <w:ind w:left="820" w:hanging="246"/>
        <w:spacing w:after="0" w:line="230" w:lineRule="auto"/>
        <w:tabs>
          <w:tab w:leader="none" w:pos="8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our share of earnings or losses related to our equity method investments, and</w:t>
      </w:r>
    </w:p>
    <w:p>
      <w:pPr>
        <w:ind w:left="820" w:hanging="246"/>
        <w:spacing w:after="0"/>
        <w:tabs>
          <w:tab w:leader="none" w:pos="8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net benefit expense or income related to our pension and postretirement programs, excluding the service cost component.</w:t>
      </w:r>
    </w:p>
    <w:p>
      <w:pPr>
        <w:spacing w:after="0" w:line="97" w:lineRule="exact"/>
        <w:rPr>
          <w:sz w:val="20"/>
          <w:szCs w:val="20"/>
          <w:color w:val="auto"/>
        </w:rPr>
      </w:pPr>
    </w:p>
    <w:p>
      <w:pPr>
        <w:jc w:val="both"/>
        <w:ind w:left="20" w:right="39"/>
        <w:spacing w:after="0" w:line="235" w:lineRule="auto"/>
        <w:rPr>
          <w:sz w:val="20"/>
          <w:szCs w:val="20"/>
          <w:color w:val="auto"/>
        </w:rPr>
      </w:pPr>
      <w:r>
        <w:rPr>
          <w:rFonts w:ascii="Arial" w:cs="Arial" w:eastAsia="Arial" w:hAnsi="Arial"/>
          <w:sz w:val="13"/>
          <w:szCs w:val="13"/>
          <w:color w:val="auto"/>
        </w:rPr>
        <w:t>In 2020, one of our minority investments, which is measured using the fair value measurement alternative, received additional funding in August at a higher valuation than our initial investment. As a result, we recorded a $190 million non-cash gain during the third quarter of 2020. Other income, net also included $6 million of royalty income, $5 million of net benefit income relating to our pension and post retirement programs. This income was partially offset by $2 million in premiums paid in connection with the repurchase and retirement of bonds and a $1 million loss related to our equity method investments.</w:t>
      </w:r>
    </w:p>
    <w:p>
      <w:pPr>
        <w:spacing w:after="0" w:line="81" w:lineRule="exact"/>
        <w:rPr>
          <w:sz w:val="20"/>
          <w:szCs w:val="20"/>
          <w:color w:val="auto"/>
        </w:rPr>
      </w:pPr>
    </w:p>
    <w:p>
      <w:pPr>
        <w:jc w:val="both"/>
        <w:ind w:left="20" w:right="39"/>
        <w:spacing w:after="0" w:line="235" w:lineRule="auto"/>
        <w:rPr>
          <w:sz w:val="20"/>
          <w:szCs w:val="20"/>
          <w:color w:val="auto"/>
        </w:rPr>
      </w:pPr>
      <w:r>
        <w:rPr>
          <w:rFonts w:ascii="Arial" w:cs="Arial" w:eastAsia="Arial" w:hAnsi="Arial"/>
          <w:sz w:val="13"/>
          <w:szCs w:val="13"/>
          <w:color w:val="auto"/>
        </w:rPr>
        <w:t>During 2019, we recorded $8 million of royalty income, a $4 million gain associated with the acquisition of a Canadian distribution center lease and related assets from the partial exchange of a note that had previously been written down to zero, a $2 million gain related to the sale of a building, a $1 million gain on our available-for-sale security, partially offset by $2 million of net benefit expense relating to our pension and post retirement programs, and $1 million loss related to our equity method investments.</w:t>
      </w:r>
    </w:p>
    <w:p>
      <w:pPr>
        <w:spacing w:after="0" w:line="92" w:lineRule="exact"/>
        <w:rPr>
          <w:sz w:val="20"/>
          <w:szCs w:val="20"/>
          <w:color w:val="auto"/>
        </w:rPr>
      </w:pPr>
    </w:p>
    <w:p>
      <w:pPr>
        <w:jc w:val="both"/>
        <w:ind w:left="20" w:right="39"/>
        <w:spacing w:after="0"/>
        <w:rPr>
          <w:sz w:val="20"/>
          <w:szCs w:val="20"/>
          <w:color w:val="auto"/>
        </w:rPr>
      </w:pPr>
      <w:r>
        <w:rPr>
          <w:rFonts w:ascii="Arial" w:cs="Arial" w:eastAsia="Arial" w:hAnsi="Arial"/>
          <w:sz w:val="13"/>
          <w:szCs w:val="13"/>
          <w:color w:val="auto"/>
        </w:rPr>
        <w:t>During 2018, we recorded $6 million of royalty income, $1 million of lease termination gains, a $1 million loss on our available-for-sale security, and $1 million of net benefit expense relating to our pension and post retirement programs.</w:t>
      </w: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800" w:type="dxa"/>
            <w:vAlign w:val="bottom"/>
            <w:gridSpan w:val="2"/>
          </w:tcPr>
          <w:p>
            <w:pPr>
              <w:spacing w:after="0"/>
              <w:rPr>
                <w:sz w:val="20"/>
                <w:szCs w:val="20"/>
                <w:color w:val="auto"/>
              </w:rPr>
            </w:pPr>
            <w:r>
              <w:rPr>
                <w:rFonts w:ascii="Arial" w:cs="Arial" w:eastAsia="Arial" w:hAnsi="Arial"/>
                <w:sz w:val="13"/>
                <w:szCs w:val="13"/>
                <w:b w:val="1"/>
                <w:bCs w:val="1"/>
                <w:color w:val="auto"/>
              </w:rPr>
              <w:t>5. Merchandise Inventories</w:t>
            </w:r>
          </w:p>
        </w:tc>
        <w:tc>
          <w:tcPr>
            <w:tcW w:w="3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18"/>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3180" w:type="dxa"/>
            <w:vAlign w:val="bottom"/>
          </w:tcPr>
          <w:p>
            <w:pPr>
              <w:jc w:val="right"/>
              <w:spacing w:after="0"/>
              <w:rPr>
                <w:sz w:val="20"/>
                <w:szCs w:val="20"/>
                <w:color w:val="auto"/>
              </w:rPr>
            </w:pPr>
            <w:r>
              <w:rPr>
                <w:rFonts w:ascii="Arial" w:cs="Arial" w:eastAsia="Arial" w:hAnsi="Arial"/>
                <w:sz w:val="13"/>
                <w:szCs w:val="13"/>
                <w:b w:val="1"/>
                <w:bCs w:val="1"/>
                <w:color w:val="auto"/>
              </w:rPr>
              <w:t>January 30,</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335"/>
              <w:spacing w:after="0"/>
              <w:rPr>
                <w:sz w:val="20"/>
                <w:szCs w:val="20"/>
                <w:color w:val="auto"/>
              </w:rPr>
            </w:pPr>
            <w:r>
              <w:rPr>
                <w:rFonts w:ascii="Arial" w:cs="Arial" w:eastAsia="Arial" w:hAnsi="Arial"/>
                <w:sz w:val="13"/>
                <w:szCs w:val="13"/>
                <w:color w:val="auto"/>
              </w:rPr>
              <w:t>February 1,</w:t>
            </w:r>
          </w:p>
        </w:tc>
      </w:tr>
      <w:tr>
        <w:trPr>
          <w:trHeight w:val="164"/>
        </w:trPr>
        <w:tc>
          <w:tcPr>
            <w:tcW w:w="3800" w:type="dxa"/>
            <w:vAlign w:val="bottom"/>
            <w:gridSpan w:val="2"/>
          </w:tcPr>
          <w:p>
            <w:pPr>
              <w:ind w:left="20"/>
              <w:spacing w:after="0"/>
              <w:rPr>
                <w:sz w:val="20"/>
                <w:szCs w:val="20"/>
                <w:color w:val="auto"/>
              </w:rPr>
            </w:pPr>
            <w:r>
              <w:rPr>
                <w:rFonts w:ascii="Arial" w:cs="Arial" w:eastAsia="Arial" w:hAnsi="Arial"/>
                <w:sz w:val="13"/>
                <w:szCs w:val="13"/>
                <w:color w:val="auto"/>
              </w:rPr>
              <w:t>($ in millions)</w:t>
            </w:r>
          </w:p>
        </w:tc>
        <w:tc>
          <w:tcPr>
            <w:tcW w:w="3180" w:type="dxa"/>
            <w:vAlign w:val="bottom"/>
          </w:tcPr>
          <w:p>
            <w:pPr>
              <w:jc w:val="right"/>
              <w:ind w:right="195"/>
              <w:spacing w:after="0"/>
              <w:rPr>
                <w:sz w:val="20"/>
                <w:szCs w:val="20"/>
                <w:color w:val="auto"/>
              </w:rPr>
            </w:pPr>
            <w:r>
              <w:rPr>
                <w:rFonts w:ascii="Arial" w:cs="Arial" w:eastAsia="Arial" w:hAnsi="Arial"/>
                <w:sz w:val="13"/>
                <w:szCs w:val="13"/>
                <w:b w:val="1"/>
                <w:bCs w:val="1"/>
                <w:color w:val="auto"/>
              </w:rPr>
              <w:t>2021</w:t>
            </w: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515"/>
              <w:spacing w:after="0"/>
              <w:rPr>
                <w:sz w:val="20"/>
                <w:szCs w:val="20"/>
                <w:color w:val="auto"/>
              </w:rPr>
            </w:pPr>
            <w:r>
              <w:rPr>
                <w:rFonts w:ascii="Arial" w:cs="Arial" w:eastAsia="Arial" w:hAnsi="Arial"/>
                <w:sz w:val="13"/>
                <w:szCs w:val="13"/>
                <w:color w:val="auto"/>
              </w:rPr>
              <w:t>2020</w:t>
            </w:r>
          </w:p>
        </w:tc>
      </w:tr>
      <w:tr>
        <w:trPr>
          <w:trHeight w:val="134"/>
        </w:trPr>
        <w:tc>
          <w:tcPr>
            <w:tcW w:w="20" w:type="dxa"/>
            <w:vAlign w:val="bottom"/>
          </w:tcPr>
          <w:p>
            <w:pPr>
              <w:spacing w:after="0"/>
              <w:rPr>
                <w:sz w:val="11"/>
                <w:szCs w:val="11"/>
                <w:color w:val="auto"/>
              </w:rPr>
            </w:pPr>
          </w:p>
        </w:tc>
        <w:tc>
          <w:tcPr>
            <w:tcW w:w="3780" w:type="dxa"/>
            <w:vAlign w:val="bottom"/>
            <w:tcBorders>
              <w:top w:val="single" w:sz="8" w:color="auto"/>
            </w:tcBorders>
            <w:shd w:val="clear" w:color="auto" w:fill="CCEEFF"/>
          </w:tcPr>
          <w:p>
            <w:pPr>
              <w:spacing w:after="0" w:line="134" w:lineRule="exact"/>
              <w:rPr>
                <w:sz w:val="20"/>
                <w:szCs w:val="20"/>
                <w:color w:val="auto"/>
              </w:rPr>
            </w:pPr>
            <w:r>
              <w:rPr>
                <w:rFonts w:ascii="Arial" w:cs="Arial" w:eastAsia="Arial" w:hAnsi="Arial"/>
                <w:sz w:val="13"/>
                <w:szCs w:val="13"/>
                <w:color w:val="auto"/>
              </w:rPr>
              <w:t>LIFO inventories</w:t>
            </w:r>
          </w:p>
        </w:tc>
        <w:tc>
          <w:tcPr>
            <w:tcW w:w="3180" w:type="dxa"/>
            <w:vAlign w:val="bottom"/>
            <w:tcBorders>
              <w:top w:val="single" w:sz="8" w:color="auto"/>
            </w:tcBorders>
            <w:shd w:val="clear" w:color="auto" w:fill="CCEEFF"/>
          </w:tcPr>
          <w:p>
            <w:pPr>
              <w:jc w:val="right"/>
              <w:ind w:right="975"/>
              <w:spacing w:after="0" w:line="134" w:lineRule="exact"/>
              <w:rPr>
                <w:sz w:val="20"/>
                <w:szCs w:val="20"/>
                <w:color w:val="auto"/>
              </w:rPr>
            </w:pPr>
            <w:r>
              <w:rPr>
                <w:rFonts w:ascii="Arial" w:cs="Arial" w:eastAsia="Arial" w:hAnsi="Arial"/>
                <w:sz w:val="13"/>
                <w:szCs w:val="13"/>
                <w:b w:val="1"/>
                <w:bCs w:val="1"/>
                <w:color w:val="auto"/>
              </w:rPr>
              <w:t>$</w:t>
            </w:r>
          </w:p>
        </w:tc>
        <w:tc>
          <w:tcPr>
            <w:tcW w:w="400" w:type="dxa"/>
            <w:vAlign w:val="bottom"/>
            <w:tcBorders>
              <w:top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b w:val="1"/>
                <w:bCs w:val="1"/>
                <w:color w:val="auto"/>
              </w:rPr>
              <w:t>544</w:t>
            </w:r>
          </w:p>
        </w:tc>
        <w:tc>
          <w:tcPr>
            <w:tcW w:w="360" w:type="dxa"/>
            <w:vAlign w:val="bottom"/>
            <w:tcBorders>
              <w:top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color w:val="auto"/>
              </w:rPr>
              <w:t>$</w:t>
            </w:r>
          </w:p>
        </w:tc>
        <w:tc>
          <w:tcPr>
            <w:tcW w:w="122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810</w:t>
            </w:r>
          </w:p>
        </w:tc>
      </w:tr>
      <w:tr>
        <w:trPr>
          <w:trHeight w:val="144"/>
        </w:trPr>
        <w:tc>
          <w:tcPr>
            <w:tcW w:w="20" w:type="dxa"/>
            <w:vAlign w:val="bottom"/>
          </w:tcPr>
          <w:p>
            <w:pPr>
              <w:spacing w:after="0"/>
              <w:rPr>
                <w:sz w:val="12"/>
                <w:szCs w:val="12"/>
                <w:color w:val="auto"/>
              </w:rPr>
            </w:pPr>
          </w:p>
        </w:tc>
        <w:tc>
          <w:tcPr>
            <w:tcW w:w="378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color w:val="auto"/>
              </w:rPr>
              <w:t>FIFO inventories</w:t>
            </w:r>
          </w:p>
        </w:tc>
        <w:tc>
          <w:tcPr>
            <w:tcW w:w="31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75"/>
              <w:spacing w:after="0" w:line="144" w:lineRule="exact"/>
              <w:rPr>
                <w:sz w:val="20"/>
                <w:szCs w:val="20"/>
                <w:color w:val="auto"/>
              </w:rPr>
            </w:pPr>
            <w:r>
              <w:rPr>
                <w:rFonts w:ascii="Arial" w:cs="Arial" w:eastAsia="Arial" w:hAnsi="Arial"/>
                <w:sz w:val="13"/>
                <w:szCs w:val="13"/>
                <w:b w:val="1"/>
                <w:bCs w:val="1"/>
                <w:color w:val="auto"/>
              </w:rPr>
              <w:t>379</w:t>
            </w: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398</w:t>
            </w:r>
          </w:p>
        </w:tc>
      </w:tr>
      <w:tr>
        <w:trPr>
          <w:trHeight w:val="134"/>
        </w:trPr>
        <w:tc>
          <w:tcPr>
            <w:tcW w:w="20" w:type="dxa"/>
            <w:vAlign w:val="bottom"/>
          </w:tcPr>
          <w:p>
            <w:pPr>
              <w:spacing w:after="0"/>
              <w:rPr>
                <w:sz w:val="11"/>
                <w:szCs w:val="11"/>
                <w:color w:val="auto"/>
              </w:rPr>
            </w:pPr>
          </w:p>
        </w:tc>
        <w:tc>
          <w:tcPr>
            <w:tcW w:w="3780" w:type="dxa"/>
            <w:vAlign w:val="bottom"/>
            <w:tcBorders>
              <w:bottom w:val="single" w:sz="8" w:color="auto"/>
            </w:tcBorders>
            <w:shd w:val="clear" w:color="auto" w:fill="CCEEFF"/>
          </w:tcPr>
          <w:p>
            <w:pPr>
              <w:spacing w:after="0" w:line="134" w:lineRule="exact"/>
              <w:rPr>
                <w:sz w:val="20"/>
                <w:szCs w:val="20"/>
                <w:color w:val="auto"/>
              </w:rPr>
            </w:pPr>
            <w:r>
              <w:rPr>
                <w:rFonts w:ascii="Arial" w:cs="Arial" w:eastAsia="Arial" w:hAnsi="Arial"/>
                <w:sz w:val="13"/>
                <w:szCs w:val="13"/>
                <w:color w:val="auto"/>
              </w:rPr>
              <w:t>Total merchandise inventories</w:t>
            </w:r>
          </w:p>
        </w:tc>
        <w:tc>
          <w:tcPr>
            <w:tcW w:w="3180" w:type="dxa"/>
            <w:vAlign w:val="bottom"/>
            <w:tcBorders>
              <w:bottom w:val="single" w:sz="8" w:color="auto"/>
            </w:tcBorders>
            <w:shd w:val="clear" w:color="auto" w:fill="CCEEFF"/>
          </w:tcPr>
          <w:p>
            <w:pPr>
              <w:jc w:val="right"/>
              <w:ind w:right="975"/>
              <w:spacing w:after="0" w:line="134" w:lineRule="exact"/>
              <w:rPr>
                <w:sz w:val="20"/>
                <w:szCs w:val="20"/>
                <w:color w:val="auto"/>
              </w:rPr>
            </w:pPr>
            <w:r>
              <w:rPr>
                <w:rFonts w:ascii="Arial" w:cs="Arial" w:eastAsia="Arial" w:hAnsi="Arial"/>
                <w:sz w:val="13"/>
                <w:szCs w:val="13"/>
                <w:b w:val="1"/>
                <w:bCs w:val="1"/>
                <w:color w:val="auto"/>
              </w:rPr>
              <w:t>$</w:t>
            </w:r>
          </w:p>
        </w:tc>
        <w:tc>
          <w:tcPr>
            <w:tcW w:w="400" w:type="dxa"/>
            <w:vAlign w:val="bottom"/>
            <w:tcBorders>
              <w:bottom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b w:val="1"/>
                <w:bCs w:val="1"/>
                <w:color w:val="auto"/>
              </w:rPr>
              <w:t>923</w:t>
            </w:r>
          </w:p>
        </w:tc>
        <w:tc>
          <w:tcPr>
            <w:tcW w:w="360" w:type="dxa"/>
            <w:vAlign w:val="bottom"/>
            <w:tcBorders>
              <w:bottom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1,208</w:t>
            </w:r>
          </w:p>
        </w:tc>
      </w:tr>
      <w:tr>
        <w:trPr>
          <w:trHeight w:val="20"/>
        </w:trPr>
        <w:tc>
          <w:tcPr>
            <w:tcW w:w="20" w:type="dxa"/>
            <w:vAlign w:val="bottom"/>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3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ind w:left="20"/>
        <w:spacing w:after="0"/>
        <w:rPr>
          <w:sz w:val="20"/>
          <w:szCs w:val="20"/>
          <w:color w:val="auto"/>
        </w:rPr>
      </w:pPr>
      <w:r>
        <w:rPr>
          <w:rFonts w:ascii="Arial" w:cs="Arial" w:eastAsia="Arial" w:hAnsi="Arial"/>
          <w:sz w:val="13"/>
          <w:szCs w:val="13"/>
          <w:color w:val="auto"/>
        </w:rPr>
        <w:t>The value of our LIFO inventories, as calculated on a LIFO basis, approximates their value as calculated on a FIFO basis.</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3660" w:type="dxa"/>
            <w:vAlign w:val="bottom"/>
            <w:gridSpan w:val="2"/>
          </w:tcPr>
          <w:p>
            <w:pPr>
              <w:spacing w:after="0"/>
              <w:rPr>
                <w:sz w:val="20"/>
                <w:szCs w:val="20"/>
                <w:color w:val="auto"/>
              </w:rPr>
            </w:pPr>
            <w:r>
              <w:rPr>
                <w:rFonts w:ascii="Arial" w:cs="Arial" w:eastAsia="Arial" w:hAnsi="Arial"/>
                <w:sz w:val="13"/>
                <w:szCs w:val="13"/>
                <w:b w:val="1"/>
                <w:bCs w:val="1"/>
                <w:color w:val="auto"/>
              </w:rPr>
              <w:t>6. Other Current Assets</w:t>
            </w:r>
          </w:p>
        </w:tc>
        <w:tc>
          <w:tcPr>
            <w:tcW w:w="3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18"/>
        </w:trPr>
        <w:tc>
          <w:tcPr>
            <w:tcW w:w="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320" w:type="dxa"/>
            <w:vAlign w:val="bottom"/>
          </w:tcPr>
          <w:p>
            <w:pPr>
              <w:jc w:val="right"/>
              <w:spacing w:after="0"/>
              <w:rPr>
                <w:sz w:val="20"/>
                <w:szCs w:val="20"/>
                <w:color w:val="auto"/>
              </w:rPr>
            </w:pPr>
            <w:r>
              <w:rPr>
                <w:rFonts w:ascii="Arial" w:cs="Arial" w:eastAsia="Arial" w:hAnsi="Arial"/>
                <w:sz w:val="13"/>
                <w:szCs w:val="13"/>
                <w:b w:val="1"/>
                <w:bCs w:val="1"/>
                <w:color w:val="auto"/>
              </w:rPr>
              <w:t>January 30,</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335"/>
              <w:spacing w:after="0"/>
              <w:rPr>
                <w:sz w:val="20"/>
                <w:szCs w:val="20"/>
                <w:color w:val="auto"/>
              </w:rPr>
            </w:pPr>
            <w:r>
              <w:rPr>
                <w:rFonts w:ascii="Arial" w:cs="Arial" w:eastAsia="Arial" w:hAnsi="Arial"/>
                <w:sz w:val="13"/>
                <w:szCs w:val="13"/>
                <w:color w:val="auto"/>
              </w:rPr>
              <w:t>February 1,</w:t>
            </w:r>
          </w:p>
        </w:tc>
      </w:tr>
      <w:tr>
        <w:trPr>
          <w:trHeight w:val="164"/>
        </w:trPr>
        <w:tc>
          <w:tcPr>
            <w:tcW w:w="3660" w:type="dxa"/>
            <w:vAlign w:val="bottom"/>
            <w:gridSpan w:val="2"/>
          </w:tcPr>
          <w:p>
            <w:pPr>
              <w:ind w:left="20"/>
              <w:spacing w:after="0"/>
              <w:rPr>
                <w:sz w:val="20"/>
                <w:szCs w:val="20"/>
                <w:color w:val="auto"/>
              </w:rPr>
            </w:pPr>
            <w:r>
              <w:rPr>
                <w:rFonts w:ascii="Arial" w:cs="Arial" w:eastAsia="Arial" w:hAnsi="Arial"/>
                <w:sz w:val="13"/>
                <w:szCs w:val="13"/>
                <w:color w:val="auto"/>
              </w:rPr>
              <w:t>($ in millions)</w:t>
            </w:r>
          </w:p>
        </w:tc>
        <w:tc>
          <w:tcPr>
            <w:tcW w:w="3320" w:type="dxa"/>
            <w:vAlign w:val="bottom"/>
          </w:tcPr>
          <w:p>
            <w:pPr>
              <w:jc w:val="right"/>
              <w:ind w:right="195"/>
              <w:spacing w:after="0"/>
              <w:rPr>
                <w:sz w:val="20"/>
                <w:szCs w:val="20"/>
                <w:color w:val="auto"/>
              </w:rPr>
            </w:pPr>
            <w:r>
              <w:rPr>
                <w:rFonts w:ascii="Arial" w:cs="Arial" w:eastAsia="Arial" w:hAnsi="Arial"/>
                <w:sz w:val="13"/>
                <w:szCs w:val="13"/>
                <w:b w:val="1"/>
                <w:bCs w:val="1"/>
                <w:color w:val="auto"/>
              </w:rPr>
              <w:t>2021</w:t>
            </w: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515"/>
              <w:spacing w:after="0"/>
              <w:rPr>
                <w:sz w:val="20"/>
                <w:szCs w:val="20"/>
                <w:color w:val="auto"/>
              </w:rPr>
            </w:pPr>
            <w:r>
              <w:rPr>
                <w:rFonts w:ascii="Arial" w:cs="Arial" w:eastAsia="Arial" w:hAnsi="Arial"/>
                <w:sz w:val="13"/>
                <w:szCs w:val="13"/>
                <w:color w:val="auto"/>
              </w:rPr>
              <w:t>2020</w:t>
            </w:r>
          </w:p>
        </w:tc>
      </w:tr>
      <w:tr>
        <w:trPr>
          <w:trHeight w:val="134"/>
        </w:trPr>
        <w:tc>
          <w:tcPr>
            <w:tcW w:w="20" w:type="dxa"/>
            <w:vAlign w:val="bottom"/>
          </w:tcPr>
          <w:p>
            <w:pPr>
              <w:spacing w:after="0"/>
              <w:rPr>
                <w:sz w:val="11"/>
                <w:szCs w:val="11"/>
                <w:color w:val="auto"/>
              </w:rPr>
            </w:pPr>
          </w:p>
        </w:tc>
        <w:tc>
          <w:tcPr>
            <w:tcW w:w="3640" w:type="dxa"/>
            <w:vAlign w:val="bottom"/>
            <w:tcBorders>
              <w:top w:val="single" w:sz="8" w:color="auto"/>
            </w:tcBorders>
            <w:shd w:val="clear" w:color="auto" w:fill="CCEEFF"/>
          </w:tcPr>
          <w:p>
            <w:pPr>
              <w:spacing w:after="0" w:line="134" w:lineRule="exact"/>
              <w:rPr>
                <w:sz w:val="20"/>
                <w:szCs w:val="20"/>
                <w:color w:val="auto"/>
              </w:rPr>
            </w:pPr>
            <w:r>
              <w:rPr>
                <w:rFonts w:ascii="Arial" w:cs="Arial" w:eastAsia="Arial" w:hAnsi="Arial"/>
                <w:sz w:val="13"/>
                <w:szCs w:val="13"/>
                <w:color w:val="auto"/>
              </w:rPr>
              <w:t>Net receivables</w:t>
            </w:r>
          </w:p>
        </w:tc>
        <w:tc>
          <w:tcPr>
            <w:tcW w:w="3320" w:type="dxa"/>
            <w:vAlign w:val="bottom"/>
            <w:tcBorders>
              <w:top w:val="single" w:sz="8" w:color="auto"/>
            </w:tcBorders>
            <w:shd w:val="clear" w:color="auto" w:fill="CCEEFF"/>
          </w:tcPr>
          <w:p>
            <w:pPr>
              <w:jc w:val="right"/>
              <w:ind w:right="975"/>
              <w:spacing w:after="0" w:line="134" w:lineRule="exact"/>
              <w:rPr>
                <w:sz w:val="20"/>
                <w:szCs w:val="20"/>
                <w:color w:val="auto"/>
              </w:rPr>
            </w:pPr>
            <w:r>
              <w:rPr>
                <w:rFonts w:ascii="Arial" w:cs="Arial" w:eastAsia="Arial" w:hAnsi="Arial"/>
                <w:sz w:val="13"/>
                <w:szCs w:val="13"/>
                <w:b w:val="1"/>
                <w:bCs w:val="1"/>
                <w:color w:val="auto"/>
              </w:rPr>
              <w:t>$</w:t>
            </w:r>
          </w:p>
        </w:tc>
        <w:tc>
          <w:tcPr>
            <w:tcW w:w="400" w:type="dxa"/>
            <w:vAlign w:val="bottom"/>
            <w:tcBorders>
              <w:top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b w:val="1"/>
                <w:bCs w:val="1"/>
                <w:color w:val="auto"/>
              </w:rPr>
              <w:t>124</w:t>
            </w:r>
          </w:p>
        </w:tc>
        <w:tc>
          <w:tcPr>
            <w:tcW w:w="360" w:type="dxa"/>
            <w:vAlign w:val="bottom"/>
            <w:tcBorders>
              <w:top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color w:val="auto"/>
              </w:rPr>
              <w:t>$</w:t>
            </w:r>
          </w:p>
        </w:tc>
        <w:tc>
          <w:tcPr>
            <w:tcW w:w="122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100</w:t>
            </w:r>
          </w:p>
        </w:tc>
      </w:tr>
      <w:tr>
        <w:trPr>
          <w:trHeight w:val="144"/>
        </w:trPr>
        <w:tc>
          <w:tcPr>
            <w:tcW w:w="20" w:type="dxa"/>
            <w:vAlign w:val="bottom"/>
          </w:tcPr>
          <w:p>
            <w:pPr>
              <w:spacing w:after="0"/>
              <w:rPr>
                <w:sz w:val="12"/>
                <w:szCs w:val="12"/>
                <w:color w:val="auto"/>
              </w:rPr>
            </w:pPr>
          </w:p>
        </w:tc>
        <w:tc>
          <w:tcPr>
            <w:tcW w:w="3640" w:type="dxa"/>
            <w:vAlign w:val="bottom"/>
          </w:tcPr>
          <w:p>
            <w:pPr>
              <w:spacing w:after="0" w:line="144" w:lineRule="exact"/>
              <w:rPr>
                <w:sz w:val="20"/>
                <w:szCs w:val="20"/>
                <w:color w:val="auto"/>
              </w:rPr>
            </w:pPr>
            <w:r>
              <w:rPr>
                <w:rFonts w:ascii="Arial" w:cs="Arial" w:eastAsia="Arial" w:hAnsi="Arial"/>
                <w:sz w:val="13"/>
                <w:szCs w:val="13"/>
                <w:color w:val="auto"/>
              </w:rPr>
              <w:t>Other prepaid expenses</w:t>
            </w:r>
          </w:p>
        </w:tc>
        <w:tc>
          <w:tcPr>
            <w:tcW w:w="3320" w:type="dxa"/>
            <w:vAlign w:val="bottom"/>
          </w:tcPr>
          <w:p>
            <w:pPr>
              <w:spacing w:after="0"/>
              <w:rPr>
                <w:sz w:val="12"/>
                <w:szCs w:val="12"/>
                <w:color w:val="auto"/>
              </w:rPr>
            </w:pPr>
          </w:p>
        </w:tc>
        <w:tc>
          <w:tcPr>
            <w:tcW w:w="400" w:type="dxa"/>
            <w:vAlign w:val="bottom"/>
          </w:tcPr>
          <w:p>
            <w:pPr>
              <w:jc w:val="right"/>
              <w:ind w:right="75"/>
              <w:spacing w:after="0" w:line="144" w:lineRule="exact"/>
              <w:rPr>
                <w:sz w:val="20"/>
                <w:szCs w:val="20"/>
                <w:color w:val="auto"/>
              </w:rPr>
            </w:pPr>
            <w:r>
              <w:rPr>
                <w:rFonts w:ascii="Arial" w:cs="Arial" w:eastAsia="Arial" w:hAnsi="Arial"/>
                <w:sz w:val="13"/>
                <w:szCs w:val="13"/>
                <w:b w:val="1"/>
                <w:bCs w:val="1"/>
                <w:color w:val="auto"/>
              </w:rPr>
              <w:t>56</w:t>
            </w:r>
          </w:p>
        </w:tc>
        <w:tc>
          <w:tcPr>
            <w:tcW w:w="360" w:type="dxa"/>
            <w:vAlign w:val="bottom"/>
          </w:tcPr>
          <w:p>
            <w:pPr>
              <w:spacing w:after="0"/>
              <w:rPr>
                <w:sz w:val="12"/>
                <w:szCs w:val="12"/>
                <w:color w:val="auto"/>
              </w:rPr>
            </w:pPr>
          </w:p>
        </w:tc>
        <w:tc>
          <w:tcPr>
            <w:tcW w:w="1220" w:type="dxa"/>
            <w:vAlign w:val="bottom"/>
          </w:tcPr>
          <w:p>
            <w:pPr>
              <w:jc w:val="right"/>
              <w:spacing w:after="0" w:line="144" w:lineRule="exact"/>
              <w:rPr>
                <w:sz w:val="20"/>
                <w:szCs w:val="20"/>
                <w:color w:val="auto"/>
              </w:rPr>
            </w:pPr>
            <w:r>
              <w:rPr>
                <w:rFonts w:ascii="Arial" w:cs="Arial" w:eastAsia="Arial" w:hAnsi="Arial"/>
                <w:sz w:val="13"/>
                <w:szCs w:val="13"/>
                <w:color w:val="auto"/>
              </w:rPr>
              <w:t>46</w:t>
            </w:r>
          </w:p>
        </w:tc>
      </w:tr>
      <w:tr>
        <w:trPr>
          <w:trHeight w:val="144"/>
        </w:trPr>
        <w:tc>
          <w:tcPr>
            <w:tcW w:w="20" w:type="dxa"/>
            <w:vAlign w:val="bottom"/>
          </w:tcPr>
          <w:p>
            <w:pPr>
              <w:spacing w:after="0"/>
              <w:rPr>
                <w:sz w:val="12"/>
                <w:szCs w:val="12"/>
                <w:color w:val="auto"/>
              </w:rPr>
            </w:pPr>
          </w:p>
        </w:tc>
        <w:tc>
          <w:tcPr>
            <w:tcW w:w="36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Prepaid income taxes</w:t>
            </w:r>
          </w:p>
        </w:tc>
        <w:tc>
          <w:tcPr>
            <w:tcW w:w="332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b w:val="1"/>
                <w:bCs w:val="1"/>
                <w:color w:val="auto"/>
              </w:rPr>
              <w:t>20</w:t>
            </w:r>
          </w:p>
        </w:tc>
        <w:tc>
          <w:tcPr>
            <w:tcW w:w="3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48</w:t>
            </w:r>
          </w:p>
        </w:tc>
      </w:tr>
      <w:tr>
        <w:trPr>
          <w:trHeight w:val="144"/>
        </w:trPr>
        <w:tc>
          <w:tcPr>
            <w:tcW w:w="20" w:type="dxa"/>
            <w:vAlign w:val="bottom"/>
          </w:tcPr>
          <w:p>
            <w:pPr>
              <w:spacing w:after="0"/>
              <w:rPr>
                <w:sz w:val="12"/>
                <w:szCs w:val="12"/>
                <w:color w:val="auto"/>
              </w:rPr>
            </w:pPr>
          </w:p>
        </w:tc>
        <w:tc>
          <w:tcPr>
            <w:tcW w:w="3640" w:type="dxa"/>
            <w:vAlign w:val="bottom"/>
          </w:tcPr>
          <w:p>
            <w:pPr>
              <w:spacing w:after="0" w:line="144" w:lineRule="exact"/>
              <w:rPr>
                <w:sz w:val="20"/>
                <w:szCs w:val="20"/>
                <w:color w:val="auto"/>
              </w:rPr>
            </w:pPr>
            <w:r>
              <w:rPr>
                <w:rFonts w:ascii="Arial" w:cs="Arial" w:eastAsia="Arial" w:hAnsi="Arial"/>
                <w:sz w:val="13"/>
                <w:szCs w:val="13"/>
                <w:color w:val="auto"/>
              </w:rPr>
              <w:t>Prepaid rent</w:t>
            </w:r>
          </w:p>
        </w:tc>
        <w:tc>
          <w:tcPr>
            <w:tcW w:w="3320" w:type="dxa"/>
            <w:vAlign w:val="bottom"/>
          </w:tcPr>
          <w:p>
            <w:pPr>
              <w:spacing w:after="0"/>
              <w:rPr>
                <w:sz w:val="12"/>
                <w:szCs w:val="12"/>
                <w:color w:val="auto"/>
              </w:rPr>
            </w:pPr>
          </w:p>
        </w:tc>
        <w:tc>
          <w:tcPr>
            <w:tcW w:w="400" w:type="dxa"/>
            <w:vAlign w:val="bottom"/>
          </w:tcPr>
          <w:p>
            <w:pPr>
              <w:jc w:val="right"/>
              <w:ind w:right="75"/>
              <w:spacing w:after="0" w:line="144" w:lineRule="exact"/>
              <w:rPr>
                <w:sz w:val="20"/>
                <w:szCs w:val="20"/>
                <w:color w:val="auto"/>
              </w:rPr>
            </w:pPr>
            <w:r>
              <w:rPr>
                <w:rFonts w:ascii="Arial" w:cs="Arial" w:eastAsia="Arial" w:hAnsi="Arial"/>
                <w:sz w:val="13"/>
                <w:szCs w:val="13"/>
                <w:b w:val="1"/>
                <w:bCs w:val="1"/>
                <w:color w:val="auto"/>
              </w:rPr>
              <w:t>14</w:t>
            </w:r>
          </w:p>
        </w:tc>
        <w:tc>
          <w:tcPr>
            <w:tcW w:w="360" w:type="dxa"/>
            <w:vAlign w:val="bottom"/>
          </w:tcPr>
          <w:p>
            <w:pPr>
              <w:spacing w:after="0"/>
              <w:rPr>
                <w:sz w:val="12"/>
                <w:szCs w:val="12"/>
                <w:color w:val="auto"/>
              </w:rPr>
            </w:pPr>
          </w:p>
        </w:tc>
        <w:tc>
          <w:tcPr>
            <w:tcW w:w="1220" w:type="dxa"/>
            <w:vAlign w:val="bottom"/>
          </w:tcPr>
          <w:p>
            <w:pPr>
              <w:jc w:val="right"/>
              <w:spacing w:after="0" w:line="144" w:lineRule="exact"/>
              <w:rPr>
                <w:sz w:val="20"/>
                <w:szCs w:val="20"/>
                <w:color w:val="auto"/>
              </w:rPr>
            </w:pPr>
            <w:r>
              <w:rPr>
                <w:rFonts w:ascii="Arial" w:cs="Arial" w:eastAsia="Arial" w:hAnsi="Arial"/>
                <w:sz w:val="13"/>
                <w:szCs w:val="13"/>
                <w:color w:val="auto"/>
              </w:rPr>
              <w:t>55</w:t>
            </w:r>
          </w:p>
        </w:tc>
      </w:tr>
      <w:tr>
        <w:trPr>
          <w:trHeight w:val="144"/>
        </w:trPr>
        <w:tc>
          <w:tcPr>
            <w:tcW w:w="20" w:type="dxa"/>
            <w:vAlign w:val="bottom"/>
          </w:tcPr>
          <w:p>
            <w:pPr>
              <w:spacing w:after="0"/>
              <w:rPr>
                <w:sz w:val="12"/>
                <w:szCs w:val="12"/>
                <w:color w:val="auto"/>
              </w:rPr>
            </w:pPr>
          </w:p>
        </w:tc>
        <w:tc>
          <w:tcPr>
            <w:tcW w:w="36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Restricted cash</w:t>
            </w:r>
          </w:p>
        </w:tc>
        <w:tc>
          <w:tcPr>
            <w:tcW w:w="332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b w:val="1"/>
                <w:bCs w:val="1"/>
                <w:color w:val="auto"/>
              </w:rPr>
              <w:t>8</w:t>
            </w:r>
          </w:p>
        </w:tc>
        <w:tc>
          <w:tcPr>
            <w:tcW w:w="3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w:t>
            </w:r>
          </w:p>
        </w:tc>
      </w:tr>
      <w:tr>
        <w:trPr>
          <w:trHeight w:val="144"/>
        </w:trPr>
        <w:tc>
          <w:tcPr>
            <w:tcW w:w="20" w:type="dxa"/>
            <w:vAlign w:val="bottom"/>
          </w:tcPr>
          <w:p>
            <w:pPr>
              <w:spacing w:after="0"/>
              <w:rPr>
                <w:sz w:val="12"/>
                <w:szCs w:val="12"/>
                <w:color w:val="auto"/>
              </w:rPr>
            </w:pPr>
          </w:p>
        </w:tc>
        <w:tc>
          <w:tcPr>
            <w:tcW w:w="3640" w:type="dxa"/>
            <w:vAlign w:val="bottom"/>
          </w:tcPr>
          <w:p>
            <w:pPr>
              <w:spacing w:after="0" w:line="144" w:lineRule="exact"/>
              <w:rPr>
                <w:sz w:val="20"/>
                <w:szCs w:val="20"/>
                <w:color w:val="auto"/>
              </w:rPr>
            </w:pPr>
            <w:r>
              <w:rPr>
                <w:rFonts w:ascii="Arial" w:cs="Arial" w:eastAsia="Arial" w:hAnsi="Arial"/>
                <w:sz w:val="13"/>
                <w:szCs w:val="13"/>
                <w:color w:val="auto"/>
              </w:rPr>
              <w:t>Income taxes receivable</w:t>
            </w:r>
          </w:p>
        </w:tc>
        <w:tc>
          <w:tcPr>
            <w:tcW w:w="3320" w:type="dxa"/>
            <w:vAlign w:val="bottom"/>
          </w:tcPr>
          <w:p>
            <w:pPr>
              <w:spacing w:after="0"/>
              <w:rPr>
                <w:sz w:val="12"/>
                <w:szCs w:val="12"/>
                <w:color w:val="auto"/>
              </w:rPr>
            </w:pPr>
          </w:p>
        </w:tc>
        <w:tc>
          <w:tcPr>
            <w:tcW w:w="400" w:type="dxa"/>
            <w:vAlign w:val="bottom"/>
          </w:tcPr>
          <w:p>
            <w:pPr>
              <w:jc w:val="right"/>
              <w:ind w:right="75"/>
              <w:spacing w:after="0" w:line="144" w:lineRule="exact"/>
              <w:rPr>
                <w:sz w:val="20"/>
                <w:szCs w:val="20"/>
                <w:color w:val="auto"/>
              </w:rPr>
            </w:pPr>
            <w:r>
              <w:rPr>
                <w:rFonts w:ascii="Arial" w:cs="Arial" w:eastAsia="Arial" w:hAnsi="Arial"/>
                <w:sz w:val="13"/>
                <w:szCs w:val="13"/>
                <w:b w:val="1"/>
                <w:bCs w:val="1"/>
                <w:color w:val="auto"/>
              </w:rPr>
              <w:t>1</w:t>
            </w:r>
          </w:p>
        </w:tc>
        <w:tc>
          <w:tcPr>
            <w:tcW w:w="360" w:type="dxa"/>
            <w:vAlign w:val="bottom"/>
          </w:tcPr>
          <w:p>
            <w:pPr>
              <w:spacing w:after="0"/>
              <w:rPr>
                <w:sz w:val="12"/>
                <w:szCs w:val="12"/>
                <w:color w:val="auto"/>
              </w:rPr>
            </w:pPr>
          </w:p>
        </w:tc>
        <w:tc>
          <w:tcPr>
            <w:tcW w:w="1220" w:type="dxa"/>
            <w:vAlign w:val="bottom"/>
          </w:tcPr>
          <w:p>
            <w:pPr>
              <w:jc w:val="right"/>
              <w:spacing w:after="0" w:line="144" w:lineRule="exact"/>
              <w:rPr>
                <w:sz w:val="20"/>
                <w:szCs w:val="20"/>
                <w:color w:val="auto"/>
              </w:rPr>
            </w:pPr>
            <w:r>
              <w:rPr>
                <w:rFonts w:ascii="Arial" w:cs="Arial" w:eastAsia="Arial" w:hAnsi="Arial"/>
                <w:sz w:val="13"/>
                <w:szCs w:val="13"/>
                <w:color w:val="auto"/>
              </w:rPr>
              <w:t>1</w:t>
            </w:r>
          </w:p>
        </w:tc>
      </w:tr>
      <w:tr>
        <w:trPr>
          <w:trHeight w:val="144"/>
        </w:trPr>
        <w:tc>
          <w:tcPr>
            <w:tcW w:w="20" w:type="dxa"/>
            <w:vAlign w:val="bottom"/>
          </w:tcPr>
          <w:p>
            <w:pPr>
              <w:spacing w:after="0"/>
              <w:rPr>
                <w:sz w:val="12"/>
                <w:szCs w:val="12"/>
                <w:color w:val="auto"/>
              </w:rPr>
            </w:pPr>
          </w:p>
        </w:tc>
        <w:tc>
          <w:tcPr>
            <w:tcW w:w="36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Deferred tax costs</w:t>
            </w:r>
          </w:p>
        </w:tc>
        <w:tc>
          <w:tcPr>
            <w:tcW w:w="332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b w:val="1"/>
                <w:bCs w:val="1"/>
                <w:color w:val="auto"/>
              </w:rPr>
              <w:t>—</w:t>
            </w:r>
          </w:p>
        </w:tc>
        <w:tc>
          <w:tcPr>
            <w:tcW w:w="36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9</w:t>
            </w:r>
          </w:p>
        </w:tc>
      </w:tr>
      <w:tr>
        <w:trPr>
          <w:trHeight w:val="144"/>
        </w:trPr>
        <w:tc>
          <w:tcPr>
            <w:tcW w:w="20" w:type="dxa"/>
            <w:vAlign w:val="bottom"/>
          </w:tcPr>
          <w:p>
            <w:pPr>
              <w:spacing w:after="0"/>
              <w:rPr>
                <w:sz w:val="12"/>
                <w:szCs w:val="12"/>
                <w:color w:val="auto"/>
              </w:rPr>
            </w:pPr>
          </w:p>
        </w:tc>
        <w:tc>
          <w:tcPr>
            <w:tcW w:w="364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color w:val="auto"/>
              </w:rPr>
              <w:t>Other</w:t>
            </w:r>
          </w:p>
        </w:tc>
        <w:tc>
          <w:tcPr>
            <w:tcW w:w="33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75"/>
              <w:spacing w:after="0" w:line="144" w:lineRule="exact"/>
              <w:rPr>
                <w:sz w:val="20"/>
                <w:szCs w:val="20"/>
                <w:color w:val="auto"/>
              </w:rPr>
            </w:pPr>
            <w:r>
              <w:rPr>
                <w:rFonts w:ascii="Arial" w:cs="Arial" w:eastAsia="Arial" w:hAnsi="Arial"/>
                <w:sz w:val="13"/>
                <w:szCs w:val="13"/>
                <w:b w:val="1"/>
                <w:bCs w:val="1"/>
                <w:color w:val="auto"/>
              </w:rPr>
              <w:t>9</w:t>
            </w: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6</w:t>
            </w:r>
          </w:p>
        </w:tc>
      </w:tr>
      <w:tr>
        <w:trPr>
          <w:trHeight w:val="134"/>
        </w:trPr>
        <w:tc>
          <w:tcPr>
            <w:tcW w:w="20" w:type="dxa"/>
            <w:vAlign w:val="bottom"/>
          </w:tcPr>
          <w:p>
            <w:pPr>
              <w:spacing w:after="0"/>
              <w:rPr>
                <w:sz w:val="11"/>
                <w:szCs w:val="11"/>
                <w:color w:val="auto"/>
              </w:rPr>
            </w:pPr>
          </w:p>
        </w:tc>
        <w:tc>
          <w:tcPr>
            <w:tcW w:w="3640" w:type="dxa"/>
            <w:vAlign w:val="bottom"/>
            <w:tcBorders>
              <w:bottom w:val="single" w:sz="8" w:color="auto"/>
            </w:tcBorders>
            <w:shd w:val="clear" w:color="auto" w:fill="CCEEFF"/>
          </w:tcPr>
          <w:p>
            <w:pPr>
              <w:spacing w:after="0"/>
              <w:rPr>
                <w:sz w:val="11"/>
                <w:szCs w:val="11"/>
                <w:color w:val="auto"/>
              </w:rPr>
            </w:pPr>
          </w:p>
        </w:tc>
        <w:tc>
          <w:tcPr>
            <w:tcW w:w="3320" w:type="dxa"/>
            <w:vAlign w:val="bottom"/>
            <w:tcBorders>
              <w:bottom w:val="single" w:sz="8" w:color="auto"/>
            </w:tcBorders>
            <w:shd w:val="clear" w:color="auto" w:fill="CCEEFF"/>
          </w:tcPr>
          <w:p>
            <w:pPr>
              <w:jc w:val="right"/>
              <w:ind w:right="975"/>
              <w:spacing w:after="0" w:line="134" w:lineRule="exact"/>
              <w:rPr>
                <w:sz w:val="20"/>
                <w:szCs w:val="20"/>
                <w:color w:val="auto"/>
              </w:rPr>
            </w:pPr>
            <w:r>
              <w:rPr>
                <w:rFonts w:ascii="Arial" w:cs="Arial" w:eastAsia="Arial" w:hAnsi="Arial"/>
                <w:sz w:val="13"/>
                <w:szCs w:val="13"/>
                <w:b w:val="1"/>
                <w:bCs w:val="1"/>
                <w:color w:val="auto"/>
              </w:rPr>
              <w:t>$</w:t>
            </w:r>
          </w:p>
        </w:tc>
        <w:tc>
          <w:tcPr>
            <w:tcW w:w="400" w:type="dxa"/>
            <w:vAlign w:val="bottom"/>
            <w:tcBorders>
              <w:bottom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b w:val="1"/>
                <w:bCs w:val="1"/>
                <w:color w:val="auto"/>
              </w:rPr>
              <w:t>232</w:t>
            </w:r>
          </w:p>
        </w:tc>
        <w:tc>
          <w:tcPr>
            <w:tcW w:w="360" w:type="dxa"/>
            <w:vAlign w:val="bottom"/>
            <w:tcBorders>
              <w:bottom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271</w:t>
            </w:r>
          </w:p>
        </w:tc>
      </w:tr>
      <w:tr>
        <w:trPr>
          <w:trHeight w:val="20"/>
        </w:trPr>
        <w:tc>
          <w:tcPr>
            <w:tcW w:w="20" w:type="dxa"/>
            <w:vAlign w:val="bottom"/>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4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7. Property and Equipment, net</w:t>
      </w:r>
    </w:p>
    <w:p>
      <w:pPr>
        <w:spacing w:after="0" w:line="133" w:lineRule="exact"/>
        <w:rPr>
          <w:sz w:val="20"/>
          <w:szCs w:val="20"/>
          <w:color w:val="auto"/>
        </w:rPr>
      </w:pPr>
    </w:p>
    <w:p>
      <w:pPr>
        <w:ind w:left="7520"/>
        <w:spacing w:after="0"/>
        <w:rPr>
          <w:sz w:val="20"/>
          <w:szCs w:val="20"/>
          <w:color w:val="auto"/>
        </w:rPr>
      </w:pPr>
      <w:r>
        <w:rPr>
          <w:rFonts w:ascii="Arial" w:cs="Arial" w:eastAsia="Arial" w:hAnsi="Arial"/>
          <w:sz w:val="12"/>
          <w:szCs w:val="12"/>
          <w:color w:val="auto"/>
        </w:rPr>
        <w:t>2020 Form 10-K Page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365125</wp:posOffset>
            </wp:positionV>
            <wp:extent cx="5680075" cy="196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80075" cy="19685"/>
                    </a:xfrm>
                    <a:prstGeom prst="rect">
                      <a:avLst/>
                    </a:prstGeom>
                    <a:noFill/>
                  </pic:spPr>
                </pic:pic>
              </a:graphicData>
            </a:graphic>
          </wp:anchor>
        </w:drawing>
      </w:r>
    </w:p>
    <w:p>
      <w:pPr>
        <w:sectPr>
          <w:pgSz w:w="11900" w:h="16838" w:orient="portrait"/>
          <w:cols w:equalWidth="0" w:num="1">
            <w:col w:w="9019"/>
          </w:cols>
          <w:pgMar w:left="1440" w:top="995" w:right="1440"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2992755</wp:posOffset>
            </wp:positionH>
            <wp:positionV relativeFrom="page">
              <wp:posOffset>375285</wp:posOffset>
            </wp:positionV>
            <wp:extent cx="1563370" cy="169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1563370" cy="169545"/>
                    </a:xfrm>
                    <a:prstGeom prst="rect">
                      <a:avLst/>
                    </a:prstGeom>
                    <a:noFill/>
                  </pic:spPr>
                </pic:pic>
              </a:graphicData>
            </a:graphic>
          </wp:anchor>
        </w:drawing>
        <w:t>NOTES TO CONSOLIDATED FINANCIAL STATEMENTS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80" w:type="dxa"/>
            <w:vAlign w:val="bottom"/>
            <w:gridSpan w:val="3"/>
          </w:tcPr>
          <w:p>
            <w:pPr>
              <w:jc w:val="right"/>
              <w:ind w:right="335"/>
              <w:spacing w:after="0"/>
              <w:rPr>
                <w:sz w:val="20"/>
                <w:szCs w:val="20"/>
                <w:color w:val="auto"/>
              </w:rPr>
            </w:pPr>
            <w:r>
              <w:rPr>
                <w:rFonts w:ascii="Arial" w:cs="Arial" w:eastAsia="Arial" w:hAnsi="Arial"/>
                <w:sz w:val="13"/>
                <w:szCs w:val="13"/>
                <w:b w:val="1"/>
                <w:bCs w:val="1"/>
                <w:color w:val="auto"/>
              </w:rPr>
              <w:t>January 30,</w:t>
            </w:r>
          </w:p>
        </w:tc>
        <w:tc>
          <w:tcPr>
            <w:tcW w:w="200" w:type="dxa"/>
            <w:vAlign w:val="bottom"/>
          </w:tcPr>
          <w:p>
            <w:pPr>
              <w:spacing w:after="0"/>
              <w:rPr>
                <w:sz w:val="13"/>
                <w:szCs w:val="13"/>
                <w:color w:val="auto"/>
              </w:rPr>
            </w:pPr>
          </w:p>
        </w:tc>
        <w:tc>
          <w:tcPr>
            <w:tcW w:w="1460" w:type="dxa"/>
            <w:vAlign w:val="bottom"/>
            <w:gridSpan w:val="4"/>
          </w:tcPr>
          <w:p>
            <w:pPr>
              <w:ind w:left="360"/>
              <w:spacing w:after="0"/>
              <w:rPr>
                <w:sz w:val="20"/>
                <w:szCs w:val="20"/>
                <w:color w:val="auto"/>
              </w:rPr>
            </w:pPr>
            <w:r>
              <w:rPr>
                <w:rFonts w:ascii="Arial" w:cs="Arial" w:eastAsia="Arial" w:hAnsi="Arial"/>
                <w:sz w:val="13"/>
                <w:szCs w:val="13"/>
                <w:color w:val="auto"/>
              </w:rPr>
              <w:t>February 1,</w:t>
            </w:r>
          </w:p>
        </w:tc>
        <w:tc>
          <w:tcPr>
            <w:tcW w:w="0" w:type="dxa"/>
            <w:vAlign w:val="bottom"/>
          </w:tcPr>
          <w:p>
            <w:pPr>
              <w:spacing w:after="0"/>
              <w:rPr>
                <w:sz w:val="1"/>
                <w:szCs w:val="1"/>
                <w:color w:val="auto"/>
              </w:rPr>
            </w:pPr>
          </w:p>
        </w:tc>
      </w:tr>
      <w:tr>
        <w:trPr>
          <w:trHeight w:val="164"/>
        </w:trPr>
        <w:tc>
          <w:tcPr>
            <w:tcW w:w="2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 in millions)</w:t>
            </w:r>
          </w:p>
        </w:tc>
        <w:tc>
          <w:tcPr>
            <w:tcW w:w="5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2021</w:t>
            </w: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2020</w:t>
            </w:r>
          </w:p>
        </w:tc>
        <w:tc>
          <w:tcPr>
            <w:tcW w:w="5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tcPr>
          <w:p>
            <w:pPr>
              <w:spacing w:after="0" w:line="134" w:lineRule="exact"/>
              <w:rPr>
                <w:sz w:val="20"/>
                <w:szCs w:val="20"/>
                <w:color w:val="auto"/>
              </w:rPr>
            </w:pPr>
            <w:r>
              <w:rPr>
                <w:rFonts w:ascii="Arial" w:cs="Arial" w:eastAsia="Arial" w:hAnsi="Arial"/>
                <w:sz w:val="13"/>
                <w:szCs w:val="13"/>
                <w:b w:val="1"/>
                <w:bCs w:val="1"/>
                <w:color w:val="auto"/>
              </w:rPr>
              <w:t>Owned properties:</w:t>
            </w: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40" w:type="dxa"/>
            <w:vAlign w:val="bottom"/>
            <w:shd w:val="clear" w:color="auto" w:fill="CCEEFF"/>
          </w:tcPr>
          <w:p>
            <w:pPr>
              <w:ind w:left="80"/>
              <w:spacing w:after="0" w:line="144" w:lineRule="exact"/>
              <w:rPr>
                <w:sz w:val="20"/>
                <w:szCs w:val="20"/>
                <w:color w:val="auto"/>
              </w:rPr>
            </w:pPr>
            <w:r>
              <w:rPr>
                <w:rFonts w:ascii="Arial" w:cs="Arial" w:eastAsia="Arial" w:hAnsi="Arial"/>
                <w:sz w:val="13"/>
                <w:szCs w:val="13"/>
                <w:color w:val="auto"/>
              </w:rPr>
              <w:t>Land</w:t>
            </w:r>
          </w:p>
        </w:tc>
        <w:tc>
          <w:tcPr>
            <w:tcW w:w="5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5"/>
              <w:spacing w:after="0" w:line="144" w:lineRule="exact"/>
              <w:rPr>
                <w:sz w:val="20"/>
                <w:szCs w:val="20"/>
                <w:color w:val="auto"/>
              </w:rPr>
            </w:pPr>
            <w:r>
              <w:rPr>
                <w:rFonts w:ascii="Arial" w:cs="Arial" w:eastAsia="Arial" w:hAnsi="Arial"/>
                <w:sz w:val="13"/>
                <w:szCs w:val="13"/>
                <w:b w:val="1"/>
                <w:bCs w:val="1"/>
                <w:color w:val="auto"/>
              </w:rPr>
              <w:t>4</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35"/>
              <w:spacing w:after="0" w:line="144" w:lineRule="exact"/>
              <w:rPr>
                <w:sz w:val="20"/>
                <w:szCs w:val="20"/>
                <w:color w:val="auto"/>
              </w:rPr>
            </w:pPr>
            <w:r>
              <w:rPr>
                <w:rFonts w:ascii="Arial" w:cs="Arial" w:eastAsia="Arial" w:hAnsi="Arial"/>
                <w:sz w:val="13"/>
                <w:szCs w:val="13"/>
                <w:color w:val="auto"/>
                <w:w w:val="82"/>
              </w:rPr>
              <w:t>$</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40" w:type="dxa"/>
            <w:vAlign w:val="bottom"/>
          </w:tcPr>
          <w:p>
            <w:pPr>
              <w:ind w:left="80"/>
              <w:spacing w:after="0" w:line="144" w:lineRule="exact"/>
              <w:rPr>
                <w:sz w:val="20"/>
                <w:szCs w:val="20"/>
                <w:color w:val="auto"/>
              </w:rPr>
            </w:pPr>
            <w:r>
              <w:rPr>
                <w:rFonts w:ascii="Arial" w:cs="Arial" w:eastAsia="Arial" w:hAnsi="Arial"/>
                <w:sz w:val="13"/>
                <w:szCs w:val="13"/>
                <w:color w:val="auto"/>
              </w:rPr>
              <w:t>Buildings</w:t>
            </w: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ind w:right="15"/>
              <w:spacing w:after="0" w:line="144" w:lineRule="exact"/>
              <w:rPr>
                <w:sz w:val="20"/>
                <w:szCs w:val="20"/>
                <w:color w:val="auto"/>
              </w:rPr>
            </w:pPr>
            <w:r>
              <w:rPr>
                <w:rFonts w:ascii="Arial" w:cs="Arial" w:eastAsia="Arial" w:hAnsi="Arial"/>
                <w:sz w:val="13"/>
                <w:szCs w:val="13"/>
                <w:b w:val="1"/>
                <w:bCs w:val="1"/>
                <w:color w:val="auto"/>
              </w:rPr>
              <w:t>52</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jc w:val="right"/>
              <w:spacing w:after="0" w:line="144" w:lineRule="exact"/>
              <w:rPr>
                <w:sz w:val="20"/>
                <w:szCs w:val="20"/>
                <w:color w:val="auto"/>
              </w:rPr>
            </w:pPr>
            <w:r>
              <w:rPr>
                <w:rFonts w:ascii="Arial" w:cs="Arial" w:eastAsia="Arial" w:hAnsi="Arial"/>
                <w:sz w:val="13"/>
                <w:szCs w:val="13"/>
                <w:color w:val="auto"/>
              </w:rPr>
              <w:t>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120" w:type="dxa"/>
            <w:vAlign w:val="bottom"/>
            <w:tcBorders>
              <w:bottom w:val="single" w:sz="8" w:color="auto"/>
            </w:tcBorders>
            <w:gridSpan w:val="3"/>
            <w:shd w:val="clear" w:color="auto" w:fill="CCEEFF"/>
          </w:tcPr>
          <w:p>
            <w:pPr>
              <w:ind w:left="80"/>
              <w:spacing w:after="0" w:line="144" w:lineRule="exact"/>
              <w:rPr>
                <w:sz w:val="20"/>
                <w:szCs w:val="20"/>
                <w:color w:val="auto"/>
              </w:rPr>
            </w:pPr>
            <w:r>
              <w:rPr>
                <w:rFonts w:ascii="Arial" w:cs="Arial" w:eastAsia="Arial" w:hAnsi="Arial"/>
                <w:sz w:val="13"/>
                <w:szCs w:val="13"/>
                <w:color w:val="auto"/>
              </w:rPr>
              <w:t>Furniture, fixtures, equipment, and software development costs</w:t>
            </w:r>
          </w:p>
        </w:tc>
        <w:tc>
          <w:tcPr>
            <w:tcW w:w="2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ind w:right="15"/>
              <w:spacing w:after="0" w:line="144" w:lineRule="exact"/>
              <w:rPr>
                <w:sz w:val="20"/>
                <w:szCs w:val="20"/>
                <w:color w:val="auto"/>
              </w:rPr>
            </w:pPr>
            <w:r>
              <w:rPr>
                <w:rFonts w:ascii="Arial" w:cs="Arial" w:eastAsia="Arial" w:hAnsi="Arial"/>
                <w:sz w:val="13"/>
                <w:szCs w:val="13"/>
                <w:b w:val="1"/>
                <w:bCs w:val="1"/>
                <w:color w:val="auto"/>
              </w:rPr>
              <w:t>1,274</w:t>
            </w:r>
          </w:p>
        </w:tc>
        <w:tc>
          <w:tcPr>
            <w:tcW w:w="2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1,203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ind w:right="15"/>
              <w:spacing w:after="0" w:line="134" w:lineRule="exact"/>
              <w:rPr>
                <w:sz w:val="20"/>
                <w:szCs w:val="20"/>
                <w:color w:val="auto"/>
              </w:rPr>
            </w:pPr>
            <w:r>
              <w:rPr>
                <w:rFonts w:ascii="Arial" w:cs="Arial" w:eastAsia="Arial" w:hAnsi="Arial"/>
                <w:sz w:val="13"/>
                <w:szCs w:val="13"/>
                <w:b w:val="1"/>
                <w:bCs w:val="1"/>
                <w:color w:val="auto"/>
              </w:rPr>
              <w:t>1,330</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jc w:val="right"/>
              <w:spacing w:after="0" w:line="134" w:lineRule="exact"/>
              <w:rPr>
                <w:sz w:val="20"/>
                <w:szCs w:val="20"/>
                <w:color w:val="auto"/>
              </w:rPr>
            </w:pPr>
            <w:r>
              <w:rPr>
                <w:rFonts w:ascii="Arial" w:cs="Arial" w:eastAsia="Arial" w:hAnsi="Arial"/>
                <w:sz w:val="13"/>
                <w:szCs w:val="13"/>
                <w:color w:val="auto"/>
              </w:rPr>
              <w:t>1,261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40" w:type="dxa"/>
            <w:vAlign w:val="bottom"/>
            <w:tcBorders>
              <w:bottom w:val="single" w:sz="8" w:color="auto"/>
            </w:tcBorders>
            <w:shd w:val="clear" w:color="auto" w:fill="CCEEFF"/>
          </w:tcPr>
          <w:p>
            <w:pPr>
              <w:ind w:left="80"/>
              <w:spacing w:after="0" w:line="144" w:lineRule="exact"/>
              <w:rPr>
                <w:sz w:val="20"/>
                <w:szCs w:val="20"/>
                <w:color w:val="auto"/>
              </w:rPr>
            </w:pPr>
            <w:r>
              <w:rPr>
                <w:rFonts w:ascii="Arial" w:cs="Arial" w:eastAsia="Arial" w:hAnsi="Arial"/>
                <w:sz w:val="13"/>
                <w:szCs w:val="13"/>
                <w:color w:val="auto"/>
              </w:rPr>
              <w:t>Less: accumulated depreciation</w:t>
            </w:r>
          </w:p>
        </w:tc>
        <w:tc>
          <w:tcPr>
            <w:tcW w:w="5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(907)</w:t>
            </w:r>
          </w:p>
        </w:tc>
        <w:tc>
          <w:tcPr>
            <w:tcW w:w="2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(818)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ind w:right="15"/>
              <w:spacing w:after="0" w:line="134" w:lineRule="exact"/>
              <w:rPr>
                <w:sz w:val="20"/>
                <w:szCs w:val="20"/>
                <w:color w:val="auto"/>
              </w:rPr>
            </w:pPr>
            <w:r>
              <w:rPr>
                <w:rFonts w:ascii="Arial" w:cs="Arial" w:eastAsia="Arial" w:hAnsi="Arial"/>
                <w:sz w:val="13"/>
                <w:szCs w:val="13"/>
                <w:b w:val="1"/>
                <w:bCs w:val="1"/>
                <w:color w:val="auto"/>
              </w:rPr>
              <w:t>423</w:t>
            </w:r>
          </w:p>
        </w:tc>
        <w:tc>
          <w:tcPr>
            <w:tcW w:w="200" w:type="dxa"/>
            <w:vAlign w:val="bottom"/>
          </w:tcPr>
          <w:p>
            <w:pPr>
              <w:spacing w:after="0"/>
              <w:rPr>
                <w:sz w:val="11"/>
                <w:szCs w:val="11"/>
                <w:color w:val="auto"/>
              </w:rPr>
            </w:pPr>
          </w:p>
        </w:tc>
        <w:tc>
          <w:tcPr>
            <w:tcW w:w="680" w:type="dxa"/>
            <w:vAlign w:val="bottom"/>
          </w:tcPr>
          <w:p>
            <w:pPr>
              <w:jc w:val="right"/>
              <w:ind w:right="535"/>
              <w:spacing w:after="0" w:line="134" w:lineRule="exact"/>
              <w:rPr>
                <w:sz w:val="20"/>
                <w:szCs w:val="20"/>
                <w:color w:val="auto"/>
              </w:rPr>
            </w:pPr>
            <w:r>
              <w:rPr>
                <w:rFonts w:ascii="Arial" w:cs="Arial" w:eastAsia="Arial" w:hAnsi="Arial"/>
                <w:sz w:val="13"/>
                <w:szCs w:val="13"/>
                <w:color w:val="auto"/>
                <w:w w:val="82"/>
              </w:rPr>
              <w:t>$</w:t>
            </w:r>
          </w:p>
        </w:tc>
        <w:tc>
          <w:tcPr>
            <w:tcW w:w="220" w:type="dxa"/>
            <w:vAlign w:val="bottom"/>
          </w:tcPr>
          <w:p>
            <w:pPr>
              <w:spacing w:after="0"/>
              <w:rPr>
                <w:sz w:val="11"/>
                <w:szCs w:val="11"/>
                <w:color w:val="auto"/>
              </w:rPr>
            </w:pPr>
          </w:p>
        </w:tc>
        <w:tc>
          <w:tcPr>
            <w:tcW w:w="540" w:type="dxa"/>
            <w:vAlign w:val="bottom"/>
          </w:tcPr>
          <w:p>
            <w:pPr>
              <w:jc w:val="right"/>
              <w:spacing w:after="0" w:line="134" w:lineRule="exact"/>
              <w:rPr>
                <w:sz w:val="20"/>
                <w:szCs w:val="20"/>
                <w:color w:val="auto"/>
              </w:rPr>
            </w:pPr>
            <w:r>
              <w:rPr>
                <w:rFonts w:ascii="Arial" w:cs="Arial" w:eastAsia="Arial" w:hAnsi="Arial"/>
                <w:sz w:val="13"/>
                <w:szCs w:val="13"/>
                <w:color w:val="auto"/>
              </w:rPr>
              <w:t>443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40" w:type="dxa"/>
            <w:vAlign w:val="bottom"/>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Finance leases:</w:t>
            </w:r>
          </w:p>
        </w:tc>
        <w:tc>
          <w:tcPr>
            <w:tcW w:w="5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40" w:type="dxa"/>
            <w:vAlign w:val="bottom"/>
          </w:tcPr>
          <w:p>
            <w:pPr>
              <w:ind w:left="80"/>
              <w:spacing w:after="0" w:line="144" w:lineRule="exact"/>
              <w:rPr>
                <w:sz w:val="20"/>
                <w:szCs w:val="20"/>
                <w:color w:val="auto"/>
              </w:rPr>
            </w:pPr>
            <w:r>
              <w:rPr>
                <w:rFonts w:ascii="Arial" w:cs="Arial" w:eastAsia="Arial" w:hAnsi="Arial"/>
                <w:sz w:val="13"/>
                <w:szCs w:val="13"/>
                <w:color w:val="auto"/>
              </w:rPr>
              <w:t>Assets under finance leases</w:t>
            </w: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ind w:right="15"/>
              <w:spacing w:after="0" w:line="144" w:lineRule="exact"/>
              <w:rPr>
                <w:sz w:val="20"/>
                <w:szCs w:val="20"/>
                <w:color w:val="auto"/>
              </w:rPr>
            </w:pPr>
            <w:r>
              <w:rPr>
                <w:rFonts w:ascii="Arial" w:cs="Arial" w:eastAsia="Arial" w:hAnsi="Arial"/>
                <w:sz w:val="13"/>
                <w:szCs w:val="13"/>
                <w:b w:val="1"/>
                <w:bCs w:val="1"/>
                <w:color w:val="auto"/>
              </w:rPr>
              <w:t>11</w:t>
            </w:r>
          </w:p>
        </w:tc>
        <w:tc>
          <w:tcPr>
            <w:tcW w:w="200" w:type="dxa"/>
            <w:vAlign w:val="bottom"/>
          </w:tcPr>
          <w:p>
            <w:pPr>
              <w:spacing w:after="0"/>
              <w:rPr>
                <w:sz w:val="12"/>
                <w:szCs w:val="12"/>
                <w:color w:val="auto"/>
              </w:rPr>
            </w:pPr>
          </w:p>
        </w:tc>
        <w:tc>
          <w:tcPr>
            <w:tcW w:w="680" w:type="dxa"/>
            <w:vAlign w:val="bottom"/>
          </w:tcPr>
          <w:p>
            <w:pPr>
              <w:jc w:val="right"/>
              <w:ind w:right="535"/>
              <w:spacing w:after="0" w:line="144" w:lineRule="exact"/>
              <w:rPr>
                <w:sz w:val="20"/>
                <w:szCs w:val="20"/>
                <w:color w:val="auto"/>
              </w:rPr>
            </w:pPr>
            <w:r>
              <w:rPr>
                <w:rFonts w:ascii="Arial" w:cs="Arial" w:eastAsia="Arial" w:hAnsi="Arial"/>
                <w:sz w:val="13"/>
                <w:szCs w:val="13"/>
                <w:color w:val="auto"/>
                <w:w w:val="82"/>
              </w:rPr>
              <w:t>$</w:t>
            </w:r>
          </w:p>
        </w:tc>
        <w:tc>
          <w:tcPr>
            <w:tcW w:w="220" w:type="dxa"/>
            <w:vAlign w:val="bottom"/>
          </w:tcPr>
          <w:p>
            <w:pPr>
              <w:spacing w:after="0"/>
              <w:rPr>
                <w:sz w:val="12"/>
                <w:szCs w:val="12"/>
                <w:color w:val="auto"/>
              </w:rPr>
            </w:pPr>
          </w:p>
        </w:tc>
        <w:tc>
          <w:tcPr>
            <w:tcW w:w="54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40" w:type="dxa"/>
            <w:vAlign w:val="bottom"/>
            <w:tcBorders>
              <w:bottom w:val="single" w:sz="8" w:color="auto"/>
            </w:tcBorders>
            <w:shd w:val="clear" w:color="auto" w:fill="CCEEFF"/>
          </w:tcPr>
          <w:p>
            <w:pPr>
              <w:ind w:left="80"/>
              <w:spacing w:after="0" w:line="144" w:lineRule="exact"/>
              <w:rPr>
                <w:sz w:val="20"/>
                <w:szCs w:val="20"/>
                <w:color w:val="auto"/>
              </w:rPr>
            </w:pPr>
            <w:r>
              <w:rPr>
                <w:rFonts w:ascii="Arial" w:cs="Arial" w:eastAsia="Arial" w:hAnsi="Arial"/>
                <w:sz w:val="13"/>
                <w:szCs w:val="13"/>
                <w:color w:val="auto"/>
              </w:rPr>
              <w:t>Less: accumulated amortization</w:t>
            </w:r>
          </w:p>
        </w:tc>
        <w:tc>
          <w:tcPr>
            <w:tcW w:w="5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(1)</w:t>
            </w:r>
          </w:p>
        </w:tc>
        <w:tc>
          <w:tcPr>
            <w:tcW w:w="2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ind w:right="15"/>
              <w:spacing w:after="0" w:line="134" w:lineRule="exact"/>
              <w:rPr>
                <w:sz w:val="20"/>
                <w:szCs w:val="20"/>
                <w:color w:val="auto"/>
              </w:rPr>
            </w:pPr>
            <w:r>
              <w:rPr>
                <w:rFonts w:ascii="Arial" w:cs="Arial" w:eastAsia="Arial" w:hAnsi="Arial"/>
                <w:sz w:val="13"/>
                <w:szCs w:val="13"/>
                <w:b w:val="1"/>
                <w:bCs w:val="1"/>
                <w:color w:val="auto"/>
              </w:rPr>
              <w:t>10</w:t>
            </w:r>
          </w:p>
        </w:tc>
        <w:tc>
          <w:tcPr>
            <w:tcW w:w="200" w:type="dxa"/>
            <w:vAlign w:val="bottom"/>
          </w:tcPr>
          <w:p>
            <w:pPr>
              <w:spacing w:after="0"/>
              <w:rPr>
                <w:sz w:val="11"/>
                <w:szCs w:val="11"/>
                <w:color w:val="auto"/>
              </w:rPr>
            </w:pPr>
          </w:p>
        </w:tc>
        <w:tc>
          <w:tcPr>
            <w:tcW w:w="680" w:type="dxa"/>
            <w:vAlign w:val="bottom"/>
          </w:tcPr>
          <w:p>
            <w:pPr>
              <w:jc w:val="right"/>
              <w:ind w:right="535"/>
              <w:spacing w:after="0" w:line="134" w:lineRule="exact"/>
              <w:rPr>
                <w:sz w:val="20"/>
                <w:szCs w:val="20"/>
                <w:color w:val="auto"/>
              </w:rPr>
            </w:pPr>
            <w:r>
              <w:rPr>
                <w:rFonts w:ascii="Arial" w:cs="Arial" w:eastAsia="Arial" w:hAnsi="Arial"/>
                <w:sz w:val="13"/>
                <w:szCs w:val="13"/>
                <w:color w:val="auto"/>
                <w:w w:val="82"/>
              </w:rPr>
              <w:t>$</w:t>
            </w:r>
          </w:p>
        </w:tc>
        <w:tc>
          <w:tcPr>
            <w:tcW w:w="220" w:type="dxa"/>
            <w:vAlign w:val="bottom"/>
          </w:tcPr>
          <w:p>
            <w:pPr>
              <w:spacing w:after="0"/>
              <w:rPr>
                <w:sz w:val="11"/>
                <w:szCs w:val="11"/>
                <w:color w:val="auto"/>
              </w:rPr>
            </w:pPr>
          </w:p>
        </w:tc>
        <w:tc>
          <w:tcPr>
            <w:tcW w:w="540" w:type="dxa"/>
            <w:vAlign w:val="bottom"/>
          </w:tcPr>
          <w:p>
            <w:pPr>
              <w:jc w:val="right"/>
              <w:spacing w:after="0" w:line="134"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040" w:type="dxa"/>
            <w:vAlign w:val="bottom"/>
          </w:tcPr>
          <w:p>
            <w:pPr>
              <w:spacing w:after="0" w:line="144" w:lineRule="exact"/>
              <w:rPr>
                <w:sz w:val="20"/>
                <w:szCs w:val="20"/>
                <w:color w:val="auto"/>
              </w:rPr>
            </w:pPr>
            <w:r>
              <w:rPr>
                <w:rFonts w:ascii="Arial" w:cs="Arial" w:eastAsia="Arial" w:hAnsi="Arial"/>
                <w:sz w:val="13"/>
                <w:szCs w:val="13"/>
                <w:b w:val="1"/>
                <w:bCs w:val="1"/>
                <w:color w:val="auto"/>
              </w:rPr>
              <w:t>Alterations to leased and owned buildings:</w:t>
            </w: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40" w:type="dxa"/>
            <w:vAlign w:val="bottom"/>
            <w:shd w:val="clear" w:color="auto" w:fill="CCEEFF"/>
          </w:tcPr>
          <w:p>
            <w:pPr>
              <w:ind w:left="80"/>
              <w:spacing w:after="0" w:line="144" w:lineRule="exact"/>
              <w:rPr>
                <w:sz w:val="20"/>
                <w:szCs w:val="20"/>
                <w:color w:val="auto"/>
              </w:rPr>
            </w:pPr>
            <w:r>
              <w:rPr>
                <w:rFonts w:ascii="Arial" w:cs="Arial" w:eastAsia="Arial" w:hAnsi="Arial"/>
                <w:sz w:val="13"/>
                <w:szCs w:val="13"/>
                <w:color w:val="auto"/>
              </w:rPr>
              <w:t>Cost</w:t>
            </w:r>
          </w:p>
        </w:tc>
        <w:tc>
          <w:tcPr>
            <w:tcW w:w="5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15"/>
              <w:spacing w:after="0" w:line="144" w:lineRule="exact"/>
              <w:rPr>
                <w:sz w:val="20"/>
                <w:szCs w:val="20"/>
                <w:color w:val="auto"/>
              </w:rPr>
            </w:pPr>
            <w:r>
              <w:rPr>
                <w:rFonts w:ascii="Arial" w:cs="Arial" w:eastAsia="Arial" w:hAnsi="Arial"/>
                <w:sz w:val="13"/>
                <w:szCs w:val="13"/>
                <w:b w:val="1"/>
                <w:bCs w:val="1"/>
                <w:color w:val="auto"/>
              </w:rPr>
              <w:t>974</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535"/>
              <w:spacing w:after="0" w:line="144" w:lineRule="exact"/>
              <w:rPr>
                <w:sz w:val="20"/>
                <w:szCs w:val="20"/>
                <w:color w:val="auto"/>
              </w:rPr>
            </w:pPr>
            <w:r>
              <w:rPr>
                <w:rFonts w:ascii="Arial" w:cs="Arial" w:eastAsia="Arial" w:hAnsi="Arial"/>
                <w:sz w:val="13"/>
                <w:szCs w:val="13"/>
                <w:color w:val="auto"/>
                <w:w w:val="82"/>
              </w:rPr>
              <w:t>$</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937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40" w:type="dxa"/>
            <w:vAlign w:val="bottom"/>
            <w:tcBorders>
              <w:bottom w:val="single" w:sz="8" w:color="auto"/>
            </w:tcBorders>
          </w:tcPr>
          <w:p>
            <w:pPr>
              <w:ind w:left="80"/>
              <w:spacing w:after="0" w:line="144" w:lineRule="exact"/>
              <w:rPr>
                <w:sz w:val="20"/>
                <w:szCs w:val="20"/>
                <w:color w:val="auto"/>
              </w:rPr>
            </w:pPr>
            <w:r>
              <w:rPr>
                <w:rFonts w:ascii="Arial" w:cs="Arial" w:eastAsia="Arial" w:hAnsi="Arial"/>
                <w:sz w:val="13"/>
                <w:szCs w:val="13"/>
                <w:color w:val="auto"/>
              </w:rPr>
              <w:t>Less: accumulated amortization</w:t>
            </w:r>
          </w:p>
        </w:tc>
        <w:tc>
          <w:tcPr>
            <w:tcW w:w="5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(619)</w:t>
            </w: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(556)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66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ind w:right="15"/>
              <w:spacing w:after="0" w:line="134" w:lineRule="exact"/>
              <w:rPr>
                <w:sz w:val="20"/>
                <w:szCs w:val="20"/>
                <w:color w:val="auto"/>
              </w:rPr>
            </w:pPr>
            <w:r>
              <w:rPr>
                <w:rFonts w:ascii="Arial" w:cs="Arial" w:eastAsia="Arial" w:hAnsi="Arial"/>
                <w:sz w:val="13"/>
                <w:szCs w:val="13"/>
                <w:b w:val="1"/>
                <w:bCs w:val="1"/>
                <w:color w:val="auto"/>
              </w:rPr>
              <w:t>355</w:t>
            </w:r>
          </w:p>
        </w:tc>
        <w:tc>
          <w:tcPr>
            <w:tcW w:w="20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ind w:right="535"/>
              <w:spacing w:after="0" w:line="134" w:lineRule="exact"/>
              <w:rPr>
                <w:sz w:val="20"/>
                <w:szCs w:val="20"/>
                <w:color w:val="auto"/>
              </w:rPr>
            </w:pPr>
            <w:r>
              <w:rPr>
                <w:rFonts w:ascii="Arial" w:cs="Arial" w:eastAsia="Arial" w:hAnsi="Arial"/>
                <w:sz w:val="13"/>
                <w:szCs w:val="13"/>
                <w:color w:val="auto"/>
                <w:w w:val="82"/>
              </w:rPr>
              <w:t>$</w:t>
            </w:r>
          </w:p>
        </w:tc>
        <w:tc>
          <w:tcPr>
            <w:tcW w:w="2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381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5"/>
              <w:spacing w:after="0" w:line="134" w:lineRule="exact"/>
              <w:rPr>
                <w:sz w:val="20"/>
                <w:szCs w:val="20"/>
                <w:color w:val="auto"/>
              </w:rPr>
            </w:pPr>
            <w:r>
              <w:rPr>
                <w:rFonts w:ascii="Arial" w:cs="Arial" w:eastAsia="Arial" w:hAnsi="Arial"/>
                <w:sz w:val="13"/>
                <w:szCs w:val="13"/>
                <w:b w:val="1"/>
                <w:bCs w:val="1"/>
                <w:color w:val="auto"/>
              </w:rPr>
              <w:t>788</w:t>
            </w: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535"/>
              <w:spacing w:after="0" w:line="134" w:lineRule="exact"/>
              <w:rPr>
                <w:sz w:val="20"/>
                <w:szCs w:val="20"/>
                <w:color w:val="auto"/>
              </w:rPr>
            </w:pPr>
            <w:r>
              <w:rPr>
                <w:rFonts w:ascii="Arial" w:cs="Arial" w:eastAsia="Arial" w:hAnsi="Arial"/>
                <w:sz w:val="13"/>
                <w:szCs w:val="13"/>
                <w:color w:val="auto"/>
                <w:w w:val="82"/>
              </w:rPr>
              <w:t>$</w:t>
            </w:r>
          </w:p>
        </w:tc>
        <w:tc>
          <w:tcPr>
            <w:tcW w:w="2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824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3060" w:type="dxa"/>
            <w:vAlign w:val="bottom"/>
            <w:gridSpan w:val="2"/>
          </w:tcPr>
          <w:p>
            <w:pPr>
              <w:spacing w:after="0"/>
              <w:rPr>
                <w:sz w:val="20"/>
                <w:szCs w:val="20"/>
                <w:color w:val="auto"/>
              </w:rPr>
            </w:pPr>
            <w:r>
              <w:rPr>
                <w:rFonts w:ascii="Arial" w:cs="Arial" w:eastAsia="Arial" w:hAnsi="Arial"/>
                <w:sz w:val="13"/>
                <w:szCs w:val="13"/>
                <w:b w:val="1"/>
                <w:bCs w:val="1"/>
                <w:color w:val="auto"/>
              </w:rPr>
              <w:t>8. Other Intangible Assets, net</w:t>
            </w: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0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9"/>
              </w:rPr>
              <w:t>January 30, 2021</w:t>
            </w:r>
          </w:p>
        </w:tc>
        <w:tc>
          <w:tcPr>
            <w:tcW w:w="7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gridSpan w:val="3"/>
          </w:tcPr>
          <w:p>
            <w:pPr>
              <w:jc w:val="right"/>
              <w:ind w:right="15"/>
              <w:spacing w:after="0"/>
              <w:rPr>
                <w:sz w:val="20"/>
                <w:szCs w:val="20"/>
                <w:color w:val="auto"/>
              </w:rPr>
            </w:pPr>
            <w:r>
              <w:rPr>
                <w:rFonts w:ascii="Arial" w:cs="Arial" w:eastAsia="Arial" w:hAnsi="Arial"/>
                <w:sz w:val="13"/>
                <w:szCs w:val="13"/>
                <w:color w:val="auto"/>
              </w:rPr>
              <w:t>February 1, 2020</w:t>
            </w:r>
          </w:p>
        </w:tc>
        <w:tc>
          <w:tcPr>
            <w:tcW w:w="54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3040" w:type="dxa"/>
            <w:vAlign w:val="bottom"/>
          </w:tcPr>
          <w:p>
            <w:pPr>
              <w:spacing w:after="0"/>
              <w:rPr>
                <w:sz w:val="9"/>
                <w:szCs w:val="9"/>
                <w:color w:val="auto"/>
              </w:rPr>
            </w:pPr>
          </w:p>
        </w:tc>
        <w:tc>
          <w:tcPr>
            <w:tcW w:w="540" w:type="dxa"/>
            <w:vAlign w:val="bottom"/>
          </w:tcPr>
          <w:p>
            <w:pPr>
              <w:spacing w:after="0"/>
              <w:rPr>
                <w:sz w:val="9"/>
                <w:szCs w:val="9"/>
                <w:color w:val="auto"/>
              </w:rPr>
            </w:pPr>
          </w:p>
        </w:tc>
        <w:tc>
          <w:tcPr>
            <w:tcW w:w="540" w:type="dxa"/>
            <w:vAlign w:val="bottom"/>
          </w:tcPr>
          <w:p>
            <w:pPr>
              <w:jc w:val="right"/>
              <w:ind w:right="75"/>
              <w:spacing w:after="0" w:line="113" w:lineRule="exact"/>
              <w:rPr>
                <w:sz w:val="20"/>
                <w:szCs w:val="20"/>
                <w:color w:val="auto"/>
              </w:rPr>
            </w:pPr>
            <w:r>
              <w:rPr>
                <w:rFonts w:ascii="Arial" w:cs="Arial" w:eastAsia="Arial" w:hAnsi="Arial"/>
                <w:sz w:val="13"/>
                <w:szCs w:val="13"/>
                <w:b w:val="1"/>
                <w:bCs w:val="1"/>
                <w:color w:val="auto"/>
              </w:rPr>
              <w:t>Gross</w:t>
            </w:r>
          </w:p>
        </w:tc>
        <w:tc>
          <w:tcPr>
            <w:tcW w:w="220" w:type="dxa"/>
            <w:vAlign w:val="bottom"/>
          </w:tcPr>
          <w:p>
            <w:pPr>
              <w:spacing w:after="0"/>
              <w:rPr>
                <w:sz w:val="9"/>
                <w:szCs w:val="9"/>
                <w:color w:val="auto"/>
              </w:rPr>
            </w:pPr>
          </w:p>
        </w:tc>
        <w:tc>
          <w:tcPr>
            <w:tcW w:w="660" w:type="dxa"/>
            <w:vAlign w:val="bottom"/>
          </w:tcPr>
          <w:p>
            <w:pPr>
              <w:jc w:val="right"/>
              <w:ind w:right="115"/>
              <w:spacing w:after="0" w:line="113" w:lineRule="exact"/>
              <w:rPr>
                <w:sz w:val="20"/>
                <w:szCs w:val="20"/>
                <w:color w:val="auto"/>
              </w:rPr>
            </w:pPr>
            <w:r>
              <w:rPr>
                <w:rFonts w:ascii="Arial" w:cs="Arial" w:eastAsia="Arial" w:hAnsi="Arial"/>
                <w:sz w:val="13"/>
                <w:szCs w:val="13"/>
                <w:b w:val="1"/>
                <w:bCs w:val="1"/>
                <w:color w:val="auto"/>
                <w:w w:val="97"/>
              </w:rPr>
              <w:t>Accum.</w:t>
            </w:r>
          </w:p>
        </w:tc>
        <w:tc>
          <w:tcPr>
            <w:tcW w:w="200" w:type="dxa"/>
            <w:vAlign w:val="bottom"/>
          </w:tcPr>
          <w:p>
            <w:pPr>
              <w:spacing w:after="0"/>
              <w:rPr>
                <w:sz w:val="9"/>
                <w:szCs w:val="9"/>
                <w:color w:val="auto"/>
              </w:rPr>
            </w:pPr>
          </w:p>
        </w:tc>
        <w:tc>
          <w:tcPr>
            <w:tcW w:w="720" w:type="dxa"/>
            <w:vAlign w:val="bottom"/>
          </w:tcPr>
          <w:p>
            <w:pPr>
              <w:jc w:val="right"/>
              <w:ind w:right="355"/>
              <w:spacing w:after="0" w:line="113" w:lineRule="exact"/>
              <w:rPr>
                <w:sz w:val="20"/>
                <w:szCs w:val="20"/>
                <w:color w:val="auto"/>
              </w:rPr>
            </w:pPr>
            <w:r>
              <w:rPr>
                <w:rFonts w:ascii="Arial" w:cs="Arial" w:eastAsia="Arial" w:hAnsi="Arial"/>
                <w:sz w:val="13"/>
                <w:szCs w:val="13"/>
                <w:b w:val="1"/>
                <w:bCs w:val="1"/>
                <w:color w:val="auto"/>
              </w:rPr>
              <w:t>Net</w:t>
            </w:r>
          </w:p>
        </w:tc>
        <w:tc>
          <w:tcPr>
            <w:tcW w:w="620" w:type="dxa"/>
            <w:vAlign w:val="bottom"/>
          </w:tcPr>
          <w:p>
            <w:pPr>
              <w:jc w:val="right"/>
              <w:ind w:right="175"/>
              <w:spacing w:after="0" w:line="113" w:lineRule="exact"/>
              <w:rPr>
                <w:sz w:val="20"/>
                <w:szCs w:val="20"/>
                <w:color w:val="auto"/>
              </w:rPr>
            </w:pPr>
            <w:r>
              <w:rPr>
                <w:rFonts w:ascii="Arial" w:cs="Arial" w:eastAsia="Arial" w:hAnsi="Arial"/>
                <w:sz w:val="13"/>
                <w:szCs w:val="13"/>
                <w:b w:val="1"/>
                <w:bCs w:val="1"/>
                <w:color w:val="auto"/>
                <w:w w:val="93"/>
              </w:rPr>
              <w:t>Life in</w:t>
            </w:r>
          </w:p>
        </w:tc>
        <w:tc>
          <w:tcPr>
            <w:tcW w:w="200" w:type="dxa"/>
            <w:vAlign w:val="bottom"/>
          </w:tcPr>
          <w:p>
            <w:pPr>
              <w:spacing w:after="0"/>
              <w:rPr>
                <w:sz w:val="9"/>
                <w:szCs w:val="9"/>
                <w:color w:val="auto"/>
              </w:rPr>
            </w:pPr>
          </w:p>
        </w:tc>
        <w:tc>
          <w:tcPr>
            <w:tcW w:w="560" w:type="dxa"/>
            <w:vAlign w:val="bottom"/>
          </w:tcPr>
          <w:p>
            <w:pPr>
              <w:jc w:val="right"/>
              <w:ind w:right="95"/>
              <w:spacing w:after="0" w:line="113" w:lineRule="exact"/>
              <w:rPr>
                <w:sz w:val="20"/>
                <w:szCs w:val="20"/>
                <w:color w:val="auto"/>
              </w:rPr>
            </w:pPr>
            <w:r>
              <w:rPr>
                <w:rFonts w:ascii="Arial" w:cs="Arial" w:eastAsia="Arial" w:hAnsi="Arial"/>
                <w:sz w:val="13"/>
                <w:szCs w:val="13"/>
                <w:color w:val="auto"/>
              </w:rPr>
              <w:t>Gross</w:t>
            </w:r>
          </w:p>
        </w:tc>
        <w:tc>
          <w:tcPr>
            <w:tcW w:w="200" w:type="dxa"/>
            <w:vAlign w:val="bottom"/>
          </w:tcPr>
          <w:p>
            <w:pPr>
              <w:spacing w:after="0"/>
              <w:rPr>
                <w:sz w:val="9"/>
                <w:szCs w:val="9"/>
                <w:color w:val="auto"/>
              </w:rPr>
            </w:pPr>
          </w:p>
        </w:tc>
        <w:tc>
          <w:tcPr>
            <w:tcW w:w="680" w:type="dxa"/>
            <w:vAlign w:val="bottom"/>
          </w:tcPr>
          <w:p>
            <w:pPr>
              <w:jc w:val="right"/>
              <w:ind w:right="135"/>
              <w:spacing w:after="0" w:line="113" w:lineRule="exact"/>
              <w:rPr>
                <w:sz w:val="20"/>
                <w:szCs w:val="20"/>
                <w:color w:val="auto"/>
              </w:rPr>
            </w:pPr>
            <w:r>
              <w:rPr>
                <w:rFonts w:ascii="Arial" w:cs="Arial" w:eastAsia="Arial" w:hAnsi="Arial"/>
                <w:sz w:val="13"/>
                <w:szCs w:val="13"/>
                <w:color w:val="auto"/>
              </w:rPr>
              <w:t>Accum.</w:t>
            </w:r>
          </w:p>
        </w:tc>
        <w:tc>
          <w:tcPr>
            <w:tcW w:w="220" w:type="dxa"/>
            <w:vAlign w:val="bottom"/>
          </w:tcPr>
          <w:p>
            <w:pPr>
              <w:spacing w:after="0"/>
              <w:rPr>
                <w:sz w:val="9"/>
                <w:szCs w:val="9"/>
                <w:color w:val="auto"/>
              </w:rPr>
            </w:pPr>
          </w:p>
        </w:tc>
        <w:tc>
          <w:tcPr>
            <w:tcW w:w="540" w:type="dxa"/>
            <w:vAlign w:val="bottom"/>
          </w:tcPr>
          <w:p>
            <w:pPr>
              <w:jc w:val="center"/>
              <w:ind w:right="115"/>
              <w:spacing w:after="0" w:line="113" w:lineRule="exact"/>
              <w:rPr>
                <w:sz w:val="20"/>
                <w:szCs w:val="20"/>
                <w:color w:val="auto"/>
              </w:rPr>
            </w:pPr>
            <w:r>
              <w:rPr>
                <w:rFonts w:ascii="Arial" w:cs="Arial" w:eastAsia="Arial" w:hAnsi="Arial"/>
                <w:sz w:val="13"/>
                <w:szCs w:val="13"/>
                <w:color w:val="auto"/>
                <w:w w:val="98"/>
              </w:rPr>
              <w:t>Net</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40" w:type="dxa"/>
            <w:vAlign w:val="bottom"/>
          </w:tcPr>
          <w:p>
            <w:pPr>
              <w:spacing w:after="0"/>
              <w:rPr>
                <w:sz w:val="20"/>
                <w:szCs w:val="20"/>
                <w:color w:val="auto"/>
              </w:rPr>
            </w:pPr>
            <w:r>
              <w:rPr>
                <w:rFonts w:ascii="Arial" w:cs="Arial" w:eastAsia="Arial" w:hAnsi="Arial"/>
                <w:sz w:val="13"/>
                <w:szCs w:val="13"/>
                <w:color w:val="auto"/>
              </w:rPr>
              <w:t>($ in millions)</w:t>
            </w:r>
          </w:p>
        </w:tc>
        <w:tc>
          <w:tcPr>
            <w:tcW w:w="540" w:type="dxa"/>
            <w:vAlign w:val="bottom"/>
          </w:tcPr>
          <w:p>
            <w:pPr>
              <w:spacing w:after="0"/>
              <w:rPr>
                <w:sz w:val="14"/>
                <w:szCs w:val="14"/>
                <w:color w:val="auto"/>
              </w:rPr>
            </w:pPr>
          </w:p>
        </w:tc>
        <w:tc>
          <w:tcPr>
            <w:tcW w:w="540" w:type="dxa"/>
            <w:vAlign w:val="bottom"/>
          </w:tcPr>
          <w:p>
            <w:pPr>
              <w:jc w:val="right"/>
              <w:ind w:right="95"/>
              <w:spacing w:after="0"/>
              <w:rPr>
                <w:sz w:val="20"/>
                <w:szCs w:val="20"/>
                <w:color w:val="auto"/>
              </w:rPr>
            </w:pPr>
            <w:r>
              <w:rPr>
                <w:rFonts w:ascii="Arial" w:cs="Arial" w:eastAsia="Arial" w:hAnsi="Arial"/>
                <w:sz w:val="13"/>
                <w:szCs w:val="13"/>
                <w:b w:val="1"/>
                <w:bCs w:val="1"/>
                <w:color w:val="auto"/>
              </w:rPr>
              <w:t>value</w:t>
            </w:r>
          </w:p>
        </w:tc>
        <w:tc>
          <w:tcPr>
            <w:tcW w:w="220" w:type="dxa"/>
            <w:vAlign w:val="bottom"/>
          </w:tcPr>
          <w:p>
            <w:pPr>
              <w:spacing w:after="0"/>
              <w:rPr>
                <w:sz w:val="14"/>
                <w:szCs w:val="14"/>
                <w:color w:val="auto"/>
              </w:rPr>
            </w:pPr>
          </w:p>
        </w:tc>
        <w:tc>
          <w:tcPr>
            <w:tcW w:w="660" w:type="dxa"/>
            <w:vAlign w:val="bottom"/>
          </w:tcPr>
          <w:p>
            <w:pPr>
              <w:jc w:val="right"/>
              <w:ind w:right="135"/>
              <w:spacing w:after="0"/>
              <w:rPr>
                <w:sz w:val="20"/>
                <w:szCs w:val="20"/>
                <w:color w:val="auto"/>
              </w:rPr>
            </w:pPr>
            <w:r>
              <w:rPr>
                <w:rFonts w:ascii="Arial" w:cs="Arial" w:eastAsia="Arial" w:hAnsi="Arial"/>
                <w:sz w:val="13"/>
                <w:szCs w:val="13"/>
                <w:b w:val="1"/>
                <w:bCs w:val="1"/>
                <w:color w:val="auto"/>
              </w:rPr>
              <w:t>amort.</w:t>
            </w:r>
          </w:p>
        </w:tc>
        <w:tc>
          <w:tcPr>
            <w:tcW w:w="200" w:type="dxa"/>
            <w:vAlign w:val="bottom"/>
          </w:tcPr>
          <w:p>
            <w:pPr>
              <w:spacing w:after="0"/>
              <w:rPr>
                <w:sz w:val="14"/>
                <w:szCs w:val="14"/>
                <w:color w:val="auto"/>
              </w:rPr>
            </w:pPr>
          </w:p>
        </w:tc>
        <w:tc>
          <w:tcPr>
            <w:tcW w:w="720" w:type="dxa"/>
            <w:vAlign w:val="bottom"/>
          </w:tcPr>
          <w:p>
            <w:pPr>
              <w:jc w:val="right"/>
              <w:ind w:right="295"/>
              <w:spacing w:after="0"/>
              <w:rPr>
                <w:sz w:val="20"/>
                <w:szCs w:val="20"/>
                <w:color w:val="auto"/>
              </w:rPr>
            </w:pPr>
            <w:r>
              <w:rPr>
                <w:rFonts w:ascii="Arial" w:cs="Arial" w:eastAsia="Arial" w:hAnsi="Arial"/>
                <w:sz w:val="13"/>
                <w:szCs w:val="13"/>
                <w:b w:val="1"/>
                <w:bCs w:val="1"/>
                <w:color w:val="auto"/>
              </w:rPr>
              <w:t>value</w:t>
            </w:r>
          </w:p>
        </w:tc>
        <w:tc>
          <w:tcPr>
            <w:tcW w:w="620" w:type="dxa"/>
            <w:vAlign w:val="bottom"/>
          </w:tcPr>
          <w:p>
            <w:pPr>
              <w:jc w:val="right"/>
              <w:ind w:right="35"/>
              <w:spacing w:after="0" w:line="164" w:lineRule="exact"/>
              <w:rPr>
                <w:sz w:val="20"/>
                <w:szCs w:val="20"/>
                <w:color w:val="auto"/>
              </w:rPr>
            </w:pPr>
            <w:r>
              <w:rPr>
                <w:rFonts w:ascii="Arial" w:cs="Arial" w:eastAsia="Arial" w:hAnsi="Arial"/>
                <w:sz w:val="13"/>
                <w:szCs w:val="13"/>
                <w:b w:val="1"/>
                <w:bCs w:val="1"/>
                <w:color w:val="auto"/>
                <w:w w:val="91"/>
              </w:rPr>
              <w:t xml:space="preserve">Years </w:t>
            </w:r>
            <w:r>
              <w:rPr>
                <w:rFonts w:ascii="Arial" w:cs="Arial" w:eastAsia="Arial" w:hAnsi="Arial"/>
                <w:sz w:val="19"/>
                <w:szCs w:val="19"/>
                <w:b w:val="1"/>
                <w:bCs w:val="1"/>
                <w:color w:val="auto"/>
                <w:w w:val="91"/>
                <w:vertAlign w:val="superscript"/>
              </w:rPr>
              <w:t>(2)</w:t>
            </w:r>
          </w:p>
        </w:tc>
        <w:tc>
          <w:tcPr>
            <w:tcW w:w="200" w:type="dxa"/>
            <w:vAlign w:val="bottom"/>
          </w:tcPr>
          <w:p>
            <w:pPr>
              <w:spacing w:after="0"/>
              <w:rPr>
                <w:sz w:val="14"/>
                <w:szCs w:val="14"/>
                <w:color w:val="auto"/>
              </w:rPr>
            </w:pPr>
          </w:p>
        </w:tc>
        <w:tc>
          <w:tcPr>
            <w:tcW w:w="560" w:type="dxa"/>
            <w:vAlign w:val="bottom"/>
          </w:tcPr>
          <w:p>
            <w:pPr>
              <w:jc w:val="right"/>
              <w:ind w:right="115"/>
              <w:spacing w:after="0"/>
              <w:rPr>
                <w:sz w:val="20"/>
                <w:szCs w:val="20"/>
                <w:color w:val="auto"/>
              </w:rPr>
            </w:pPr>
            <w:r>
              <w:rPr>
                <w:rFonts w:ascii="Arial" w:cs="Arial" w:eastAsia="Arial" w:hAnsi="Arial"/>
                <w:sz w:val="13"/>
                <w:szCs w:val="13"/>
                <w:color w:val="auto"/>
              </w:rPr>
              <w:t>value</w:t>
            </w:r>
          </w:p>
        </w:tc>
        <w:tc>
          <w:tcPr>
            <w:tcW w:w="200" w:type="dxa"/>
            <w:vAlign w:val="bottom"/>
          </w:tcPr>
          <w:p>
            <w:pPr>
              <w:spacing w:after="0"/>
              <w:rPr>
                <w:sz w:val="14"/>
                <w:szCs w:val="14"/>
                <w:color w:val="auto"/>
              </w:rPr>
            </w:pPr>
          </w:p>
        </w:tc>
        <w:tc>
          <w:tcPr>
            <w:tcW w:w="680" w:type="dxa"/>
            <w:vAlign w:val="bottom"/>
          </w:tcPr>
          <w:p>
            <w:pPr>
              <w:jc w:val="right"/>
              <w:ind w:right="155"/>
              <w:spacing w:after="0"/>
              <w:rPr>
                <w:sz w:val="20"/>
                <w:szCs w:val="20"/>
                <w:color w:val="auto"/>
              </w:rPr>
            </w:pPr>
            <w:r>
              <w:rPr>
                <w:rFonts w:ascii="Arial" w:cs="Arial" w:eastAsia="Arial" w:hAnsi="Arial"/>
                <w:sz w:val="13"/>
                <w:szCs w:val="13"/>
                <w:color w:val="auto"/>
              </w:rPr>
              <w:t>amort.</w:t>
            </w:r>
          </w:p>
        </w:tc>
        <w:tc>
          <w:tcPr>
            <w:tcW w:w="220" w:type="dxa"/>
            <w:vAlign w:val="bottom"/>
          </w:tcPr>
          <w:p>
            <w:pPr>
              <w:spacing w:after="0"/>
              <w:rPr>
                <w:sz w:val="14"/>
                <w:szCs w:val="14"/>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3"/>
                <w:szCs w:val="13"/>
                <w:color w:val="auto"/>
              </w:rPr>
              <w:t>value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tcBorders>
              <w:top w:val="single" w:sz="8" w:color="auto"/>
            </w:tcBorders>
            <w:shd w:val="clear" w:color="auto" w:fill="CCEEFF"/>
          </w:tcPr>
          <w:p>
            <w:pPr>
              <w:spacing w:after="0" w:line="134" w:lineRule="exact"/>
              <w:rPr>
                <w:sz w:val="20"/>
                <w:szCs w:val="20"/>
                <w:color w:val="auto"/>
              </w:rPr>
            </w:pPr>
            <w:r>
              <w:rPr>
                <w:rFonts w:ascii="Arial" w:cs="Arial" w:eastAsia="Arial" w:hAnsi="Arial"/>
                <w:sz w:val="11"/>
                <w:szCs w:val="11"/>
                <w:color w:val="auto"/>
              </w:rPr>
              <w:t xml:space="preserve">Amortized intangible assets: </w:t>
            </w:r>
            <w:r>
              <w:rPr>
                <w:rFonts w:ascii="Arial" w:cs="Arial" w:eastAsia="Arial" w:hAnsi="Arial"/>
                <w:sz w:val="15"/>
                <w:szCs w:val="15"/>
                <w:color w:val="auto"/>
                <w:vertAlign w:val="superscript"/>
              </w:rPr>
              <w:t>(1)</w:t>
            </w:r>
          </w:p>
        </w:tc>
        <w:tc>
          <w:tcPr>
            <w:tcW w:w="54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40" w:type="dxa"/>
            <w:vAlign w:val="bottom"/>
          </w:tcPr>
          <w:p>
            <w:pPr>
              <w:ind w:left="160"/>
              <w:spacing w:after="0" w:line="144" w:lineRule="exact"/>
              <w:rPr>
                <w:sz w:val="20"/>
                <w:szCs w:val="20"/>
                <w:color w:val="auto"/>
              </w:rPr>
            </w:pPr>
            <w:r>
              <w:rPr>
                <w:rFonts w:ascii="Arial" w:cs="Arial" w:eastAsia="Arial" w:hAnsi="Arial"/>
                <w:sz w:val="13"/>
                <w:szCs w:val="13"/>
                <w:color w:val="auto"/>
              </w:rPr>
              <w:t>Lease acquisition costs</w:t>
            </w:r>
          </w:p>
        </w:tc>
        <w:tc>
          <w:tcPr>
            <w:tcW w:w="54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w:t>
            </w:r>
          </w:p>
        </w:tc>
        <w:tc>
          <w:tcPr>
            <w:tcW w:w="54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121</w:t>
            </w:r>
          </w:p>
        </w:tc>
        <w:tc>
          <w:tcPr>
            <w:tcW w:w="22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w:t>
            </w:r>
          </w:p>
        </w:tc>
        <w:tc>
          <w:tcPr>
            <w:tcW w:w="66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(116)</w:t>
            </w:r>
          </w:p>
        </w:tc>
        <w:tc>
          <w:tcPr>
            <w:tcW w:w="200" w:type="dxa"/>
            <w:vAlign w:val="bottom"/>
          </w:tcPr>
          <w:p>
            <w:pPr>
              <w:jc w:val="right"/>
              <w:ind w:right="15"/>
              <w:spacing w:after="0" w:line="144" w:lineRule="exact"/>
              <w:rPr>
                <w:sz w:val="20"/>
                <w:szCs w:val="20"/>
                <w:color w:val="auto"/>
              </w:rPr>
            </w:pPr>
            <w:r>
              <w:rPr>
                <w:rFonts w:ascii="Arial" w:cs="Arial" w:eastAsia="Arial" w:hAnsi="Arial"/>
                <w:sz w:val="13"/>
                <w:szCs w:val="13"/>
                <w:b w:val="1"/>
                <w:bCs w:val="1"/>
                <w:color w:val="auto"/>
              </w:rPr>
              <w:t>$</w:t>
            </w:r>
          </w:p>
        </w:tc>
        <w:tc>
          <w:tcPr>
            <w:tcW w:w="720" w:type="dxa"/>
            <w:vAlign w:val="bottom"/>
          </w:tcPr>
          <w:p>
            <w:pPr>
              <w:jc w:val="right"/>
              <w:ind w:right="135"/>
              <w:spacing w:after="0" w:line="144" w:lineRule="exact"/>
              <w:rPr>
                <w:sz w:val="20"/>
                <w:szCs w:val="20"/>
                <w:color w:val="auto"/>
              </w:rPr>
            </w:pPr>
            <w:r>
              <w:rPr>
                <w:rFonts w:ascii="Arial" w:cs="Arial" w:eastAsia="Arial" w:hAnsi="Arial"/>
                <w:sz w:val="13"/>
                <w:szCs w:val="13"/>
                <w:b w:val="1"/>
                <w:bCs w:val="1"/>
                <w:color w:val="auto"/>
              </w:rPr>
              <w:t>5</w:t>
            </w:r>
          </w:p>
        </w:tc>
        <w:tc>
          <w:tcPr>
            <w:tcW w:w="62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9.9</w:t>
            </w:r>
          </w:p>
        </w:tc>
        <w:tc>
          <w:tcPr>
            <w:tcW w:w="2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44" w:lineRule="exact"/>
              <w:rPr>
                <w:sz w:val="20"/>
                <w:szCs w:val="20"/>
                <w:color w:val="auto"/>
              </w:rPr>
            </w:pPr>
            <w:r>
              <w:rPr>
                <w:rFonts w:ascii="Arial" w:cs="Arial" w:eastAsia="Arial" w:hAnsi="Arial"/>
                <w:sz w:val="13"/>
                <w:szCs w:val="13"/>
                <w:color w:val="auto"/>
              </w:rPr>
              <w:t>115</w:t>
            </w:r>
          </w:p>
        </w:tc>
        <w:tc>
          <w:tcPr>
            <w:tcW w:w="2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44" w:lineRule="exact"/>
              <w:rPr>
                <w:sz w:val="20"/>
                <w:szCs w:val="20"/>
                <w:color w:val="auto"/>
              </w:rPr>
            </w:pPr>
            <w:r>
              <w:rPr>
                <w:rFonts w:ascii="Arial" w:cs="Arial" w:eastAsia="Arial" w:hAnsi="Arial"/>
                <w:sz w:val="13"/>
                <w:szCs w:val="13"/>
                <w:color w:val="auto"/>
              </w:rPr>
              <w:t>(108)</w:t>
            </w:r>
          </w:p>
        </w:tc>
        <w:tc>
          <w:tcPr>
            <w:tcW w:w="220" w:type="dxa"/>
            <w:vAlign w:val="bottom"/>
          </w:tcPr>
          <w:p>
            <w:pPr>
              <w:jc w:val="right"/>
              <w:ind w:right="35"/>
              <w:spacing w:after="0" w:line="144" w:lineRule="exact"/>
              <w:rPr>
                <w:sz w:val="20"/>
                <w:szCs w:val="20"/>
                <w:color w:val="auto"/>
              </w:rPr>
            </w:pPr>
            <w:r>
              <w:rPr>
                <w:rFonts w:ascii="Arial" w:cs="Arial" w:eastAsia="Arial" w:hAnsi="Arial"/>
                <w:sz w:val="13"/>
                <w:szCs w:val="13"/>
                <w:color w:val="auto"/>
              </w:rPr>
              <w:t>$</w:t>
            </w:r>
          </w:p>
        </w:tc>
        <w:tc>
          <w:tcPr>
            <w:tcW w:w="540" w:type="dxa"/>
            <w:vAlign w:val="bottom"/>
          </w:tcPr>
          <w:p>
            <w:pPr>
              <w:jc w:val="right"/>
              <w:spacing w:after="0" w:line="144" w:lineRule="exact"/>
              <w:rPr>
                <w:sz w:val="20"/>
                <w:szCs w:val="20"/>
                <w:color w:val="auto"/>
              </w:rPr>
            </w:pPr>
            <w:r>
              <w:rPr>
                <w:rFonts w:ascii="Arial" w:cs="Arial" w:eastAsia="Arial" w:hAnsi="Arial"/>
                <w:sz w:val="13"/>
                <w:szCs w:val="13"/>
                <w:color w:val="auto"/>
              </w:rPr>
              <w:t>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40" w:type="dxa"/>
            <w:vAlign w:val="bottom"/>
            <w:tcBorders>
              <w:bottom w:val="single" w:sz="8" w:color="auto"/>
            </w:tcBorders>
            <w:shd w:val="clear" w:color="auto" w:fill="CCEEFF"/>
          </w:tcPr>
          <w:p>
            <w:pPr>
              <w:ind w:left="160"/>
              <w:spacing w:after="0" w:line="144" w:lineRule="exact"/>
              <w:rPr>
                <w:sz w:val="20"/>
                <w:szCs w:val="20"/>
                <w:color w:val="auto"/>
              </w:rPr>
            </w:pPr>
            <w:r>
              <w:rPr>
                <w:rFonts w:ascii="Arial" w:cs="Arial" w:eastAsia="Arial" w:hAnsi="Arial"/>
                <w:sz w:val="13"/>
                <w:szCs w:val="13"/>
                <w:color w:val="auto"/>
              </w:rPr>
              <w:t>Trademarks / trade names</w:t>
            </w:r>
          </w:p>
        </w:tc>
        <w:tc>
          <w:tcPr>
            <w:tcW w:w="5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20</w:t>
            </w:r>
          </w:p>
        </w:tc>
        <w:tc>
          <w:tcPr>
            <w:tcW w:w="2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(17)</w:t>
            </w: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135"/>
              <w:spacing w:after="0" w:line="144" w:lineRule="exact"/>
              <w:rPr>
                <w:sz w:val="20"/>
                <w:szCs w:val="20"/>
                <w:color w:val="auto"/>
              </w:rPr>
            </w:pPr>
            <w:r>
              <w:rPr>
                <w:rFonts w:ascii="Arial" w:cs="Arial" w:eastAsia="Arial" w:hAnsi="Arial"/>
                <w:sz w:val="13"/>
                <w:szCs w:val="13"/>
                <w:b w:val="1"/>
                <w:bCs w:val="1"/>
                <w:color w:val="auto"/>
              </w:rPr>
              <w:t>3</w:t>
            </w:r>
          </w:p>
        </w:tc>
        <w:tc>
          <w:tcPr>
            <w:tcW w:w="62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20.0</w:t>
            </w:r>
          </w:p>
        </w:tc>
        <w:tc>
          <w:tcPr>
            <w:tcW w:w="2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20</w:t>
            </w:r>
          </w:p>
        </w:tc>
        <w:tc>
          <w:tcPr>
            <w:tcW w:w="2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(16)</w:t>
            </w:r>
          </w:p>
        </w:tc>
        <w:tc>
          <w:tcPr>
            <w:tcW w:w="2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141</w:t>
            </w:r>
          </w:p>
        </w:tc>
        <w:tc>
          <w:tcPr>
            <w:tcW w:w="2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w:t>
            </w:r>
          </w:p>
        </w:tc>
        <w:tc>
          <w:tcPr>
            <w:tcW w:w="6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(133)</w:t>
            </w:r>
          </w:p>
        </w:tc>
        <w:tc>
          <w:tcPr>
            <w:tcW w:w="200" w:type="dxa"/>
            <w:vAlign w:val="bottom"/>
            <w:tcBorders>
              <w:bottom w:val="single" w:sz="8" w:color="auto"/>
            </w:tcBorders>
          </w:tcPr>
          <w:p>
            <w:pPr>
              <w:jc w:val="right"/>
              <w:ind w:right="15"/>
              <w:spacing w:after="0" w:line="134" w:lineRule="exact"/>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ind w:right="135"/>
              <w:spacing w:after="0" w:line="134" w:lineRule="exact"/>
              <w:rPr>
                <w:sz w:val="20"/>
                <w:szCs w:val="20"/>
                <w:color w:val="auto"/>
              </w:rPr>
            </w:pPr>
            <w:r>
              <w:rPr>
                <w:rFonts w:ascii="Arial" w:cs="Arial" w:eastAsia="Arial" w:hAnsi="Arial"/>
                <w:sz w:val="13"/>
                <w:szCs w:val="13"/>
                <w:b w:val="1"/>
                <w:bCs w:val="1"/>
                <w:color w:val="auto"/>
              </w:rPr>
              <w:t>8</w:t>
            </w:r>
          </w:p>
        </w:tc>
        <w:tc>
          <w:tcPr>
            <w:tcW w:w="6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14.8</w:t>
            </w:r>
          </w:p>
        </w:tc>
        <w:tc>
          <w:tcPr>
            <w:tcW w:w="2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w:t>
            </w:r>
          </w:p>
        </w:tc>
        <w:tc>
          <w:tcPr>
            <w:tcW w:w="5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135</w:t>
            </w:r>
          </w:p>
        </w:tc>
        <w:tc>
          <w:tcPr>
            <w:tcW w:w="2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w:t>
            </w:r>
          </w:p>
        </w:tc>
        <w:tc>
          <w:tcPr>
            <w:tcW w:w="6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(124)</w:t>
            </w:r>
          </w:p>
        </w:tc>
        <w:tc>
          <w:tcPr>
            <w:tcW w:w="220" w:type="dxa"/>
            <w:vAlign w:val="bottom"/>
            <w:tcBorders>
              <w:bottom w:val="single" w:sz="8" w:color="auto"/>
            </w:tcBorders>
          </w:tcPr>
          <w:p>
            <w:pPr>
              <w:jc w:val="right"/>
              <w:ind w:right="35"/>
              <w:spacing w:after="0" w:line="134" w:lineRule="exact"/>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11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40" w:type="dxa"/>
            <w:vAlign w:val="bottom"/>
          </w:tcPr>
          <w:p>
            <w:pPr>
              <w:spacing w:after="0" w:line="144" w:lineRule="exact"/>
              <w:rPr>
                <w:sz w:val="20"/>
                <w:szCs w:val="20"/>
                <w:color w:val="auto"/>
              </w:rPr>
            </w:pPr>
            <w:r>
              <w:rPr>
                <w:rFonts w:ascii="Arial" w:cs="Arial" w:eastAsia="Arial" w:hAnsi="Arial"/>
                <w:sz w:val="11"/>
                <w:szCs w:val="11"/>
                <w:color w:val="auto"/>
              </w:rPr>
              <w:t xml:space="preserve">Indefinite life intangible assets: </w:t>
            </w:r>
            <w:r>
              <w:rPr>
                <w:rFonts w:ascii="Arial" w:cs="Arial" w:eastAsia="Arial" w:hAnsi="Arial"/>
                <w:sz w:val="16"/>
                <w:szCs w:val="16"/>
                <w:color w:val="auto"/>
                <w:vertAlign w:val="superscript"/>
              </w:rPr>
              <w:t>(1)</w:t>
            </w:r>
          </w:p>
        </w:tc>
        <w:tc>
          <w:tcPr>
            <w:tcW w:w="5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40" w:type="dxa"/>
            <w:vAlign w:val="bottom"/>
            <w:tcBorders>
              <w:bottom w:val="single" w:sz="8" w:color="auto"/>
            </w:tcBorders>
            <w:shd w:val="clear" w:color="auto" w:fill="CCEEFF"/>
          </w:tcPr>
          <w:p>
            <w:pPr>
              <w:ind w:left="160"/>
              <w:spacing w:after="0" w:line="144" w:lineRule="exact"/>
              <w:rPr>
                <w:sz w:val="20"/>
                <w:szCs w:val="20"/>
                <w:color w:val="auto"/>
              </w:rPr>
            </w:pPr>
            <w:r>
              <w:rPr>
                <w:rFonts w:ascii="Arial" w:cs="Arial" w:eastAsia="Arial" w:hAnsi="Arial"/>
                <w:sz w:val="13"/>
                <w:szCs w:val="13"/>
                <w:color w:val="auto"/>
              </w:rPr>
              <w:t>Trademarks / trade names</w:t>
            </w:r>
          </w:p>
        </w:tc>
        <w:tc>
          <w:tcPr>
            <w:tcW w:w="5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15"/>
              <w:spacing w:after="0" w:line="144" w:lineRule="exact"/>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shd w:val="clear" w:color="auto" w:fill="CCEEFF"/>
          </w:tcPr>
          <w:p>
            <w:pPr>
              <w:jc w:val="right"/>
              <w:ind w:right="135"/>
              <w:spacing w:after="0" w:line="144" w:lineRule="exact"/>
              <w:rPr>
                <w:sz w:val="20"/>
                <w:szCs w:val="20"/>
                <w:color w:val="auto"/>
              </w:rPr>
            </w:pPr>
            <w:r>
              <w:rPr>
                <w:rFonts w:ascii="Arial" w:cs="Arial" w:eastAsia="Arial" w:hAnsi="Arial"/>
                <w:sz w:val="13"/>
                <w:szCs w:val="13"/>
                <w:b w:val="1"/>
                <w:bCs w:val="1"/>
                <w:color w:val="auto"/>
              </w:rPr>
              <w:t>9</w:t>
            </w:r>
          </w:p>
        </w:tc>
        <w:tc>
          <w:tcPr>
            <w:tcW w:w="62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35"/>
              <w:spacing w:after="0" w:line="144" w:lineRule="exact"/>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auto"/>
            </w:tcBorders>
          </w:tcPr>
          <w:p>
            <w:pPr>
              <w:spacing w:after="0"/>
              <w:rPr>
                <w:sz w:val="11"/>
                <w:szCs w:val="11"/>
                <w:color w:val="auto"/>
              </w:rPr>
            </w:pPr>
          </w:p>
        </w:tc>
        <w:tc>
          <w:tcPr>
            <w:tcW w:w="3040" w:type="dxa"/>
            <w:vAlign w:val="bottom"/>
            <w:tcBorders>
              <w:bottom w:val="single" w:sz="8" w:color="auto"/>
            </w:tcBorders>
          </w:tcPr>
          <w:p>
            <w:pPr>
              <w:spacing w:after="0" w:line="134" w:lineRule="exact"/>
              <w:rPr>
                <w:sz w:val="20"/>
                <w:szCs w:val="20"/>
                <w:color w:val="auto"/>
              </w:rPr>
            </w:pPr>
            <w:r>
              <w:rPr>
                <w:rFonts w:ascii="Arial" w:cs="Arial" w:eastAsia="Arial" w:hAnsi="Arial"/>
                <w:sz w:val="13"/>
                <w:szCs w:val="13"/>
                <w:color w:val="auto"/>
              </w:rPr>
              <w:t>Other intangible assets, net</w:t>
            </w:r>
          </w:p>
        </w:tc>
        <w:tc>
          <w:tcPr>
            <w:tcW w:w="5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jc w:val="right"/>
              <w:ind w:right="15"/>
              <w:spacing w:after="0" w:line="134" w:lineRule="exact"/>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ind w:right="135"/>
              <w:spacing w:after="0" w:line="134" w:lineRule="exact"/>
              <w:rPr>
                <w:sz w:val="20"/>
                <w:szCs w:val="20"/>
                <w:color w:val="auto"/>
              </w:rPr>
            </w:pPr>
            <w:r>
              <w:rPr>
                <w:rFonts w:ascii="Arial" w:cs="Arial" w:eastAsia="Arial" w:hAnsi="Arial"/>
                <w:sz w:val="13"/>
                <w:szCs w:val="13"/>
                <w:b w:val="1"/>
                <w:bCs w:val="1"/>
                <w:color w:val="auto"/>
              </w:rPr>
              <w:t>17</w:t>
            </w:r>
          </w:p>
        </w:tc>
        <w:tc>
          <w:tcPr>
            <w:tcW w:w="6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jc w:val="right"/>
              <w:ind w:right="35"/>
              <w:spacing w:after="0" w:line="134" w:lineRule="exact"/>
              <w:rPr>
                <w:sz w:val="20"/>
                <w:szCs w:val="20"/>
                <w:color w:val="auto"/>
              </w:rPr>
            </w:pPr>
            <w:r>
              <w:rPr>
                <w:rFonts w:ascii="Arial" w:cs="Arial" w:eastAsia="Arial" w:hAnsi="Arial"/>
                <w:sz w:val="13"/>
                <w:szCs w:val="13"/>
                <w:color w:val="auto"/>
              </w:rPr>
              <w:t>$</w:t>
            </w:r>
          </w:p>
        </w:tc>
        <w:tc>
          <w:tcPr>
            <w:tcW w:w="5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20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280" w:hanging="250"/>
        <w:spacing w:after="0"/>
        <w:tabs>
          <w:tab w:leader="none" w:pos="280" w:val="left"/>
        </w:tabs>
        <w:numPr>
          <w:ilvl w:val="0"/>
          <w:numId w:val="19"/>
        </w:numPr>
        <w:rPr>
          <w:rFonts w:ascii="Arial" w:cs="Arial" w:eastAsia="Arial" w:hAnsi="Arial"/>
          <w:sz w:val="10"/>
          <w:szCs w:val="10"/>
          <w:color w:val="auto"/>
        </w:rPr>
      </w:pPr>
      <w:r>
        <w:rPr>
          <w:rFonts w:ascii="Arial" w:cs="Arial" w:eastAsia="Arial" w:hAnsi="Arial"/>
          <w:sz w:val="10"/>
          <w:szCs w:val="10"/>
          <w:color w:val="auto"/>
        </w:rPr>
        <w:t>The change in the ending balances also reflect the effect of foreign currency fluctuations due primarily to the movements of the euro in relation to the U.S. dollar.</w:t>
      </w:r>
    </w:p>
    <w:p>
      <w:pPr>
        <w:spacing w:after="0" w:line="28" w:lineRule="exact"/>
        <w:rPr>
          <w:rFonts w:ascii="Arial" w:cs="Arial" w:eastAsia="Arial" w:hAnsi="Arial"/>
          <w:sz w:val="10"/>
          <w:szCs w:val="10"/>
          <w:color w:val="auto"/>
        </w:rPr>
      </w:pPr>
    </w:p>
    <w:p>
      <w:pPr>
        <w:ind w:left="280" w:hanging="250"/>
        <w:spacing w:after="0"/>
        <w:tabs>
          <w:tab w:leader="none" w:pos="280" w:val="left"/>
        </w:tabs>
        <w:numPr>
          <w:ilvl w:val="0"/>
          <w:numId w:val="19"/>
        </w:numPr>
        <w:rPr>
          <w:rFonts w:ascii="Arial" w:cs="Arial" w:eastAsia="Arial" w:hAnsi="Arial"/>
          <w:sz w:val="10"/>
          <w:szCs w:val="10"/>
          <w:color w:val="auto"/>
        </w:rPr>
      </w:pPr>
      <w:r>
        <w:rPr>
          <w:rFonts w:ascii="Arial" w:cs="Arial" w:eastAsia="Arial" w:hAnsi="Arial"/>
          <w:sz w:val="10"/>
          <w:szCs w:val="10"/>
          <w:color w:val="auto"/>
        </w:rPr>
        <w:t>Represents the weighted-average useful life as of January 30, 2021 and excludes those assets that are fully amortized.</w:t>
      </w:r>
    </w:p>
    <w:p>
      <w:pPr>
        <w:spacing w:after="0" w:line="168" w:lineRule="exact"/>
        <w:rPr>
          <w:sz w:val="20"/>
          <w:szCs w:val="20"/>
          <w:color w:val="auto"/>
        </w:rPr>
      </w:pPr>
    </w:p>
    <w:p>
      <w:pPr>
        <w:ind w:left="20" w:right="39"/>
        <w:spacing w:after="0"/>
        <w:rPr>
          <w:sz w:val="20"/>
          <w:szCs w:val="20"/>
          <w:color w:val="auto"/>
        </w:rPr>
      </w:pPr>
      <w:r>
        <w:rPr>
          <w:rFonts w:ascii="Arial" w:cs="Arial" w:eastAsia="Arial" w:hAnsi="Arial"/>
          <w:sz w:val="13"/>
          <w:szCs w:val="13"/>
          <w:color w:val="auto"/>
        </w:rPr>
        <w:t>Amortizing intangible assets primarily represent lease acquisition costs, which are amounts that are required to secure prime lease locations and other lease rights, primarily in Europe. Amortization expense recorded is as follows:</w:t>
      </w: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164"/>
        </w:trPr>
        <w:tc>
          <w:tcPr>
            <w:tcW w:w="2760" w:type="dxa"/>
            <w:vAlign w:val="bottom"/>
            <w:gridSpan w:val="2"/>
          </w:tcPr>
          <w:p>
            <w:pPr>
              <w:ind w:left="20"/>
              <w:spacing w:after="0"/>
              <w:rPr>
                <w:sz w:val="20"/>
                <w:szCs w:val="20"/>
                <w:color w:val="auto"/>
              </w:rPr>
            </w:pPr>
            <w:r>
              <w:rPr>
                <w:rFonts w:ascii="Arial" w:cs="Arial" w:eastAsia="Arial" w:hAnsi="Arial"/>
                <w:sz w:val="13"/>
                <w:szCs w:val="13"/>
                <w:color w:val="auto"/>
              </w:rPr>
              <w:t>($ in millions)</w:t>
            </w:r>
          </w:p>
        </w:tc>
        <w:tc>
          <w:tcPr>
            <w:tcW w:w="1800" w:type="dxa"/>
            <w:vAlign w:val="bottom"/>
          </w:tcPr>
          <w:p>
            <w:pPr>
              <w:spacing w:after="0"/>
              <w:rPr>
                <w:sz w:val="14"/>
                <w:szCs w:val="14"/>
                <w:color w:val="auto"/>
              </w:rPr>
            </w:pPr>
          </w:p>
        </w:tc>
        <w:tc>
          <w:tcPr>
            <w:tcW w:w="1260" w:type="dxa"/>
            <w:vAlign w:val="bottom"/>
          </w:tcPr>
          <w:p>
            <w:pPr>
              <w:jc w:val="right"/>
              <w:ind w:right="655"/>
              <w:spacing w:after="0"/>
              <w:rPr>
                <w:sz w:val="20"/>
                <w:szCs w:val="20"/>
                <w:color w:val="auto"/>
              </w:rPr>
            </w:pPr>
            <w:r>
              <w:rPr>
                <w:rFonts w:ascii="Arial" w:cs="Arial" w:eastAsia="Arial" w:hAnsi="Arial"/>
                <w:sz w:val="13"/>
                <w:szCs w:val="13"/>
                <w:b w:val="1"/>
                <w:bCs w:val="1"/>
                <w:color w:val="auto"/>
              </w:rPr>
              <w:t>2020</w:t>
            </w:r>
          </w:p>
        </w:tc>
        <w:tc>
          <w:tcPr>
            <w:tcW w:w="380" w:type="dxa"/>
            <w:vAlign w:val="bottom"/>
          </w:tcPr>
          <w:p>
            <w:pPr>
              <w:spacing w:after="0"/>
              <w:rPr>
                <w:sz w:val="14"/>
                <w:szCs w:val="14"/>
                <w:color w:val="auto"/>
              </w:rPr>
            </w:pPr>
          </w:p>
        </w:tc>
        <w:tc>
          <w:tcPr>
            <w:tcW w:w="1200" w:type="dxa"/>
            <w:vAlign w:val="bottom"/>
          </w:tcPr>
          <w:p>
            <w:pPr>
              <w:jc w:val="right"/>
              <w:ind w:right="595"/>
              <w:spacing w:after="0"/>
              <w:rPr>
                <w:sz w:val="20"/>
                <w:szCs w:val="20"/>
                <w:color w:val="auto"/>
              </w:rPr>
            </w:pPr>
            <w:r>
              <w:rPr>
                <w:rFonts w:ascii="Arial" w:cs="Arial" w:eastAsia="Arial" w:hAnsi="Arial"/>
                <w:sz w:val="13"/>
                <w:szCs w:val="13"/>
                <w:color w:val="auto"/>
              </w:rPr>
              <w:t>2019</w:t>
            </w:r>
          </w:p>
        </w:tc>
        <w:tc>
          <w:tcPr>
            <w:tcW w:w="480" w:type="dxa"/>
            <w:vAlign w:val="bottom"/>
          </w:tcPr>
          <w:p>
            <w:pPr>
              <w:spacing w:after="0"/>
              <w:rPr>
                <w:sz w:val="14"/>
                <w:szCs w:val="14"/>
                <w:color w:val="auto"/>
              </w:rPr>
            </w:pPr>
          </w:p>
        </w:tc>
        <w:tc>
          <w:tcPr>
            <w:tcW w:w="1080" w:type="dxa"/>
            <w:vAlign w:val="bottom"/>
          </w:tcPr>
          <w:p>
            <w:pPr>
              <w:jc w:val="right"/>
              <w:ind w:right="495"/>
              <w:spacing w:after="0"/>
              <w:rPr>
                <w:sz w:val="20"/>
                <w:szCs w:val="20"/>
                <w:color w:val="auto"/>
              </w:rPr>
            </w:pPr>
            <w:r>
              <w:rPr>
                <w:rFonts w:ascii="Arial" w:cs="Arial" w:eastAsia="Arial" w:hAnsi="Arial"/>
                <w:sz w:val="13"/>
                <w:szCs w:val="13"/>
                <w:color w:val="auto"/>
              </w:rPr>
              <w:t>2018</w:t>
            </w:r>
          </w:p>
        </w:tc>
      </w:tr>
      <w:tr>
        <w:trPr>
          <w:trHeight w:val="134"/>
        </w:trPr>
        <w:tc>
          <w:tcPr>
            <w:tcW w:w="20" w:type="dxa"/>
            <w:vAlign w:val="bottom"/>
          </w:tcPr>
          <w:p>
            <w:pPr>
              <w:spacing w:after="0"/>
              <w:rPr>
                <w:sz w:val="11"/>
                <w:szCs w:val="11"/>
                <w:color w:val="auto"/>
              </w:rPr>
            </w:pPr>
          </w:p>
        </w:tc>
        <w:tc>
          <w:tcPr>
            <w:tcW w:w="2740" w:type="dxa"/>
            <w:vAlign w:val="bottom"/>
            <w:tcBorders>
              <w:top w:val="single" w:sz="8" w:color="auto"/>
              <w:bottom w:val="single" w:sz="8" w:color="auto"/>
            </w:tcBorders>
            <w:shd w:val="clear" w:color="auto" w:fill="CCEEFF"/>
          </w:tcPr>
          <w:p>
            <w:pPr>
              <w:spacing w:after="0" w:line="134" w:lineRule="exact"/>
              <w:rPr>
                <w:sz w:val="20"/>
                <w:szCs w:val="20"/>
                <w:color w:val="auto"/>
              </w:rPr>
            </w:pPr>
            <w:r>
              <w:rPr>
                <w:rFonts w:ascii="Arial" w:cs="Arial" w:eastAsia="Arial" w:hAnsi="Arial"/>
                <w:sz w:val="13"/>
                <w:szCs w:val="13"/>
                <w:color w:val="auto"/>
              </w:rPr>
              <w:t>Amortization expense</w:t>
            </w:r>
          </w:p>
        </w:tc>
        <w:tc>
          <w:tcPr>
            <w:tcW w:w="1800" w:type="dxa"/>
            <w:vAlign w:val="bottom"/>
            <w:tcBorders>
              <w:top w:val="single" w:sz="8" w:color="auto"/>
              <w:bottom w:val="single" w:sz="8" w:color="auto"/>
            </w:tcBorders>
            <w:shd w:val="clear" w:color="auto" w:fill="CCEEFF"/>
          </w:tcPr>
          <w:p>
            <w:pPr>
              <w:jc w:val="right"/>
              <w:ind w:right="175"/>
              <w:spacing w:after="0" w:line="134" w:lineRule="exact"/>
              <w:rPr>
                <w:sz w:val="20"/>
                <w:szCs w:val="20"/>
                <w:color w:val="auto"/>
              </w:rPr>
            </w:pPr>
            <w:r>
              <w:rPr>
                <w:rFonts w:ascii="Arial" w:cs="Arial" w:eastAsia="Arial" w:hAnsi="Arial"/>
                <w:sz w:val="13"/>
                <w:szCs w:val="13"/>
                <w:b w:val="1"/>
                <w:bCs w:val="1"/>
                <w:color w:val="auto"/>
              </w:rPr>
              <w:t>$</w:t>
            </w:r>
          </w:p>
        </w:tc>
        <w:tc>
          <w:tcPr>
            <w:tcW w:w="1260" w:type="dxa"/>
            <w:vAlign w:val="bottom"/>
            <w:tcBorders>
              <w:top w:val="single" w:sz="8" w:color="auto"/>
              <w:bottom w:val="single" w:sz="8" w:color="auto"/>
            </w:tcBorders>
            <w:shd w:val="clear" w:color="auto" w:fill="CCEEFF"/>
          </w:tcPr>
          <w:p>
            <w:pPr>
              <w:jc w:val="right"/>
              <w:ind w:right="155"/>
              <w:spacing w:after="0" w:line="134" w:lineRule="exact"/>
              <w:rPr>
                <w:sz w:val="20"/>
                <w:szCs w:val="20"/>
                <w:color w:val="auto"/>
              </w:rPr>
            </w:pPr>
            <w:r>
              <w:rPr>
                <w:rFonts w:ascii="Arial" w:cs="Arial" w:eastAsia="Arial" w:hAnsi="Arial"/>
                <w:sz w:val="13"/>
                <w:szCs w:val="13"/>
                <w:b w:val="1"/>
                <w:bCs w:val="1"/>
                <w:color w:val="auto"/>
              </w:rPr>
              <w:t>3</w:t>
            </w:r>
          </w:p>
        </w:tc>
        <w:tc>
          <w:tcPr>
            <w:tcW w:w="380" w:type="dxa"/>
            <w:vAlign w:val="bottom"/>
            <w:tcBorders>
              <w:top w:val="single" w:sz="8" w:color="auto"/>
              <w:bottom w:val="single" w:sz="8" w:color="auto"/>
            </w:tcBorders>
            <w:shd w:val="clear" w:color="auto" w:fill="CCEEFF"/>
          </w:tcPr>
          <w:p>
            <w:pPr>
              <w:jc w:val="right"/>
              <w:ind w:right="175"/>
              <w:spacing w:after="0" w:line="134" w:lineRule="exact"/>
              <w:rPr>
                <w:sz w:val="20"/>
                <w:szCs w:val="20"/>
                <w:color w:val="auto"/>
              </w:rPr>
            </w:pPr>
            <w:r>
              <w:rPr>
                <w:rFonts w:ascii="Arial" w:cs="Arial" w:eastAsia="Arial" w:hAnsi="Arial"/>
                <w:sz w:val="13"/>
                <w:szCs w:val="13"/>
                <w:color w:val="auto"/>
              </w:rPr>
              <w:t>$</w:t>
            </w:r>
          </w:p>
        </w:tc>
        <w:tc>
          <w:tcPr>
            <w:tcW w:w="1200" w:type="dxa"/>
            <w:vAlign w:val="bottom"/>
            <w:tcBorders>
              <w:top w:val="single" w:sz="8" w:color="auto"/>
              <w:bottom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color w:val="auto"/>
              </w:rPr>
              <w:t>3</w:t>
            </w:r>
          </w:p>
        </w:tc>
        <w:tc>
          <w:tcPr>
            <w:tcW w:w="480" w:type="dxa"/>
            <w:vAlign w:val="bottom"/>
            <w:tcBorders>
              <w:top w:val="single" w:sz="8" w:color="auto"/>
              <w:bottom w:val="single" w:sz="8" w:color="auto"/>
            </w:tcBorders>
            <w:shd w:val="clear" w:color="auto" w:fill="CCEEFF"/>
          </w:tcPr>
          <w:p>
            <w:pPr>
              <w:jc w:val="right"/>
              <w:ind w:right="195"/>
              <w:spacing w:after="0" w:line="134" w:lineRule="exact"/>
              <w:rPr>
                <w:sz w:val="20"/>
                <w:szCs w:val="20"/>
                <w:color w:val="auto"/>
              </w:rPr>
            </w:pPr>
            <w:r>
              <w:rPr>
                <w:rFonts w:ascii="Arial" w:cs="Arial" w:eastAsia="Arial" w:hAnsi="Arial"/>
                <w:sz w:val="13"/>
                <w:szCs w:val="13"/>
                <w:color w:val="auto"/>
              </w:rPr>
              <w:t>$</w:t>
            </w:r>
          </w:p>
        </w:tc>
        <w:tc>
          <w:tcPr>
            <w:tcW w:w="108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4</w:t>
            </w:r>
          </w:p>
        </w:tc>
      </w:tr>
      <w:tr>
        <w:trPr>
          <w:trHeight w:val="285"/>
        </w:trPr>
        <w:tc>
          <w:tcPr>
            <w:tcW w:w="5820" w:type="dxa"/>
            <w:vAlign w:val="bottom"/>
            <w:gridSpan w:val="4"/>
          </w:tcPr>
          <w:p>
            <w:pPr>
              <w:spacing w:after="0"/>
              <w:rPr>
                <w:sz w:val="20"/>
                <w:szCs w:val="20"/>
                <w:color w:val="auto"/>
              </w:rPr>
            </w:pPr>
            <w:r>
              <w:rPr>
                <w:rFonts w:ascii="Arial" w:cs="Arial" w:eastAsia="Arial" w:hAnsi="Arial"/>
                <w:sz w:val="13"/>
                <w:szCs w:val="13"/>
                <w:color w:val="auto"/>
              </w:rPr>
              <w:t>Estimated future amortization expense for finite lived intangibles for the next five years is as follows:</w:t>
            </w: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80"/>
        </w:trPr>
        <w:tc>
          <w:tcPr>
            <w:tcW w:w="2760" w:type="dxa"/>
            <w:vAlign w:val="bottom"/>
            <w:gridSpan w:val="2"/>
          </w:tcPr>
          <w:p>
            <w:pPr>
              <w:ind w:left="20"/>
              <w:spacing w:after="0"/>
              <w:rPr>
                <w:sz w:val="20"/>
                <w:szCs w:val="20"/>
                <w:color w:val="auto"/>
              </w:rPr>
            </w:pPr>
            <w:r>
              <w:rPr>
                <w:rFonts w:ascii="Arial" w:cs="Arial" w:eastAsia="Arial" w:hAnsi="Arial"/>
                <w:sz w:val="13"/>
                <w:szCs w:val="13"/>
                <w:color w:val="auto"/>
              </w:rPr>
              <w:t>($ in millions)</w:t>
            </w:r>
          </w:p>
        </w:tc>
        <w:tc>
          <w:tcPr>
            <w:tcW w:w="1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34"/>
        </w:trPr>
        <w:tc>
          <w:tcPr>
            <w:tcW w:w="20" w:type="dxa"/>
            <w:vAlign w:val="bottom"/>
          </w:tcPr>
          <w:p>
            <w:pPr>
              <w:spacing w:after="0"/>
              <w:rPr>
                <w:sz w:val="11"/>
                <w:szCs w:val="11"/>
                <w:color w:val="auto"/>
              </w:rPr>
            </w:pPr>
          </w:p>
        </w:tc>
        <w:tc>
          <w:tcPr>
            <w:tcW w:w="2740" w:type="dxa"/>
            <w:vAlign w:val="bottom"/>
            <w:tcBorders>
              <w:top w:val="single" w:sz="8" w:color="auto"/>
            </w:tcBorders>
            <w:shd w:val="clear" w:color="auto" w:fill="CCEEFF"/>
          </w:tcPr>
          <w:p>
            <w:pPr>
              <w:spacing w:after="0" w:line="134" w:lineRule="exact"/>
              <w:rPr>
                <w:sz w:val="20"/>
                <w:szCs w:val="20"/>
                <w:color w:val="auto"/>
              </w:rPr>
            </w:pPr>
            <w:r>
              <w:rPr>
                <w:rFonts w:ascii="Arial" w:cs="Arial" w:eastAsia="Arial" w:hAnsi="Arial"/>
                <w:sz w:val="13"/>
                <w:szCs w:val="13"/>
                <w:color w:val="auto"/>
              </w:rPr>
              <w:t>2021</w:t>
            </w:r>
          </w:p>
        </w:tc>
        <w:tc>
          <w:tcPr>
            <w:tcW w:w="1800" w:type="dxa"/>
            <w:vAlign w:val="bottom"/>
            <w:tcBorders>
              <w:top w:val="single" w:sz="8" w:color="auto"/>
            </w:tcBorders>
            <w:shd w:val="clear" w:color="auto" w:fill="CCEEFF"/>
          </w:tcPr>
          <w:p>
            <w:pPr>
              <w:spacing w:after="0"/>
              <w:rPr>
                <w:sz w:val="11"/>
                <w:szCs w:val="11"/>
                <w:color w:val="auto"/>
              </w:rPr>
            </w:pPr>
          </w:p>
        </w:tc>
        <w:tc>
          <w:tcPr>
            <w:tcW w:w="126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ind w:right="155"/>
              <w:spacing w:after="0" w:line="134" w:lineRule="exact"/>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2</w:t>
            </w:r>
          </w:p>
        </w:tc>
      </w:tr>
      <w:tr>
        <w:trPr>
          <w:trHeight w:val="144"/>
        </w:trPr>
        <w:tc>
          <w:tcPr>
            <w:tcW w:w="20" w:type="dxa"/>
            <w:vAlign w:val="bottom"/>
          </w:tcPr>
          <w:p>
            <w:pPr>
              <w:spacing w:after="0"/>
              <w:rPr>
                <w:sz w:val="12"/>
                <w:szCs w:val="12"/>
                <w:color w:val="auto"/>
              </w:rPr>
            </w:pPr>
          </w:p>
        </w:tc>
        <w:tc>
          <w:tcPr>
            <w:tcW w:w="2740" w:type="dxa"/>
            <w:vAlign w:val="bottom"/>
          </w:tcPr>
          <w:p>
            <w:pPr>
              <w:spacing w:after="0" w:line="144" w:lineRule="exact"/>
              <w:rPr>
                <w:sz w:val="20"/>
                <w:szCs w:val="20"/>
                <w:color w:val="auto"/>
              </w:rPr>
            </w:pPr>
            <w:r>
              <w:rPr>
                <w:rFonts w:ascii="Arial" w:cs="Arial" w:eastAsia="Arial" w:hAnsi="Arial"/>
                <w:sz w:val="13"/>
                <w:szCs w:val="13"/>
                <w:color w:val="auto"/>
              </w:rPr>
              <w:t>2022</w:t>
            </w:r>
          </w:p>
        </w:tc>
        <w:tc>
          <w:tcPr>
            <w:tcW w:w="18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jc w:val="right"/>
              <w:spacing w:after="0" w:line="144" w:lineRule="exact"/>
              <w:rPr>
                <w:sz w:val="20"/>
                <w:szCs w:val="20"/>
                <w:color w:val="auto"/>
              </w:rPr>
            </w:pPr>
            <w:r>
              <w:rPr>
                <w:rFonts w:ascii="Arial" w:cs="Arial" w:eastAsia="Arial" w:hAnsi="Arial"/>
                <w:sz w:val="13"/>
                <w:szCs w:val="13"/>
                <w:color w:val="auto"/>
              </w:rPr>
              <w:t>2</w:t>
            </w:r>
          </w:p>
        </w:tc>
      </w:tr>
      <w:tr>
        <w:trPr>
          <w:trHeight w:val="144"/>
        </w:trPr>
        <w:tc>
          <w:tcPr>
            <w:tcW w:w="20" w:type="dxa"/>
            <w:vAlign w:val="bottom"/>
          </w:tcPr>
          <w:p>
            <w:pPr>
              <w:spacing w:after="0"/>
              <w:rPr>
                <w:sz w:val="12"/>
                <w:szCs w:val="12"/>
                <w:color w:val="auto"/>
              </w:rPr>
            </w:pPr>
          </w:p>
        </w:tc>
        <w:tc>
          <w:tcPr>
            <w:tcW w:w="27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2023</w:t>
            </w:r>
          </w:p>
        </w:tc>
        <w:tc>
          <w:tcPr>
            <w:tcW w:w="18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w:t>
            </w:r>
          </w:p>
        </w:tc>
      </w:tr>
      <w:tr>
        <w:trPr>
          <w:trHeight w:val="144"/>
        </w:trPr>
        <w:tc>
          <w:tcPr>
            <w:tcW w:w="20" w:type="dxa"/>
            <w:vAlign w:val="bottom"/>
          </w:tcPr>
          <w:p>
            <w:pPr>
              <w:spacing w:after="0"/>
              <w:rPr>
                <w:sz w:val="12"/>
                <w:szCs w:val="12"/>
                <w:color w:val="auto"/>
              </w:rPr>
            </w:pPr>
          </w:p>
        </w:tc>
        <w:tc>
          <w:tcPr>
            <w:tcW w:w="2740" w:type="dxa"/>
            <w:vAlign w:val="bottom"/>
          </w:tcPr>
          <w:p>
            <w:pPr>
              <w:spacing w:after="0" w:line="144" w:lineRule="exact"/>
              <w:rPr>
                <w:sz w:val="20"/>
                <w:szCs w:val="20"/>
                <w:color w:val="auto"/>
              </w:rPr>
            </w:pPr>
            <w:r>
              <w:rPr>
                <w:rFonts w:ascii="Arial" w:cs="Arial" w:eastAsia="Arial" w:hAnsi="Arial"/>
                <w:sz w:val="13"/>
                <w:szCs w:val="13"/>
                <w:color w:val="auto"/>
              </w:rPr>
              <w:t>2024</w:t>
            </w:r>
          </w:p>
        </w:tc>
        <w:tc>
          <w:tcPr>
            <w:tcW w:w="18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80" w:type="dxa"/>
            <w:vAlign w:val="bottom"/>
          </w:tcPr>
          <w:p>
            <w:pPr>
              <w:jc w:val="right"/>
              <w:spacing w:after="0" w:line="144" w:lineRule="exact"/>
              <w:rPr>
                <w:sz w:val="20"/>
                <w:szCs w:val="20"/>
                <w:color w:val="auto"/>
              </w:rPr>
            </w:pPr>
            <w:r>
              <w:rPr>
                <w:rFonts w:ascii="Arial" w:cs="Arial" w:eastAsia="Arial" w:hAnsi="Arial"/>
                <w:sz w:val="13"/>
                <w:szCs w:val="13"/>
                <w:color w:val="auto"/>
              </w:rPr>
              <w:t>1</w:t>
            </w:r>
          </w:p>
        </w:tc>
      </w:tr>
      <w:tr>
        <w:trPr>
          <w:trHeight w:val="144"/>
        </w:trPr>
        <w:tc>
          <w:tcPr>
            <w:tcW w:w="20" w:type="dxa"/>
            <w:vAlign w:val="bottom"/>
          </w:tcPr>
          <w:p>
            <w:pPr>
              <w:spacing w:after="0"/>
              <w:rPr>
                <w:sz w:val="12"/>
                <w:szCs w:val="12"/>
                <w:color w:val="auto"/>
              </w:rPr>
            </w:pPr>
          </w:p>
        </w:tc>
        <w:tc>
          <w:tcPr>
            <w:tcW w:w="2740" w:type="dxa"/>
            <w:vAlign w:val="bottom"/>
            <w:tcBorders>
              <w:bottom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rPr>
              <w:t>2025</w:t>
            </w:r>
          </w:p>
        </w:tc>
        <w:tc>
          <w:tcPr>
            <w:tcW w:w="1800" w:type="dxa"/>
            <w:vAlign w:val="bottom"/>
            <w:tcBorders>
              <w:bottom w:val="single" w:sz="8" w:color="auto"/>
            </w:tcBorders>
            <w:shd w:val="clear" w:color="auto" w:fill="CCEEFF"/>
          </w:tcPr>
          <w:p>
            <w:pPr>
              <w:spacing w:after="0"/>
              <w:rPr>
                <w:sz w:val="12"/>
                <w:szCs w:val="12"/>
                <w:color w:val="auto"/>
              </w:rPr>
            </w:pPr>
          </w:p>
        </w:tc>
        <w:tc>
          <w:tcPr>
            <w:tcW w:w="126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w:t>
            </w:r>
          </w:p>
        </w:tc>
      </w:tr>
    </w:tbl>
    <w:p>
      <w:pPr>
        <w:spacing w:after="0" w:line="149" w:lineRule="exact"/>
        <w:rPr>
          <w:sz w:val="20"/>
          <w:szCs w:val="20"/>
          <w:color w:val="auto"/>
        </w:rPr>
      </w:pPr>
    </w:p>
    <w:p>
      <w:pPr>
        <w:ind w:left="7520"/>
        <w:spacing w:after="0"/>
        <w:rPr>
          <w:sz w:val="20"/>
          <w:szCs w:val="20"/>
          <w:color w:val="auto"/>
        </w:rPr>
      </w:pPr>
      <w:r>
        <w:rPr>
          <w:rFonts w:ascii="Arial" w:cs="Arial" w:eastAsia="Arial" w:hAnsi="Arial"/>
          <w:sz w:val="12"/>
          <w:szCs w:val="12"/>
          <w:color w:val="auto"/>
        </w:rPr>
        <w:t>2020 Form 10-K Page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365125</wp:posOffset>
            </wp:positionV>
            <wp:extent cx="5680075" cy="196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80075" cy="19685"/>
                    </a:xfrm>
                    <a:prstGeom prst="rect">
                      <a:avLst/>
                    </a:prstGeom>
                    <a:noFill/>
                  </pic:spPr>
                </pic:pic>
              </a:graphicData>
            </a:graphic>
          </wp:anchor>
        </w:drawing>
      </w:r>
    </w:p>
    <w:p>
      <w:pPr>
        <w:sectPr>
          <w:pgSz w:w="11900" w:h="16838" w:orient="portrait"/>
          <w:cols w:equalWidth="0" w:num="1">
            <w:col w:w="9019"/>
          </w:cols>
          <w:pgMar w:left="1440" w:top="995" w:right="1440"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2992755</wp:posOffset>
            </wp:positionH>
            <wp:positionV relativeFrom="page">
              <wp:posOffset>375285</wp:posOffset>
            </wp:positionV>
            <wp:extent cx="1563370" cy="169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1563370" cy="169545"/>
                    </a:xfrm>
                    <a:prstGeom prst="rect">
                      <a:avLst/>
                    </a:prstGeom>
                    <a:noFill/>
                  </pic:spPr>
                </pic:pic>
              </a:graphicData>
            </a:graphic>
          </wp:anchor>
        </w:drawing>
        <w:t>NOTES TO CONSOLIDATED FINANCIAL STATEMENTS</w:t>
      </w:r>
    </w:p>
    <w:p>
      <w:pPr>
        <w:spacing w:after="0" w:line="143"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4540" w:type="dxa"/>
            <w:vAlign w:val="bottom"/>
            <w:gridSpan w:val="2"/>
          </w:tcPr>
          <w:p>
            <w:pPr>
              <w:spacing w:after="0"/>
              <w:rPr>
                <w:sz w:val="20"/>
                <w:szCs w:val="20"/>
                <w:color w:val="auto"/>
              </w:rPr>
            </w:pPr>
            <w:r>
              <w:rPr>
                <w:rFonts w:ascii="Arial" w:cs="Arial" w:eastAsia="Arial" w:hAnsi="Arial"/>
                <w:sz w:val="13"/>
                <w:szCs w:val="13"/>
                <w:b w:val="1"/>
                <w:bCs w:val="1"/>
                <w:color w:val="auto"/>
              </w:rPr>
              <w:t>9. Other Assets</w:t>
            </w:r>
          </w:p>
        </w:tc>
        <w:tc>
          <w:tcPr>
            <w:tcW w:w="2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49"/>
        </w:trPr>
        <w:tc>
          <w:tcPr>
            <w:tcW w:w="20" w:type="dxa"/>
            <w:vAlign w:val="bottom"/>
          </w:tcPr>
          <w:p>
            <w:pPr>
              <w:spacing w:after="0"/>
              <w:rPr>
                <w:sz w:val="21"/>
                <w:szCs w:val="21"/>
                <w:color w:val="auto"/>
              </w:rPr>
            </w:pPr>
          </w:p>
        </w:tc>
        <w:tc>
          <w:tcPr>
            <w:tcW w:w="4520" w:type="dxa"/>
            <w:vAlign w:val="bottom"/>
          </w:tcPr>
          <w:p>
            <w:pPr>
              <w:spacing w:after="0"/>
              <w:rPr>
                <w:sz w:val="21"/>
                <w:szCs w:val="21"/>
                <w:color w:val="auto"/>
              </w:rPr>
            </w:pPr>
          </w:p>
        </w:tc>
        <w:tc>
          <w:tcPr>
            <w:tcW w:w="2480" w:type="dxa"/>
            <w:vAlign w:val="bottom"/>
          </w:tcPr>
          <w:p>
            <w:pPr>
              <w:jc w:val="center"/>
              <w:ind w:left="1595"/>
              <w:spacing w:after="0"/>
              <w:rPr>
                <w:sz w:val="20"/>
                <w:szCs w:val="20"/>
                <w:color w:val="auto"/>
              </w:rPr>
            </w:pPr>
            <w:r>
              <w:rPr>
                <w:rFonts w:ascii="Arial" w:cs="Arial" w:eastAsia="Arial" w:hAnsi="Arial"/>
                <w:sz w:val="13"/>
                <w:szCs w:val="13"/>
                <w:b w:val="1"/>
                <w:bCs w:val="1"/>
                <w:color w:val="auto"/>
                <w:w w:val="97"/>
              </w:rPr>
              <w:t>January 30,</w:t>
            </w: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center"/>
              <w:ind w:right="195"/>
              <w:spacing w:after="0"/>
              <w:rPr>
                <w:sz w:val="20"/>
                <w:szCs w:val="20"/>
                <w:color w:val="auto"/>
              </w:rPr>
            </w:pPr>
            <w:r>
              <w:rPr>
                <w:rFonts w:ascii="Arial" w:cs="Arial" w:eastAsia="Arial" w:hAnsi="Arial"/>
                <w:sz w:val="13"/>
                <w:szCs w:val="13"/>
                <w:color w:val="auto"/>
                <w:w w:val="99"/>
              </w:rPr>
              <w:t>February 1,</w:t>
            </w:r>
          </w:p>
        </w:tc>
      </w:tr>
      <w:tr>
        <w:trPr>
          <w:trHeight w:val="164"/>
        </w:trPr>
        <w:tc>
          <w:tcPr>
            <w:tcW w:w="4540" w:type="dxa"/>
            <w:vAlign w:val="bottom"/>
            <w:gridSpan w:val="2"/>
          </w:tcPr>
          <w:p>
            <w:pPr>
              <w:ind w:left="20"/>
              <w:spacing w:after="0"/>
              <w:rPr>
                <w:sz w:val="20"/>
                <w:szCs w:val="20"/>
                <w:color w:val="auto"/>
              </w:rPr>
            </w:pPr>
            <w:r>
              <w:rPr>
                <w:rFonts w:ascii="Arial" w:cs="Arial" w:eastAsia="Arial" w:hAnsi="Arial"/>
                <w:sz w:val="13"/>
                <w:szCs w:val="13"/>
                <w:color w:val="auto"/>
              </w:rPr>
              <w:t>($ in millions)</w:t>
            </w:r>
          </w:p>
        </w:tc>
        <w:tc>
          <w:tcPr>
            <w:tcW w:w="2480" w:type="dxa"/>
            <w:vAlign w:val="bottom"/>
          </w:tcPr>
          <w:p>
            <w:pPr>
              <w:jc w:val="center"/>
              <w:ind w:left="1595"/>
              <w:spacing w:after="0"/>
              <w:rPr>
                <w:sz w:val="20"/>
                <w:szCs w:val="20"/>
                <w:color w:val="auto"/>
              </w:rPr>
            </w:pPr>
            <w:r>
              <w:rPr>
                <w:rFonts w:ascii="Arial" w:cs="Arial" w:eastAsia="Arial" w:hAnsi="Arial"/>
                <w:sz w:val="13"/>
                <w:szCs w:val="13"/>
                <w:b w:val="1"/>
                <w:bCs w:val="1"/>
                <w:color w:val="auto"/>
              </w:rPr>
              <w:t>2021</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center"/>
              <w:ind w:right="155"/>
              <w:spacing w:after="0"/>
              <w:rPr>
                <w:sz w:val="20"/>
                <w:szCs w:val="20"/>
                <w:color w:val="auto"/>
              </w:rPr>
            </w:pPr>
            <w:r>
              <w:rPr>
                <w:rFonts w:ascii="Arial" w:cs="Arial" w:eastAsia="Arial" w:hAnsi="Arial"/>
                <w:sz w:val="13"/>
                <w:szCs w:val="13"/>
                <w:color w:val="auto"/>
              </w:rPr>
              <w:t>2020</w:t>
            </w:r>
          </w:p>
        </w:tc>
      </w:tr>
      <w:tr>
        <w:trPr>
          <w:trHeight w:val="134"/>
        </w:trPr>
        <w:tc>
          <w:tcPr>
            <w:tcW w:w="20" w:type="dxa"/>
            <w:vAlign w:val="bottom"/>
          </w:tcPr>
          <w:p>
            <w:pPr>
              <w:spacing w:after="0"/>
              <w:rPr>
                <w:sz w:val="11"/>
                <w:szCs w:val="11"/>
                <w:color w:val="auto"/>
              </w:rPr>
            </w:pPr>
          </w:p>
        </w:tc>
        <w:tc>
          <w:tcPr>
            <w:tcW w:w="4520" w:type="dxa"/>
            <w:vAlign w:val="bottom"/>
            <w:tcBorders>
              <w:top w:val="single" w:sz="8" w:color="auto"/>
            </w:tcBorders>
            <w:shd w:val="clear" w:color="auto" w:fill="CCEEFF"/>
          </w:tcPr>
          <w:p>
            <w:pPr>
              <w:spacing w:after="0" w:line="134" w:lineRule="exact"/>
              <w:rPr>
                <w:sz w:val="20"/>
                <w:szCs w:val="20"/>
                <w:color w:val="auto"/>
              </w:rPr>
            </w:pPr>
            <w:r>
              <w:rPr>
                <w:rFonts w:ascii="Arial" w:cs="Arial" w:eastAsia="Arial" w:hAnsi="Arial"/>
                <w:sz w:val="13"/>
                <w:szCs w:val="13"/>
                <w:color w:val="auto"/>
              </w:rPr>
              <w:t>Restricted cash</w:t>
            </w:r>
          </w:p>
        </w:tc>
        <w:tc>
          <w:tcPr>
            <w:tcW w:w="2480" w:type="dxa"/>
            <w:vAlign w:val="bottom"/>
            <w:tcBorders>
              <w:top w:val="single" w:sz="8" w:color="auto"/>
            </w:tcBorders>
            <w:shd w:val="clear" w:color="auto" w:fill="CCEEFF"/>
          </w:tcPr>
          <w:p>
            <w:pPr>
              <w:jc w:val="right"/>
              <w:ind w:right="975"/>
              <w:spacing w:after="0" w:line="134" w:lineRule="exact"/>
              <w:rPr>
                <w:sz w:val="20"/>
                <w:szCs w:val="20"/>
                <w:color w:val="auto"/>
              </w:rPr>
            </w:pPr>
            <w:r>
              <w:rPr>
                <w:rFonts w:ascii="Arial" w:cs="Arial" w:eastAsia="Arial" w:hAnsi="Arial"/>
                <w:sz w:val="13"/>
                <w:szCs w:val="13"/>
                <w:b w:val="1"/>
                <w:bCs w:val="1"/>
                <w:color w:val="auto"/>
              </w:rPr>
              <w:t>$</w:t>
            </w:r>
          </w:p>
        </w:tc>
        <w:tc>
          <w:tcPr>
            <w:tcW w:w="400" w:type="dxa"/>
            <w:vAlign w:val="bottom"/>
            <w:tcBorders>
              <w:top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b w:val="1"/>
                <w:bCs w:val="1"/>
                <w:color w:val="auto"/>
              </w:rPr>
              <w:t>30</w:t>
            </w:r>
          </w:p>
        </w:tc>
        <w:tc>
          <w:tcPr>
            <w:tcW w:w="340" w:type="dxa"/>
            <w:vAlign w:val="bottom"/>
            <w:tcBorders>
              <w:top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color w:val="auto"/>
              </w:rPr>
              <w:t>$</w:t>
            </w:r>
          </w:p>
        </w:tc>
        <w:tc>
          <w:tcPr>
            <w:tcW w:w="120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29</w:t>
            </w:r>
          </w:p>
        </w:tc>
      </w:tr>
      <w:tr>
        <w:trPr>
          <w:trHeight w:val="144"/>
        </w:trPr>
        <w:tc>
          <w:tcPr>
            <w:tcW w:w="20" w:type="dxa"/>
            <w:vAlign w:val="bottom"/>
          </w:tcPr>
          <w:p>
            <w:pPr>
              <w:spacing w:after="0"/>
              <w:rPr>
                <w:sz w:val="12"/>
                <w:szCs w:val="12"/>
                <w:color w:val="auto"/>
              </w:rPr>
            </w:pPr>
          </w:p>
        </w:tc>
        <w:tc>
          <w:tcPr>
            <w:tcW w:w="4520" w:type="dxa"/>
            <w:vAlign w:val="bottom"/>
          </w:tcPr>
          <w:p>
            <w:pPr>
              <w:spacing w:after="0" w:line="144" w:lineRule="exact"/>
              <w:rPr>
                <w:sz w:val="20"/>
                <w:szCs w:val="20"/>
                <w:color w:val="auto"/>
              </w:rPr>
            </w:pPr>
            <w:r>
              <w:rPr>
                <w:rFonts w:ascii="Arial" w:cs="Arial" w:eastAsia="Arial" w:hAnsi="Arial"/>
                <w:sz w:val="13"/>
                <w:szCs w:val="13"/>
                <w:color w:val="auto"/>
              </w:rPr>
              <w:t>Pension asset</w:t>
            </w:r>
          </w:p>
        </w:tc>
        <w:tc>
          <w:tcPr>
            <w:tcW w:w="2480" w:type="dxa"/>
            <w:vAlign w:val="bottom"/>
          </w:tcPr>
          <w:p>
            <w:pPr>
              <w:spacing w:after="0"/>
              <w:rPr>
                <w:sz w:val="12"/>
                <w:szCs w:val="12"/>
                <w:color w:val="auto"/>
              </w:rPr>
            </w:pPr>
          </w:p>
        </w:tc>
        <w:tc>
          <w:tcPr>
            <w:tcW w:w="400" w:type="dxa"/>
            <w:vAlign w:val="bottom"/>
          </w:tcPr>
          <w:p>
            <w:pPr>
              <w:jc w:val="right"/>
              <w:ind w:right="75"/>
              <w:spacing w:after="0" w:line="144" w:lineRule="exact"/>
              <w:rPr>
                <w:sz w:val="20"/>
                <w:szCs w:val="20"/>
                <w:color w:val="auto"/>
              </w:rPr>
            </w:pPr>
            <w:r>
              <w:rPr>
                <w:rFonts w:ascii="Arial" w:cs="Arial" w:eastAsia="Arial" w:hAnsi="Arial"/>
                <w:sz w:val="13"/>
                <w:szCs w:val="13"/>
                <w:b w:val="1"/>
                <w:bCs w:val="1"/>
                <w:color w:val="auto"/>
              </w:rPr>
              <w:t>3</w:t>
            </w:r>
          </w:p>
        </w:tc>
        <w:tc>
          <w:tcPr>
            <w:tcW w:w="340" w:type="dxa"/>
            <w:vAlign w:val="bottom"/>
          </w:tcPr>
          <w:p>
            <w:pPr>
              <w:spacing w:after="0"/>
              <w:rPr>
                <w:sz w:val="12"/>
                <w:szCs w:val="12"/>
                <w:color w:val="auto"/>
              </w:rPr>
            </w:pPr>
          </w:p>
        </w:tc>
        <w:tc>
          <w:tcPr>
            <w:tcW w:w="1200" w:type="dxa"/>
            <w:vAlign w:val="bottom"/>
          </w:tcPr>
          <w:p>
            <w:pPr>
              <w:jc w:val="right"/>
              <w:spacing w:after="0" w:line="144" w:lineRule="exact"/>
              <w:rPr>
                <w:sz w:val="20"/>
                <w:szCs w:val="20"/>
                <w:color w:val="auto"/>
              </w:rPr>
            </w:pPr>
            <w:r>
              <w:rPr>
                <w:rFonts w:ascii="Arial" w:cs="Arial" w:eastAsia="Arial" w:hAnsi="Arial"/>
                <w:sz w:val="13"/>
                <w:szCs w:val="13"/>
                <w:color w:val="auto"/>
              </w:rPr>
              <w:t>3</w:t>
            </w:r>
          </w:p>
        </w:tc>
      </w:tr>
      <w:tr>
        <w:trPr>
          <w:trHeight w:val="144"/>
        </w:trPr>
        <w:tc>
          <w:tcPr>
            <w:tcW w:w="20" w:type="dxa"/>
            <w:vAlign w:val="bottom"/>
          </w:tcPr>
          <w:p>
            <w:pPr>
              <w:spacing w:after="0"/>
              <w:rPr>
                <w:sz w:val="12"/>
                <w:szCs w:val="12"/>
                <w:color w:val="auto"/>
              </w:rPr>
            </w:pPr>
          </w:p>
        </w:tc>
        <w:tc>
          <w:tcPr>
            <w:tcW w:w="45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Auction rate security</w:t>
            </w:r>
          </w:p>
        </w:tc>
        <w:tc>
          <w:tcPr>
            <w:tcW w:w="248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b w:val="1"/>
                <w:bCs w:val="1"/>
                <w:color w:val="auto"/>
              </w:rPr>
              <w:t>7</w:t>
            </w: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w:t>
            </w:r>
          </w:p>
        </w:tc>
      </w:tr>
      <w:tr>
        <w:trPr>
          <w:trHeight w:val="144"/>
        </w:trPr>
        <w:tc>
          <w:tcPr>
            <w:tcW w:w="20" w:type="dxa"/>
            <w:vAlign w:val="bottom"/>
          </w:tcPr>
          <w:p>
            <w:pPr>
              <w:spacing w:after="0"/>
              <w:rPr>
                <w:sz w:val="12"/>
                <w:szCs w:val="12"/>
                <w:color w:val="auto"/>
              </w:rPr>
            </w:pPr>
          </w:p>
        </w:tc>
        <w:tc>
          <w:tcPr>
            <w:tcW w:w="452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color w:val="auto"/>
              </w:rPr>
              <w:t>Other</w:t>
            </w:r>
          </w:p>
        </w:tc>
        <w:tc>
          <w:tcPr>
            <w:tcW w:w="24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75"/>
              <w:spacing w:after="0" w:line="144" w:lineRule="exact"/>
              <w:rPr>
                <w:sz w:val="20"/>
                <w:szCs w:val="20"/>
                <w:color w:val="auto"/>
              </w:rPr>
            </w:pPr>
            <w:r>
              <w:rPr>
                <w:rFonts w:ascii="Arial" w:cs="Arial" w:eastAsia="Arial" w:hAnsi="Arial"/>
                <w:sz w:val="13"/>
                <w:szCs w:val="13"/>
                <w:b w:val="1"/>
                <w:bCs w:val="1"/>
                <w:color w:val="auto"/>
              </w:rPr>
              <w:t>50</w:t>
            </w:r>
          </w:p>
        </w:tc>
        <w:tc>
          <w:tcPr>
            <w:tcW w:w="3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42</w:t>
            </w:r>
          </w:p>
        </w:tc>
      </w:tr>
      <w:tr>
        <w:trPr>
          <w:trHeight w:val="134"/>
        </w:trPr>
        <w:tc>
          <w:tcPr>
            <w:tcW w:w="20" w:type="dxa"/>
            <w:vAlign w:val="bottom"/>
          </w:tcPr>
          <w:p>
            <w:pPr>
              <w:spacing w:after="0"/>
              <w:rPr>
                <w:sz w:val="11"/>
                <w:szCs w:val="11"/>
                <w:color w:val="auto"/>
              </w:rPr>
            </w:pPr>
          </w:p>
        </w:tc>
        <w:tc>
          <w:tcPr>
            <w:tcW w:w="4520" w:type="dxa"/>
            <w:vAlign w:val="bottom"/>
            <w:tcBorders>
              <w:bottom w:val="single" w:sz="8" w:color="auto"/>
            </w:tcBorders>
            <w:shd w:val="clear" w:color="auto" w:fill="CCEEFF"/>
          </w:tcPr>
          <w:p>
            <w:pPr>
              <w:spacing w:after="0"/>
              <w:rPr>
                <w:sz w:val="11"/>
                <w:szCs w:val="11"/>
                <w:color w:val="auto"/>
              </w:rPr>
            </w:pPr>
          </w:p>
        </w:tc>
        <w:tc>
          <w:tcPr>
            <w:tcW w:w="2480" w:type="dxa"/>
            <w:vAlign w:val="bottom"/>
            <w:tcBorders>
              <w:bottom w:val="single" w:sz="8" w:color="auto"/>
            </w:tcBorders>
            <w:shd w:val="clear" w:color="auto" w:fill="CCEEFF"/>
          </w:tcPr>
          <w:p>
            <w:pPr>
              <w:jc w:val="right"/>
              <w:ind w:right="975"/>
              <w:spacing w:after="0" w:line="134" w:lineRule="exact"/>
              <w:rPr>
                <w:sz w:val="20"/>
                <w:szCs w:val="20"/>
                <w:color w:val="auto"/>
              </w:rPr>
            </w:pPr>
            <w:r>
              <w:rPr>
                <w:rFonts w:ascii="Arial" w:cs="Arial" w:eastAsia="Arial" w:hAnsi="Arial"/>
                <w:sz w:val="13"/>
                <w:szCs w:val="13"/>
                <w:b w:val="1"/>
                <w:bCs w:val="1"/>
                <w:color w:val="auto"/>
              </w:rPr>
              <w:t>$</w:t>
            </w:r>
          </w:p>
        </w:tc>
        <w:tc>
          <w:tcPr>
            <w:tcW w:w="400" w:type="dxa"/>
            <w:vAlign w:val="bottom"/>
            <w:tcBorders>
              <w:bottom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b w:val="1"/>
                <w:bCs w:val="1"/>
                <w:color w:val="auto"/>
              </w:rPr>
              <w:t>90</w:t>
            </w:r>
          </w:p>
        </w:tc>
        <w:tc>
          <w:tcPr>
            <w:tcW w:w="340" w:type="dxa"/>
            <w:vAlign w:val="bottom"/>
            <w:tcBorders>
              <w:bottom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81</w:t>
            </w:r>
          </w:p>
        </w:tc>
      </w:tr>
      <w:tr>
        <w:trPr>
          <w:trHeight w:val="20"/>
        </w:trPr>
        <w:tc>
          <w:tcPr>
            <w:tcW w:w="20" w:type="dxa"/>
            <w:vAlign w:val="bottom"/>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45"/>
        </w:trPr>
        <w:tc>
          <w:tcPr>
            <w:tcW w:w="4540" w:type="dxa"/>
            <w:vAlign w:val="bottom"/>
            <w:gridSpan w:val="2"/>
          </w:tcPr>
          <w:p>
            <w:pPr>
              <w:spacing w:after="0"/>
              <w:rPr>
                <w:sz w:val="20"/>
                <w:szCs w:val="20"/>
                <w:color w:val="auto"/>
              </w:rPr>
            </w:pPr>
            <w:r>
              <w:rPr>
                <w:rFonts w:ascii="Arial" w:cs="Arial" w:eastAsia="Arial" w:hAnsi="Arial"/>
                <w:sz w:val="13"/>
                <w:szCs w:val="13"/>
                <w:b w:val="1"/>
                <w:bCs w:val="1"/>
                <w:color w:val="auto"/>
              </w:rPr>
              <w:t>10. Accrued and Other Liabilities</w:t>
            </w:r>
          </w:p>
        </w:tc>
        <w:tc>
          <w:tcPr>
            <w:tcW w:w="24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9"/>
        </w:trPr>
        <w:tc>
          <w:tcPr>
            <w:tcW w:w="20" w:type="dxa"/>
            <w:vAlign w:val="bottom"/>
          </w:tcPr>
          <w:p>
            <w:pPr>
              <w:spacing w:after="0"/>
              <w:rPr>
                <w:sz w:val="22"/>
                <w:szCs w:val="22"/>
                <w:color w:val="auto"/>
              </w:rPr>
            </w:pPr>
          </w:p>
        </w:tc>
        <w:tc>
          <w:tcPr>
            <w:tcW w:w="4520" w:type="dxa"/>
            <w:vAlign w:val="bottom"/>
          </w:tcPr>
          <w:p>
            <w:pPr>
              <w:spacing w:after="0"/>
              <w:rPr>
                <w:sz w:val="22"/>
                <w:szCs w:val="22"/>
                <w:color w:val="auto"/>
              </w:rPr>
            </w:pPr>
          </w:p>
        </w:tc>
        <w:tc>
          <w:tcPr>
            <w:tcW w:w="2480" w:type="dxa"/>
            <w:vAlign w:val="bottom"/>
          </w:tcPr>
          <w:p>
            <w:pPr>
              <w:jc w:val="center"/>
              <w:ind w:left="1595"/>
              <w:spacing w:after="0"/>
              <w:rPr>
                <w:sz w:val="20"/>
                <w:szCs w:val="20"/>
                <w:color w:val="auto"/>
              </w:rPr>
            </w:pPr>
            <w:r>
              <w:rPr>
                <w:rFonts w:ascii="Arial" w:cs="Arial" w:eastAsia="Arial" w:hAnsi="Arial"/>
                <w:sz w:val="13"/>
                <w:szCs w:val="13"/>
                <w:b w:val="1"/>
                <w:bCs w:val="1"/>
                <w:color w:val="auto"/>
                <w:w w:val="97"/>
              </w:rPr>
              <w:t>January 30,</w:t>
            </w:r>
          </w:p>
        </w:tc>
        <w:tc>
          <w:tcPr>
            <w:tcW w:w="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0" w:type="dxa"/>
            <w:vAlign w:val="bottom"/>
          </w:tcPr>
          <w:p>
            <w:pPr>
              <w:jc w:val="center"/>
              <w:ind w:right="195"/>
              <w:spacing w:after="0"/>
              <w:rPr>
                <w:sz w:val="20"/>
                <w:szCs w:val="20"/>
                <w:color w:val="auto"/>
              </w:rPr>
            </w:pPr>
            <w:r>
              <w:rPr>
                <w:rFonts w:ascii="Arial" w:cs="Arial" w:eastAsia="Arial" w:hAnsi="Arial"/>
                <w:sz w:val="13"/>
                <w:szCs w:val="13"/>
                <w:color w:val="auto"/>
                <w:w w:val="99"/>
              </w:rPr>
              <w:t>February 1,</w:t>
            </w:r>
          </w:p>
        </w:tc>
      </w:tr>
      <w:tr>
        <w:trPr>
          <w:trHeight w:val="164"/>
        </w:trPr>
        <w:tc>
          <w:tcPr>
            <w:tcW w:w="4540" w:type="dxa"/>
            <w:vAlign w:val="bottom"/>
            <w:gridSpan w:val="2"/>
          </w:tcPr>
          <w:p>
            <w:pPr>
              <w:ind w:left="20"/>
              <w:spacing w:after="0"/>
              <w:rPr>
                <w:sz w:val="20"/>
                <w:szCs w:val="20"/>
                <w:color w:val="auto"/>
              </w:rPr>
            </w:pPr>
            <w:r>
              <w:rPr>
                <w:rFonts w:ascii="Arial" w:cs="Arial" w:eastAsia="Arial" w:hAnsi="Arial"/>
                <w:sz w:val="13"/>
                <w:szCs w:val="13"/>
                <w:color w:val="auto"/>
              </w:rPr>
              <w:t>($ in millions)</w:t>
            </w:r>
          </w:p>
        </w:tc>
        <w:tc>
          <w:tcPr>
            <w:tcW w:w="2480" w:type="dxa"/>
            <w:vAlign w:val="bottom"/>
          </w:tcPr>
          <w:p>
            <w:pPr>
              <w:jc w:val="center"/>
              <w:ind w:left="1595"/>
              <w:spacing w:after="0"/>
              <w:rPr>
                <w:sz w:val="20"/>
                <w:szCs w:val="20"/>
                <w:color w:val="auto"/>
              </w:rPr>
            </w:pPr>
            <w:r>
              <w:rPr>
                <w:rFonts w:ascii="Arial" w:cs="Arial" w:eastAsia="Arial" w:hAnsi="Arial"/>
                <w:sz w:val="13"/>
                <w:szCs w:val="13"/>
                <w:b w:val="1"/>
                <w:bCs w:val="1"/>
                <w:color w:val="auto"/>
              </w:rPr>
              <w:t>2021</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jc w:val="center"/>
              <w:ind w:right="155"/>
              <w:spacing w:after="0"/>
              <w:rPr>
                <w:sz w:val="20"/>
                <w:szCs w:val="20"/>
                <w:color w:val="auto"/>
              </w:rPr>
            </w:pPr>
            <w:r>
              <w:rPr>
                <w:rFonts w:ascii="Arial" w:cs="Arial" w:eastAsia="Arial" w:hAnsi="Arial"/>
                <w:sz w:val="13"/>
                <w:szCs w:val="13"/>
                <w:color w:val="auto"/>
              </w:rPr>
              <w:t>2020</w:t>
            </w:r>
          </w:p>
        </w:tc>
      </w:tr>
      <w:tr>
        <w:trPr>
          <w:trHeight w:val="134"/>
        </w:trPr>
        <w:tc>
          <w:tcPr>
            <w:tcW w:w="20" w:type="dxa"/>
            <w:vAlign w:val="bottom"/>
          </w:tcPr>
          <w:p>
            <w:pPr>
              <w:spacing w:after="0"/>
              <w:rPr>
                <w:sz w:val="11"/>
                <w:szCs w:val="11"/>
                <w:color w:val="auto"/>
              </w:rPr>
            </w:pPr>
          </w:p>
        </w:tc>
        <w:tc>
          <w:tcPr>
            <w:tcW w:w="4520" w:type="dxa"/>
            <w:vAlign w:val="bottom"/>
            <w:tcBorders>
              <w:top w:val="single" w:sz="8" w:color="auto"/>
            </w:tcBorders>
            <w:shd w:val="clear" w:color="auto" w:fill="CCEEFF"/>
          </w:tcPr>
          <w:p>
            <w:pPr>
              <w:spacing w:after="0" w:line="134" w:lineRule="exact"/>
              <w:rPr>
                <w:sz w:val="20"/>
                <w:szCs w:val="20"/>
                <w:color w:val="auto"/>
              </w:rPr>
            </w:pPr>
            <w:r>
              <w:rPr>
                <w:rFonts w:ascii="Arial" w:cs="Arial" w:eastAsia="Arial" w:hAnsi="Arial"/>
                <w:sz w:val="13"/>
                <w:szCs w:val="13"/>
                <w:color w:val="auto"/>
              </w:rPr>
              <w:t>Taxes other than income taxes</w:t>
            </w:r>
          </w:p>
        </w:tc>
        <w:tc>
          <w:tcPr>
            <w:tcW w:w="2480" w:type="dxa"/>
            <w:vAlign w:val="bottom"/>
            <w:tcBorders>
              <w:top w:val="single" w:sz="8" w:color="auto"/>
            </w:tcBorders>
            <w:shd w:val="clear" w:color="auto" w:fill="CCEEFF"/>
          </w:tcPr>
          <w:p>
            <w:pPr>
              <w:jc w:val="right"/>
              <w:ind w:right="975"/>
              <w:spacing w:after="0" w:line="134" w:lineRule="exact"/>
              <w:rPr>
                <w:sz w:val="20"/>
                <w:szCs w:val="20"/>
                <w:color w:val="auto"/>
              </w:rPr>
            </w:pPr>
            <w:r>
              <w:rPr>
                <w:rFonts w:ascii="Arial" w:cs="Arial" w:eastAsia="Arial" w:hAnsi="Arial"/>
                <w:sz w:val="13"/>
                <w:szCs w:val="13"/>
                <w:b w:val="1"/>
                <w:bCs w:val="1"/>
                <w:color w:val="auto"/>
              </w:rPr>
              <w:t>$</w:t>
            </w:r>
          </w:p>
        </w:tc>
        <w:tc>
          <w:tcPr>
            <w:tcW w:w="400" w:type="dxa"/>
            <w:vAlign w:val="bottom"/>
            <w:tcBorders>
              <w:top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b w:val="1"/>
                <w:bCs w:val="1"/>
                <w:color w:val="auto"/>
              </w:rPr>
              <w:t>96</w:t>
            </w:r>
          </w:p>
        </w:tc>
        <w:tc>
          <w:tcPr>
            <w:tcW w:w="340" w:type="dxa"/>
            <w:vAlign w:val="bottom"/>
            <w:tcBorders>
              <w:top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color w:val="auto"/>
              </w:rPr>
              <w:t>$</w:t>
            </w:r>
          </w:p>
        </w:tc>
        <w:tc>
          <w:tcPr>
            <w:tcW w:w="120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57</w:t>
            </w:r>
          </w:p>
        </w:tc>
      </w:tr>
      <w:tr>
        <w:trPr>
          <w:trHeight w:val="144"/>
        </w:trPr>
        <w:tc>
          <w:tcPr>
            <w:tcW w:w="20" w:type="dxa"/>
            <w:vAlign w:val="bottom"/>
          </w:tcPr>
          <w:p>
            <w:pPr>
              <w:spacing w:after="0"/>
              <w:rPr>
                <w:sz w:val="12"/>
                <w:szCs w:val="12"/>
                <w:color w:val="auto"/>
              </w:rPr>
            </w:pPr>
          </w:p>
        </w:tc>
        <w:tc>
          <w:tcPr>
            <w:tcW w:w="4520" w:type="dxa"/>
            <w:vAlign w:val="bottom"/>
          </w:tcPr>
          <w:p>
            <w:pPr>
              <w:spacing w:after="0" w:line="144" w:lineRule="exact"/>
              <w:rPr>
                <w:sz w:val="20"/>
                <w:szCs w:val="20"/>
                <w:color w:val="auto"/>
              </w:rPr>
            </w:pPr>
            <w:r>
              <w:rPr>
                <w:rFonts w:ascii="Arial" w:cs="Arial" w:eastAsia="Arial" w:hAnsi="Arial"/>
                <w:sz w:val="13"/>
                <w:szCs w:val="13"/>
                <w:color w:val="auto"/>
              </w:rPr>
              <w:t>Income taxes payable</w:t>
            </w:r>
          </w:p>
        </w:tc>
        <w:tc>
          <w:tcPr>
            <w:tcW w:w="2480" w:type="dxa"/>
            <w:vAlign w:val="bottom"/>
          </w:tcPr>
          <w:p>
            <w:pPr>
              <w:spacing w:after="0"/>
              <w:rPr>
                <w:sz w:val="12"/>
                <w:szCs w:val="12"/>
                <w:color w:val="auto"/>
              </w:rPr>
            </w:pPr>
          </w:p>
        </w:tc>
        <w:tc>
          <w:tcPr>
            <w:tcW w:w="400" w:type="dxa"/>
            <w:vAlign w:val="bottom"/>
          </w:tcPr>
          <w:p>
            <w:pPr>
              <w:jc w:val="right"/>
              <w:ind w:right="75"/>
              <w:spacing w:after="0" w:line="144" w:lineRule="exact"/>
              <w:rPr>
                <w:sz w:val="20"/>
                <w:szCs w:val="20"/>
                <w:color w:val="auto"/>
              </w:rPr>
            </w:pPr>
            <w:r>
              <w:rPr>
                <w:rFonts w:ascii="Arial" w:cs="Arial" w:eastAsia="Arial" w:hAnsi="Arial"/>
                <w:sz w:val="13"/>
                <w:szCs w:val="13"/>
                <w:b w:val="1"/>
                <w:bCs w:val="1"/>
                <w:color w:val="auto"/>
              </w:rPr>
              <w:t>81</w:t>
            </w:r>
          </w:p>
        </w:tc>
        <w:tc>
          <w:tcPr>
            <w:tcW w:w="340" w:type="dxa"/>
            <w:vAlign w:val="bottom"/>
          </w:tcPr>
          <w:p>
            <w:pPr>
              <w:spacing w:after="0"/>
              <w:rPr>
                <w:sz w:val="12"/>
                <w:szCs w:val="12"/>
                <w:color w:val="auto"/>
              </w:rPr>
            </w:pPr>
          </w:p>
        </w:tc>
        <w:tc>
          <w:tcPr>
            <w:tcW w:w="1200" w:type="dxa"/>
            <w:vAlign w:val="bottom"/>
          </w:tcPr>
          <w:p>
            <w:pPr>
              <w:jc w:val="right"/>
              <w:spacing w:after="0" w:line="144" w:lineRule="exact"/>
              <w:rPr>
                <w:sz w:val="20"/>
                <w:szCs w:val="20"/>
                <w:color w:val="auto"/>
              </w:rPr>
            </w:pPr>
            <w:r>
              <w:rPr>
                <w:rFonts w:ascii="Arial" w:cs="Arial" w:eastAsia="Arial" w:hAnsi="Arial"/>
                <w:sz w:val="13"/>
                <w:szCs w:val="13"/>
                <w:color w:val="auto"/>
              </w:rPr>
              <w:t>4</w:t>
            </w:r>
          </w:p>
        </w:tc>
      </w:tr>
      <w:tr>
        <w:trPr>
          <w:trHeight w:val="144"/>
        </w:trPr>
        <w:tc>
          <w:tcPr>
            <w:tcW w:w="20" w:type="dxa"/>
            <w:vAlign w:val="bottom"/>
          </w:tcPr>
          <w:p>
            <w:pPr>
              <w:spacing w:after="0"/>
              <w:rPr>
                <w:sz w:val="12"/>
                <w:szCs w:val="12"/>
                <w:color w:val="auto"/>
              </w:rPr>
            </w:pPr>
          </w:p>
        </w:tc>
        <w:tc>
          <w:tcPr>
            <w:tcW w:w="45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Other payroll and payroll related costs, excluding taxes</w:t>
            </w:r>
          </w:p>
        </w:tc>
        <w:tc>
          <w:tcPr>
            <w:tcW w:w="248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b w:val="1"/>
                <w:bCs w:val="1"/>
                <w:color w:val="auto"/>
              </w:rPr>
              <w:t>73</w:t>
            </w: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64</w:t>
            </w:r>
          </w:p>
        </w:tc>
      </w:tr>
      <w:tr>
        <w:trPr>
          <w:trHeight w:val="144"/>
        </w:trPr>
        <w:tc>
          <w:tcPr>
            <w:tcW w:w="20" w:type="dxa"/>
            <w:vAlign w:val="bottom"/>
          </w:tcPr>
          <w:p>
            <w:pPr>
              <w:spacing w:after="0"/>
              <w:rPr>
                <w:sz w:val="12"/>
                <w:szCs w:val="12"/>
                <w:color w:val="auto"/>
              </w:rPr>
            </w:pPr>
          </w:p>
        </w:tc>
        <w:tc>
          <w:tcPr>
            <w:tcW w:w="4520" w:type="dxa"/>
            <w:vAlign w:val="bottom"/>
          </w:tcPr>
          <w:p>
            <w:pPr>
              <w:spacing w:after="0" w:line="144" w:lineRule="exact"/>
              <w:rPr>
                <w:sz w:val="20"/>
                <w:szCs w:val="20"/>
                <w:color w:val="auto"/>
              </w:rPr>
            </w:pPr>
            <w:r>
              <w:rPr>
                <w:rFonts w:ascii="Arial" w:cs="Arial" w:eastAsia="Arial" w:hAnsi="Arial"/>
                <w:sz w:val="13"/>
                <w:szCs w:val="13"/>
                <w:color w:val="auto"/>
              </w:rPr>
              <w:t>Incentive bonuses</w:t>
            </w:r>
          </w:p>
        </w:tc>
        <w:tc>
          <w:tcPr>
            <w:tcW w:w="2480" w:type="dxa"/>
            <w:vAlign w:val="bottom"/>
          </w:tcPr>
          <w:p>
            <w:pPr>
              <w:spacing w:after="0"/>
              <w:rPr>
                <w:sz w:val="12"/>
                <w:szCs w:val="12"/>
                <w:color w:val="auto"/>
              </w:rPr>
            </w:pPr>
          </w:p>
        </w:tc>
        <w:tc>
          <w:tcPr>
            <w:tcW w:w="400" w:type="dxa"/>
            <w:vAlign w:val="bottom"/>
          </w:tcPr>
          <w:p>
            <w:pPr>
              <w:jc w:val="right"/>
              <w:ind w:right="75"/>
              <w:spacing w:after="0" w:line="144" w:lineRule="exact"/>
              <w:rPr>
                <w:sz w:val="20"/>
                <w:szCs w:val="20"/>
                <w:color w:val="auto"/>
              </w:rPr>
            </w:pPr>
            <w:r>
              <w:rPr>
                <w:rFonts w:ascii="Arial" w:cs="Arial" w:eastAsia="Arial" w:hAnsi="Arial"/>
                <w:sz w:val="13"/>
                <w:szCs w:val="13"/>
                <w:b w:val="1"/>
                <w:bCs w:val="1"/>
                <w:color w:val="auto"/>
              </w:rPr>
              <w:t>72</w:t>
            </w:r>
          </w:p>
        </w:tc>
        <w:tc>
          <w:tcPr>
            <w:tcW w:w="340" w:type="dxa"/>
            <w:vAlign w:val="bottom"/>
          </w:tcPr>
          <w:p>
            <w:pPr>
              <w:spacing w:after="0"/>
              <w:rPr>
                <w:sz w:val="12"/>
                <w:szCs w:val="12"/>
                <w:color w:val="auto"/>
              </w:rPr>
            </w:pPr>
          </w:p>
        </w:tc>
        <w:tc>
          <w:tcPr>
            <w:tcW w:w="1200" w:type="dxa"/>
            <w:vAlign w:val="bottom"/>
          </w:tcPr>
          <w:p>
            <w:pPr>
              <w:jc w:val="right"/>
              <w:spacing w:after="0" w:line="144" w:lineRule="exact"/>
              <w:rPr>
                <w:sz w:val="20"/>
                <w:szCs w:val="20"/>
                <w:color w:val="auto"/>
              </w:rPr>
            </w:pPr>
            <w:r>
              <w:rPr>
                <w:rFonts w:ascii="Arial" w:cs="Arial" w:eastAsia="Arial" w:hAnsi="Arial"/>
                <w:sz w:val="13"/>
                <w:szCs w:val="13"/>
                <w:color w:val="auto"/>
              </w:rPr>
              <w:t>28</w:t>
            </w:r>
          </w:p>
        </w:tc>
      </w:tr>
      <w:tr>
        <w:trPr>
          <w:trHeight w:val="144"/>
        </w:trPr>
        <w:tc>
          <w:tcPr>
            <w:tcW w:w="20" w:type="dxa"/>
            <w:vAlign w:val="bottom"/>
          </w:tcPr>
          <w:p>
            <w:pPr>
              <w:spacing w:after="0"/>
              <w:rPr>
                <w:sz w:val="12"/>
                <w:szCs w:val="12"/>
                <w:color w:val="auto"/>
              </w:rPr>
            </w:pPr>
          </w:p>
        </w:tc>
        <w:tc>
          <w:tcPr>
            <w:tcW w:w="45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Customer deposits</w:t>
            </w:r>
          </w:p>
        </w:tc>
        <w:tc>
          <w:tcPr>
            <w:tcW w:w="248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b w:val="1"/>
                <w:bCs w:val="1"/>
                <w:color w:val="auto"/>
              </w:rPr>
              <w:t>49</w:t>
            </w: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45</w:t>
            </w:r>
          </w:p>
        </w:tc>
      </w:tr>
      <w:tr>
        <w:trPr>
          <w:trHeight w:val="144"/>
        </w:trPr>
        <w:tc>
          <w:tcPr>
            <w:tcW w:w="20" w:type="dxa"/>
            <w:vAlign w:val="bottom"/>
          </w:tcPr>
          <w:p>
            <w:pPr>
              <w:spacing w:after="0"/>
              <w:rPr>
                <w:sz w:val="12"/>
                <w:szCs w:val="12"/>
                <w:color w:val="auto"/>
              </w:rPr>
            </w:pPr>
          </w:p>
        </w:tc>
        <w:tc>
          <w:tcPr>
            <w:tcW w:w="4520" w:type="dxa"/>
            <w:vAlign w:val="bottom"/>
          </w:tcPr>
          <w:p>
            <w:pPr>
              <w:spacing w:after="0" w:line="144" w:lineRule="exact"/>
              <w:rPr>
                <w:sz w:val="20"/>
                <w:szCs w:val="20"/>
                <w:color w:val="auto"/>
              </w:rPr>
            </w:pPr>
            <w:r>
              <w:rPr>
                <w:rFonts w:ascii="Arial" w:cs="Arial" w:eastAsia="Arial" w:hAnsi="Arial"/>
                <w:sz w:val="13"/>
                <w:szCs w:val="13"/>
                <w:color w:val="auto"/>
              </w:rPr>
              <w:t>Rent related costs</w:t>
            </w:r>
          </w:p>
        </w:tc>
        <w:tc>
          <w:tcPr>
            <w:tcW w:w="2480" w:type="dxa"/>
            <w:vAlign w:val="bottom"/>
          </w:tcPr>
          <w:p>
            <w:pPr>
              <w:spacing w:after="0"/>
              <w:rPr>
                <w:sz w:val="12"/>
                <w:szCs w:val="12"/>
                <w:color w:val="auto"/>
              </w:rPr>
            </w:pPr>
          </w:p>
        </w:tc>
        <w:tc>
          <w:tcPr>
            <w:tcW w:w="400" w:type="dxa"/>
            <w:vAlign w:val="bottom"/>
          </w:tcPr>
          <w:p>
            <w:pPr>
              <w:jc w:val="right"/>
              <w:ind w:right="75"/>
              <w:spacing w:after="0" w:line="144" w:lineRule="exact"/>
              <w:rPr>
                <w:sz w:val="20"/>
                <w:szCs w:val="20"/>
                <w:color w:val="auto"/>
              </w:rPr>
            </w:pPr>
            <w:r>
              <w:rPr>
                <w:rFonts w:ascii="Arial" w:cs="Arial" w:eastAsia="Arial" w:hAnsi="Arial"/>
                <w:sz w:val="13"/>
                <w:szCs w:val="13"/>
                <w:b w:val="1"/>
                <w:bCs w:val="1"/>
                <w:color w:val="auto"/>
              </w:rPr>
              <w:t>40</w:t>
            </w:r>
          </w:p>
        </w:tc>
        <w:tc>
          <w:tcPr>
            <w:tcW w:w="340" w:type="dxa"/>
            <w:vAlign w:val="bottom"/>
          </w:tcPr>
          <w:p>
            <w:pPr>
              <w:spacing w:after="0"/>
              <w:rPr>
                <w:sz w:val="12"/>
                <w:szCs w:val="12"/>
                <w:color w:val="auto"/>
              </w:rPr>
            </w:pPr>
          </w:p>
        </w:tc>
        <w:tc>
          <w:tcPr>
            <w:tcW w:w="1200" w:type="dxa"/>
            <w:vAlign w:val="bottom"/>
          </w:tcPr>
          <w:p>
            <w:pPr>
              <w:jc w:val="right"/>
              <w:spacing w:after="0" w:line="144" w:lineRule="exact"/>
              <w:rPr>
                <w:sz w:val="20"/>
                <w:szCs w:val="20"/>
                <w:color w:val="auto"/>
              </w:rPr>
            </w:pPr>
            <w:r>
              <w:rPr>
                <w:rFonts w:ascii="Arial" w:cs="Arial" w:eastAsia="Arial" w:hAnsi="Arial"/>
                <w:sz w:val="13"/>
                <w:szCs w:val="13"/>
                <w:color w:val="auto"/>
              </w:rPr>
              <w:t>20</w:t>
            </w:r>
          </w:p>
        </w:tc>
      </w:tr>
      <w:tr>
        <w:trPr>
          <w:trHeight w:val="144"/>
        </w:trPr>
        <w:tc>
          <w:tcPr>
            <w:tcW w:w="20" w:type="dxa"/>
            <w:vAlign w:val="bottom"/>
          </w:tcPr>
          <w:p>
            <w:pPr>
              <w:spacing w:after="0"/>
              <w:rPr>
                <w:sz w:val="12"/>
                <w:szCs w:val="12"/>
                <w:color w:val="auto"/>
              </w:rPr>
            </w:pPr>
          </w:p>
        </w:tc>
        <w:tc>
          <w:tcPr>
            <w:tcW w:w="4520" w:type="dxa"/>
            <w:vAlign w:val="bottom"/>
            <w:shd w:val="clear" w:color="auto" w:fill="CCEEFF"/>
          </w:tcPr>
          <w:p>
            <w:pPr>
              <w:spacing w:after="0" w:line="144" w:lineRule="exact"/>
              <w:rPr>
                <w:sz w:val="20"/>
                <w:szCs w:val="20"/>
                <w:color w:val="auto"/>
              </w:rPr>
            </w:pPr>
            <w:r>
              <w:rPr>
                <w:rFonts w:ascii="Arial" w:cs="Arial" w:eastAsia="Arial" w:hAnsi="Arial"/>
                <w:sz w:val="11"/>
                <w:szCs w:val="11"/>
                <w:color w:val="auto"/>
              </w:rPr>
              <w:t xml:space="preserve">Property and equipment </w:t>
            </w:r>
            <w:r>
              <w:rPr>
                <w:rFonts w:ascii="Arial" w:cs="Arial" w:eastAsia="Arial" w:hAnsi="Arial"/>
                <w:sz w:val="16"/>
                <w:szCs w:val="16"/>
                <w:color w:val="auto"/>
                <w:vertAlign w:val="superscript"/>
              </w:rPr>
              <w:t>(1)</w:t>
            </w:r>
          </w:p>
        </w:tc>
        <w:tc>
          <w:tcPr>
            <w:tcW w:w="248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b w:val="1"/>
                <w:bCs w:val="1"/>
                <w:color w:val="auto"/>
              </w:rPr>
              <w:t>33</w:t>
            </w:r>
          </w:p>
        </w:tc>
        <w:tc>
          <w:tcPr>
            <w:tcW w:w="3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40</w:t>
            </w:r>
          </w:p>
        </w:tc>
      </w:tr>
      <w:tr>
        <w:trPr>
          <w:trHeight w:val="144"/>
        </w:trPr>
        <w:tc>
          <w:tcPr>
            <w:tcW w:w="20" w:type="dxa"/>
            <w:vAlign w:val="bottom"/>
          </w:tcPr>
          <w:p>
            <w:pPr>
              <w:spacing w:after="0"/>
              <w:rPr>
                <w:sz w:val="12"/>
                <w:szCs w:val="12"/>
                <w:color w:val="auto"/>
              </w:rPr>
            </w:pPr>
          </w:p>
        </w:tc>
        <w:tc>
          <w:tcPr>
            <w:tcW w:w="4520" w:type="dxa"/>
            <w:vAlign w:val="bottom"/>
          </w:tcPr>
          <w:p>
            <w:pPr>
              <w:spacing w:after="0" w:line="144" w:lineRule="exact"/>
              <w:rPr>
                <w:sz w:val="20"/>
                <w:szCs w:val="20"/>
                <w:color w:val="auto"/>
              </w:rPr>
            </w:pPr>
            <w:r>
              <w:rPr>
                <w:rFonts w:ascii="Arial" w:cs="Arial" w:eastAsia="Arial" w:hAnsi="Arial"/>
                <w:sz w:val="13"/>
                <w:szCs w:val="13"/>
                <w:color w:val="auto"/>
              </w:rPr>
              <w:t>Advertising</w:t>
            </w:r>
          </w:p>
        </w:tc>
        <w:tc>
          <w:tcPr>
            <w:tcW w:w="2480" w:type="dxa"/>
            <w:vAlign w:val="bottom"/>
          </w:tcPr>
          <w:p>
            <w:pPr>
              <w:spacing w:after="0"/>
              <w:rPr>
                <w:sz w:val="12"/>
                <w:szCs w:val="12"/>
                <w:color w:val="auto"/>
              </w:rPr>
            </w:pPr>
          </w:p>
        </w:tc>
        <w:tc>
          <w:tcPr>
            <w:tcW w:w="400" w:type="dxa"/>
            <w:vAlign w:val="bottom"/>
          </w:tcPr>
          <w:p>
            <w:pPr>
              <w:jc w:val="right"/>
              <w:ind w:right="75"/>
              <w:spacing w:after="0" w:line="144" w:lineRule="exact"/>
              <w:rPr>
                <w:sz w:val="20"/>
                <w:szCs w:val="20"/>
                <w:color w:val="auto"/>
              </w:rPr>
            </w:pPr>
            <w:r>
              <w:rPr>
                <w:rFonts w:ascii="Arial" w:cs="Arial" w:eastAsia="Arial" w:hAnsi="Arial"/>
                <w:sz w:val="13"/>
                <w:szCs w:val="13"/>
                <w:b w:val="1"/>
                <w:bCs w:val="1"/>
                <w:color w:val="auto"/>
              </w:rPr>
              <w:t>25</w:t>
            </w:r>
          </w:p>
        </w:tc>
        <w:tc>
          <w:tcPr>
            <w:tcW w:w="340" w:type="dxa"/>
            <w:vAlign w:val="bottom"/>
          </w:tcPr>
          <w:p>
            <w:pPr>
              <w:spacing w:after="0"/>
              <w:rPr>
                <w:sz w:val="12"/>
                <w:szCs w:val="12"/>
                <w:color w:val="auto"/>
              </w:rPr>
            </w:pPr>
          </w:p>
        </w:tc>
        <w:tc>
          <w:tcPr>
            <w:tcW w:w="1200" w:type="dxa"/>
            <w:vAlign w:val="bottom"/>
          </w:tcPr>
          <w:p>
            <w:pPr>
              <w:jc w:val="right"/>
              <w:spacing w:after="0" w:line="144" w:lineRule="exact"/>
              <w:rPr>
                <w:sz w:val="20"/>
                <w:szCs w:val="20"/>
                <w:color w:val="auto"/>
              </w:rPr>
            </w:pPr>
            <w:r>
              <w:rPr>
                <w:rFonts w:ascii="Arial" w:cs="Arial" w:eastAsia="Arial" w:hAnsi="Arial"/>
                <w:sz w:val="13"/>
                <w:szCs w:val="13"/>
                <w:color w:val="auto"/>
              </w:rPr>
              <w:t>21</w:t>
            </w:r>
          </w:p>
        </w:tc>
      </w:tr>
      <w:tr>
        <w:trPr>
          <w:trHeight w:val="144"/>
        </w:trPr>
        <w:tc>
          <w:tcPr>
            <w:tcW w:w="20" w:type="dxa"/>
            <w:vAlign w:val="bottom"/>
          </w:tcPr>
          <w:p>
            <w:pPr>
              <w:spacing w:after="0"/>
              <w:rPr>
                <w:sz w:val="12"/>
                <w:szCs w:val="12"/>
                <w:color w:val="auto"/>
              </w:rPr>
            </w:pPr>
          </w:p>
        </w:tc>
        <w:tc>
          <w:tcPr>
            <w:tcW w:w="4520" w:type="dxa"/>
            <w:vAlign w:val="bottom"/>
            <w:tcBorders>
              <w:bottom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rPr>
              <w:t>Other</w:t>
            </w:r>
          </w:p>
        </w:tc>
        <w:tc>
          <w:tcPr>
            <w:tcW w:w="248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ind w:right="75"/>
              <w:spacing w:after="0" w:line="144" w:lineRule="exact"/>
              <w:rPr>
                <w:sz w:val="20"/>
                <w:szCs w:val="20"/>
                <w:color w:val="auto"/>
              </w:rPr>
            </w:pPr>
            <w:r>
              <w:rPr>
                <w:rFonts w:ascii="Arial" w:cs="Arial" w:eastAsia="Arial" w:hAnsi="Arial"/>
                <w:sz w:val="13"/>
                <w:szCs w:val="13"/>
                <w:b w:val="1"/>
                <w:bCs w:val="1"/>
                <w:color w:val="auto"/>
              </w:rPr>
              <w:t>91</w:t>
            </w:r>
          </w:p>
        </w:tc>
        <w:tc>
          <w:tcPr>
            <w:tcW w:w="34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64</w:t>
            </w:r>
          </w:p>
        </w:tc>
      </w:tr>
      <w:tr>
        <w:trPr>
          <w:trHeight w:val="134"/>
        </w:trPr>
        <w:tc>
          <w:tcPr>
            <w:tcW w:w="20" w:type="dxa"/>
            <w:vAlign w:val="bottom"/>
          </w:tcPr>
          <w:p>
            <w:pPr>
              <w:spacing w:after="0"/>
              <w:rPr>
                <w:sz w:val="11"/>
                <w:szCs w:val="11"/>
                <w:color w:val="auto"/>
              </w:rPr>
            </w:pPr>
          </w:p>
        </w:tc>
        <w:tc>
          <w:tcPr>
            <w:tcW w:w="452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tcPr>
          <w:p>
            <w:pPr>
              <w:jc w:val="right"/>
              <w:ind w:right="975"/>
              <w:spacing w:after="0" w:line="134" w:lineRule="exact"/>
              <w:rPr>
                <w:sz w:val="20"/>
                <w:szCs w:val="20"/>
                <w:color w:val="auto"/>
              </w:rPr>
            </w:pPr>
            <w:r>
              <w:rPr>
                <w:rFonts w:ascii="Arial" w:cs="Arial" w:eastAsia="Arial" w:hAnsi="Arial"/>
                <w:sz w:val="13"/>
                <w:szCs w:val="13"/>
                <w:b w:val="1"/>
                <w:bCs w:val="1"/>
                <w:color w:val="auto"/>
              </w:rPr>
              <w:t>$</w:t>
            </w:r>
          </w:p>
        </w:tc>
        <w:tc>
          <w:tcPr>
            <w:tcW w:w="400" w:type="dxa"/>
            <w:vAlign w:val="bottom"/>
            <w:tcBorders>
              <w:bottom w:val="single" w:sz="8" w:color="auto"/>
            </w:tcBorders>
          </w:tcPr>
          <w:p>
            <w:pPr>
              <w:jc w:val="right"/>
              <w:ind w:right="75"/>
              <w:spacing w:after="0" w:line="134" w:lineRule="exact"/>
              <w:rPr>
                <w:sz w:val="20"/>
                <w:szCs w:val="20"/>
                <w:color w:val="auto"/>
              </w:rPr>
            </w:pPr>
            <w:r>
              <w:rPr>
                <w:rFonts w:ascii="Arial" w:cs="Arial" w:eastAsia="Arial" w:hAnsi="Arial"/>
                <w:sz w:val="13"/>
                <w:szCs w:val="13"/>
                <w:b w:val="1"/>
                <w:bCs w:val="1"/>
                <w:color w:val="auto"/>
              </w:rPr>
              <w:t>560</w:t>
            </w:r>
          </w:p>
        </w:tc>
        <w:tc>
          <w:tcPr>
            <w:tcW w:w="340" w:type="dxa"/>
            <w:vAlign w:val="bottom"/>
            <w:tcBorders>
              <w:bottom w:val="single" w:sz="8" w:color="auto"/>
            </w:tcBorders>
          </w:tcPr>
          <w:p>
            <w:pPr>
              <w:jc w:val="right"/>
              <w:ind w:right="75"/>
              <w:spacing w:after="0" w:line="134" w:lineRule="exact"/>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343</w:t>
            </w:r>
          </w:p>
        </w:tc>
      </w:tr>
    </w:tbl>
    <w:p>
      <w:pPr>
        <w:spacing w:after="0" w:line="143" w:lineRule="exact"/>
        <w:rPr>
          <w:sz w:val="20"/>
          <w:szCs w:val="20"/>
          <w:color w:val="auto"/>
        </w:rPr>
      </w:pPr>
    </w:p>
    <w:p>
      <w:pPr>
        <w:ind w:left="280" w:hanging="250"/>
        <w:spacing w:after="0"/>
        <w:tabs>
          <w:tab w:leader="none" w:pos="280" w:val="left"/>
        </w:tabs>
        <w:numPr>
          <w:ilvl w:val="0"/>
          <w:numId w:val="20"/>
        </w:numPr>
        <w:rPr>
          <w:rFonts w:ascii="Arial" w:cs="Arial" w:eastAsia="Arial" w:hAnsi="Arial"/>
          <w:sz w:val="10"/>
          <w:szCs w:val="10"/>
          <w:color w:val="auto"/>
        </w:rPr>
      </w:pPr>
      <w:r>
        <w:rPr>
          <w:rFonts w:ascii="Arial" w:cs="Arial" w:eastAsia="Arial" w:hAnsi="Arial"/>
          <w:sz w:val="10"/>
          <w:szCs w:val="10"/>
          <w:color w:val="auto"/>
        </w:rPr>
        <w:t>Accruals for property and equipment are excluded from the Statements of Cash Flows for all years presented.</w:t>
      </w:r>
    </w:p>
    <w:p>
      <w:pPr>
        <w:spacing w:after="0" w:line="17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11. Revolving Credit Facility</w:t>
      </w:r>
    </w:p>
    <w:p>
      <w:pPr>
        <w:spacing w:after="0" w:line="143" w:lineRule="exact"/>
        <w:rPr>
          <w:sz w:val="20"/>
          <w:szCs w:val="20"/>
          <w:color w:val="auto"/>
        </w:rPr>
      </w:pPr>
    </w:p>
    <w:p>
      <w:pPr>
        <w:jc w:val="both"/>
        <w:ind w:left="20" w:right="39"/>
        <w:spacing w:after="0" w:line="236" w:lineRule="auto"/>
        <w:rPr>
          <w:sz w:val="20"/>
          <w:szCs w:val="20"/>
          <w:color w:val="auto"/>
        </w:rPr>
      </w:pPr>
      <w:r>
        <w:rPr>
          <w:rFonts w:ascii="Arial" w:cs="Arial" w:eastAsia="Arial" w:hAnsi="Arial"/>
          <w:sz w:val="13"/>
          <w:szCs w:val="13"/>
          <w:color w:val="auto"/>
        </w:rPr>
        <w:t>In the first quarter of 2020, we borrowed $330 million under our then-existing revolving credit facility. On July 14, 2020, we amended our then-existing revolving credit agreement to provide for a $600 million asset-based revolving credit facility that is scheduled to mature on July 14, 2025 (as amended, “2020 Credit Agreement”). On July 15, 2020, the Company repaid all revolving loans outstanding under the Amended Credit Agreement.</w:t>
      </w:r>
    </w:p>
    <w:p>
      <w:pPr>
        <w:spacing w:after="0" w:line="133" w:lineRule="exact"/>
        <w:rPr>
          <w:sz w:val="20"/>
          <w:szCs w:val="20"/>
          <w:color w:val="auto"/>
        </w:rPr>
      </w:pPr>
    </w:p>
    <w:p>
      <w:pPr>
        <w:jc w:val="both"/>
        <w:ind w:left="20" w:right="39"/>
        <w:spacing w:after="0" w:line="235" w:lineRule="auto"/>
        <w:rPr>
          <w:sz w:val="20"/>
          <w:szCs w:val="20"/>
          <w:color w:val="auto"/>
        </w:rPr>
      </w:pPr>
      <w:r>
        <w:rPr>
          <w:rFonts w:ascii="Arial" w:cs="Arial" w:eastAsia="Arial" w:hAnsi="Arial"/>
          <w:sz w:val="13"/>
          <w:szCs w:val="13"/>
          <w:color w:val="auto"/>
        </w:rPr>
        <w:t>Under the 2020 Credit Agreement interest is determined, at our option, by either (1) the eurodollar rate, which is determined by reference to LIBOR, plus a margin of 1.75 percent to 2.25 percent per annum, or (2) the base rate, determined by reference to the federal funds rate, plus a margin of 0.75 percent to 1.25 percent, in each case. In addition, we are paying a commitment fee of 0.50 percent per annum on the unused portion of the commitments under the 2020 Credit Agreement.</w:t>
      </w:r>
    </w:p>
    <w:p>
      <w:pPr>
        <w:spacing w:after="0" w:line="133" w:lineRule="exact"/>
        <w:rPr>
          <w:sz w:val="20"/>
          <w:szCs w:val="20"/>
          <w:color w:val="auto"/>
        </w:rPr>
      </w:pPr>
    </w:p>
    <w:p>
      <w:pPr>
        <w:jc w:val="both"/>
        <w:ind w:left="20" w:right="39"/>
        <w:spacing w:after="0" w:line="235" w:lineRule="auto"/>
        <w:rPr>
          <w:sz w:val="20"/>
          <w:szCs w:val="20"/>
          <w:color w:val="auto"/>
        </w:rPr>
      </w:pPr>
      <w:r>
        <w:rPr>
          <w:rFonts w:ascii="Arial" w:cs="Arial" w:eastAsia="Arial" w:hAnsi="Arial"/>
          <w:sz w:val="13"/>
          <w:szCs w:val="13"/>
          <w:color w:val="auto"/>
        </w:rPr>
        <w:t>If certain specified events of default have occurred and are continuing, or if availability under the 2020 Credit Agreement is less than or equal to the greater of $60 million and 10 percent of the Loan Cap (as defined in the 2020 Credit Agreement), we are required to test compliance with a minimum consolidated fixed charge coverage ratio of 1.00 to 1.00 as of the end of each fiscal quarter in order to make investments, pay dividends, and repurchase our shares. No events of default occurred during 2020.</w:t>
      </w:r>
    </w:p>
    <w:p>
      <w:pPr>
        <w:spacing w:after="0" w:line="133" w:lineRule="exact"/>
        <w:rPr>
          <w:sz w:val="20"/>
          <w:szCs w:val="20"/>
          <w:color w:val="auto"/>
        </w:rPr>
      </w:pPr>
    </w:p>
    <w:p>
      <w:pPr>
        <w:jc w:val="both"/>
        <w:ind w:left="20" w:right="39"/>
        <w:spacing w:after="0"/>
        <w:rPr>
          <w:sz w:val="20"/>
          <w:szCs w:val="20"/>
          <w:color w:val="auto"/>
        </w:rPr>
      </w:pPr>
      <w:r>
        <w:rPr>
          <w:rFonts w:ascii="Arial" w:cs="Arial" w:eastAsia="Arial" w:hAnsi="Arial"/>
          <w:sz w:val="13"/>
          <w:szCs w:val="13"/>
          <w:color w:val="auto"/>
        </w:rPr>
        <w:t>We may use letters of credit issued pursuant to the 2020 Credit Agreement to, among other things, support standby letters of credit in connection with insurance programs. The letters of credit outstanding as of January 30, 2021 were not significant.</w:t>
      </w:r>
    </w:p>
    <w:p>
      <w:pPr>
        <w:spacing w:after="0" w:line="81" w:lineRule="exact"/>
        <w:rPr>
          <w:sz w:val="20"/>
          <w:szCs w:val="20"/>
          <w:color w:val="auto"/>
        </w:rPr>
      </w:pPr>
    </w:p>
    <w:p>
      <w:pPr>
        <w:jc w:val="both"/>
        <w:ind w:left="20" w:right="39"/>
        <w:spacing w:after="0" w:line="236" w:lineRule="auto"/>
        <w:rPr>
          <w:sz w:val="20"/>
          <w:szCs w:val="20"/>
          <w:color w:val="auto"/>
        </w:rPr>
      </w:pPr>
      <w:r>
        <w:rPr>
          <w:rFonts w:ascii="Arial" w:cs="Arial" w:eastAsia="Arial" w:hAnsi="Arial"/>
          <w:sz w:val="13"/>
          <w:szCs w:val="13"/>
          <w:color w:val="auto"/>
        </w:rPr>
        <w:t>We paid fees of $4 million in connection with the amendment of our credit facility and such costs are amortized over the life of the facility. The unamortized balance at January 30, 2021 was $4 million. Interest expense, including facility fees, related to the revolving credit facility was $5 million, $1 million, and $1 million for 2020, 2019, and 2018, respectively.</w:t>
      </w:r>
    </w:p>
    <w:p>
      <w:pPr>
        <w:spacing w:after="0" w:line="359" w:lineRule="exact"/>
        <w:rPr>
          <w:sz w:val="20"/>
          <w:szCs w:val="20"/>
          <w:color w:val="auto"/>
        </w:rPr>
      </w:pPr>
    </w:p>
    <w:p>
      <w:pPr>
        <w:ind w:left="7520"/>
        <w:spacing w:after="0"/>
        <w:rPr>
          <w:sz w:val="20"/>
          <w:szCs w:val="20"/>
          <w:color w:val="auto"/>
        </w:rPr>
      </w:pPr>
      <w:r>
        <w:rPr>
          <w:rFonts w:ascii="Arial" w:cs="Arial" w:eastAsia="Arial" w:hAnsi="Arial"/>
          <w:sz w:val="12"/>
          <w:szCs w:val="12"/>
          <w:color w:val="auto"/>
        </w:rPr>
        <w:t>2020 Form 10-K Page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365125</wp:posOffset>
            </wp:positionV>
            <wp:extent cx="5680075" cy="196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80075" cy="19685"/>
                    </a:xfrm>
                    <a:prstGeom prst="rect">
                      <a:avLst/>
                    </a:prstGeom>
                    <a:noFill/>
                  </pic:spPr>
                </pic:pic>
              </a:graphicData>
            </a:graphic>
          </wp:anchor>
        </w:drawing>
      </w:r>
    </w:p>
    <w:p>
      <w:pPr>
        <w:sectPr>
          <w:pgSz w:w="11900" w:h="16838" w:orient="portrait"/>
          <w:cols w:equalWidth="0" w:num="1">
            <w:col w:w="9019"/>
          </w:cols>
          <w:pgMar w:left="1440" w:top="995" w:right="1440" w:bottom="1440" w:gutter="0" w:footer="0" w:header="0"/>
        </w:sectPr>
      </w:pPr>
    </w:p>
    <w:bookmarkStart w:id="57" w:name="page58"/>
    <w:bookmarkEnd w:id="57"/>
    <w:p>
      <w:pPr>
        <w:ind w:left="27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2992755</wp:posOffset>
            </wp:positionH>
            <wp:positionV relativeFrom="page">
              <wp:posOffset>375285</wp:posOffset>
            </wp:positionV>
            <wp:extent cx="1563370" cy="169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1563370" cy="169545"/>
                    </a:xfrm>
                    <a:prstGeom prst="rect">
                      <a:avLst/>
                    </a:prstGeom>
                    <a:noFill/>
                  </pic:spPr>
                </pic:pic>
              </a:graphicData>
            </a:graphic>
          </wp:anchor>
        </w:drawing>
        <w:t>NOTES TO CONSOLIDATED FINANCIAL STATEMENTS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12. Long-Term Debt and Obligations Under Finance Leases</w:t>
      </w:r>
    </w:p>
    <w:p>
      <w:pPr>
        <w:spacing w:after="0" w:line="106"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components of long-term debt and obligations under finance leases are as follows:</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640" w:type="dxa"/>
            <w:vAlign w:val="bottom"/>
          </w:tcPr>
          <w:p>
            <w:pPr>
              <w:spacing w:after="0"/>
              <w:rPr>
                <w:sz w:val="13"/>
                <w:szCs w:val="13"/>
                <w:color w:val="auto"/>
              </w:rPr>
            </w:pPr>
          </w:p>
        </w:tc>
        <w:tc>
          <w:tcPr>
            <w:tcW w:w="2320" w:type="dxa"/>
            <w:vAlign w:val="bottom"/>
          </w:tcPr>
          <w:p>
            <w:pPr>
              <w:jc w:val="right"/>
              <w:spacing w:after="0"/>
              <w:rPr>
                <w:sz w:val="20"/>
                <w:szCs w:val="20"/>
                <w:color w:val="auto"/>
              </w:rPr>
            </w:pPr>
            <w:r>
              <w:rPr>
                <w:rFonts w:ascii="Arial" w:cs="Arial" w:eastAsia="Arial" w:hAnsi="Arial"/>
                <w:sz w:val="13"/>
                <w:szCs w:val="13"/>
                <w:b w:val="1"/>
                <w:bCs w:val="1"/>
                <w:color w:val="auto"/>
              </w:rPr>
              <w:t>January 30,</w:t>
            </w: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ind w:right="335"/>
              <w:spacing w:after="0"/>
              <w:rPr>
                <w:sz w:val="20"/>
                <w:szCs w:val="20"/>
                <w:color w:val="auto"/>
              </w:rPr>
            </w:pPr>
            <w:r>
              <w:rPr>
                <w:rFonts w:ascii="Arial" w:cs="Arial" w:eastAsia="Arial" w:hAnsi="Arial"/>
                <w:sz w:val="13"/>
                <w:szCs w:val="13"/>
                <w:color w:val="auto"/>
              </w:rPr>
              <w:t>February 1,</w:t>
            </w:r>
          </w:p>
        </w:tc>
      </w:tr>
      <w:tr>
        <w:trPr>
          <w:trHeight w:val="164"/>
        </w:trPr>
        <w:tc>
          <w:tcPr>
            <w:tcW w:w="46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 in millions)</w:t>
            </w:r>
          </w:p>
        </w:tc>
        <w:tc>
          <w:tcPr>
            <w:tcW w:w="232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b w:val="1"/>
                <w:bCs w:val="1"/>
                <w:color w:val="auto"/>
              </w:rPr>
              <w:t>2021</w:t>
            </w:r>
          </w:p>
        </w:tc>
        <w:tc>
          <w:tcPr>
            <w:tcW w:w="4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3"/>
                <w:szCs w:val="13"/>
                <w:color w:val="auto"/>
              </w:rPr>
              <w:t>2020</w:t>
            </w:r>
          </w:p>
        </w:tc>
      </w:tr>
      <w:tr>
        <w:trPr>
          <w:trHeight w:val="134"/>
        </w:trPr>
        <w:tc>
          <w:tcPr>
            <w:tcW w:w="464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8.5% debentures payable January 2022</w:t>
            </w:r>
          </w:p>
        </w:tc>
        <w:tc>
          <w:tcPr>
            <w:tcW w:w="2320" w:type="dxa"/>
            <w:vAlign w:val="bottom"/>
            <w:shd w:val="clear" w:color="auto" w:fill="CCEEFF"/>
          </w:tcPr>
          <w:p>
            <w:pPr>
              <w:jc w:val="right"/>
              <w:ind w:right="975"/>
              <w:spacing w:after="0" w:line="134" w:lineRule="exact"/>
              <w:rPr>
                <w:sz w:val="20"/>
                <w:szCs w:val="20"/>
                <w:color w:val="auto"/>
              </w:rPr>
            </w:pPr>
            <w:r>
              <w:rPr>
                <w:rFonts w:ascii="Arial" w:cs="Arial" w:eastAsia="Arial" w:hAnsi="Arial"/>
                <w:sz w:val="13"/>
                <w:szCs w:val="13"/>
                <w:b w:val="1"/>
                <w:bCs w:val="1"/>
                <w:color w:val="auto"/>
              </w:rPr>
              <w:t>$</w:t>
            </w:r>
          </w:p>
        </w:tc>
        <w:tc>
          <w:tcPr>
            <w:tcW w:w="400" w:type="dxa"/>
            <w:vAlign w:val="bottom"/>
            <w:shd w:val="clear" w:color="auto" w:fill="CCEEFF"/>
          </w:tcPr>
          <w:p>
            <w:pPr>
              <w:jc w:val="right"/>
              <w:ind w:right="75"/>
              <w:spacing w:after="0" w:line="134" w:lineRule="exact"/>
              <w:rPr>
                <w:sz w:val="20"/>
                <w:szCs w:val="20"/>
                <w:color w:val="auto"/>
              </w:rPr>
            </w:pPr>
            <w:r>
              <w:rPr>
                <w:rFonts w:ascii="Arial" w:cs="Arial" w:eastAsia="Arial" w:hAnsi="Arial"/>
                <w:sz w:val="13"/>
                <w:szCs w:val="13"/>
                <w:b w:val="1"/>
                <w:bCs w:val="1"/>
                <w:color w:val="auto"/>
              </w:rPr>
              <w:t>98</w:t>
            </w:r>
          </w:p>
        </w:tc>
        <w:tc>
          <w:tcPr>
            <w:tcW w:w="360" w:type="dxa"/>
            <w:vAlign w:val="bottom"/>
            <w:shd w:val="clear" w:color="auto" w:fill="CCEEFF"/>
          </w:tcPr>
          <w:p>
            <w:pPr>
              <w:jc w:val="right"/>
              <w:ind w:right="75"/>
              <w:spacing w:after="0" w:line="134" w:lineRule="exact"/>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118</w:t>
            </w:r>
          </w:p>
        </w:tc>
      </w:tr>
      <w:tr>
        <w:trPr>
          <w:trHeight w:val="144"/>
        </w:trPr>
        <w:tc>
          <w:tcPr>
            <w:tcW w:w="4640" w:type="dxa"/>
            <w:vAlign w:val="bottom"/>
          </w:tcPr>
          <w:p>
            <w:pPr>
              <w:spacing w:after="0" w:line="144" w:lineRule="exact"/>
              <w:rPr>
                <w:sz w:val="20"/>
                <w:szCs w:val="20"/>
                <w:color w:val="auto"/>
              </w:rPr>
            </w:pPr>
            <w:r>
              <w:rPr>
                <w:rFonts w:ascii="Arial" w:cs="Arial" w:eastAsia="Arial" w:hAnsi="Arial"/>
                <w:sz w:val="11"/>
                <w:szCs w:val="11"/>
                <w:color w:val="auto"/>
              </w:rPr>
              <w:t xml:space="preserve">Unamortized gain related to interest rate swaps </w:t>
            </w:r>
            <w:r>
              <w:rPr>
                <w:rFonts w:ascii="Arial" w:cs="Arial" w:eastAsia="Arial" w:hAnsi="Arial"/>
                <w:sz w:val="16"/>
                <w:szCs w:val="16"/>
                <w:color w:val="auto"/>
                <w:vertAlign w:val="superscript"/>
              </w:rPr>
              <w:t>(1)</w:t>
            </w:r>
          </w:p>
        </w:tc>
        <w:tc>
          <w:tcPr>
            <w:tcW w:w="2320" w:type="dxa"/>
            <w:vAlign w:val="bottom"/>
          </w:tcPr>
          <w:p>
            <w:pPr>
              <w:spacing w:after="0"/>
              <w:rPr>
                <w:sz w:val="12"/>
                <w:szCs w:val="12"/>
                <w:color w:val="auto"/>
              </w:rPr>
            </w:pPr>
          </w:p>
        </w:tc>
        <w:tc>
          <w:tcPr>
            <w:tcW w:w="400" w:type="dxa"/>
            <w:vAlign w:val="bottom"/>
          </w:tcPr>
          <w:p>
            <w:pPr>
              <w:jc w:val="right"/>
              <w:ind w:right="75"/>
              <w:spacing w:after="0" w:line="144" w:lineRule="exact"/>
              <w:rPr>
                <w:sz w:val="20"/>
                <w:szCs w:val="20"/>
                <w:color w:val="auto"/>
              </w:rPr>
            </w:pPr>
            <w:r>
              <w:rPr>
                <w:rFonts w:ascii="Arial" w:cs="Arial" w:eastAsia="Arial" w:hAnsi="Arial"/>
                <w:sz w:val="13"/>
                <w:szCs w:val="13"/>
                <w:b w:val="1"/>
                <w:bCs w:val="1"/>
                <w:color w:val="auto"/>
              </w:rPr>
              <w:t>2</w:t>
            </w:r>
          </w:p>
        </w:tc>
        <w:tc>
          <w:tcPr>
            <w:tcW w:w="360" w:type="dxa"/>
            <w:vAlign w:val="bottom"/>
          </w:tcPr>
          <w:p>
            <w:pPr>
              <w:spacing w:after="0"/>
              <w:rPr>
                <w:sz w:val="12"/>
                <w:szCs w:val="12"/>
                <w:color w:val="auto"/>
              </w:rPr>
            </w:pPr>
          </w:p>
        </w:tc>
        <w:tc>
          <w:tcPr>
            <w:tcW w:w="1220" w:type="dxa"/>
            <w:vAlign w:val="bottom"/>
          </w:tcPr>
          <w:p>
            <w:pPr>
              <w:jc w:val="right"/>
              <w:spacing w:after="0" w:line="144" w:lineRule="exact"/>
              <w:rPr>
                <w:sz w:val="20"/>
                <w:szCs w:val="20"/>
                <w:color w:val="auto"/>
              </w:rPr>
            </w:pPr>
            <w:r>
              <w:rPr>
                <w:rFonts w:ascii="Arial" w:cs="Arial" w:eastAsia="Arial" w:hAnsi="Arial"/>
                <w:sz w:val="13"/>
                <w:szCs w:val="13"/>
                <w:color w:val="auto"/>
              </w:rPr>
              <w:t>4</w:t>
            </w:r>
          </w:p>
        </w:tc>
      </w:tr>
      <w:tr>
        <w:trPr>
          <w:trHeight w:val="144"/>
        </w:trPr>
        <w:tc>
          <w:tcPr>
            <w:tcW w:w="4640" w:type="dxa"/>
            <w:vAlign w:val="bottom"/>
            <w:tcBorders>
              <w:bottom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rPr>
              <w:t>Obligations under finance leases</w:t>
            </w:r>
          </w:p>
        </w:tc>
        <w:tc>
          <w:tcPr>
            <w:tcW w:w="232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ind w:right="75"/>
              <w:spacing w:after="0" w:line="144" w:lineRule="exact"/>
              <w:rPr>
                <w:sz w:val="20"/>
                <w:szCs w:val="20"/>
                <w:color w:val="auto"/>
              </w:rPr>
            </w:pPr>
            <w:r>
              <w:rPr>
                <w:rFonts w:ascii="Arial" w:cs="Arial" w:eastAsia="Arial" w:hAnsi="Arial"/>
                <w:sz w:val="13"/>
                <w:szCs w:val="13"/>
                <w:b w:val="1"/>
                <w:bCs w:val="1"/>
                <w:color w:val="auto"/>
              </w:rPr>
              <w:t>10</w:t>
            </w:r>
          </w:p>
        </w:tc>
        <w:tc>
          <w:tcPr>
            <w:tcW w:w="36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r>
      <w:tr>
        <w:trPr>
          <w:trHeight w:val="134"/>
        </w:trPr>
        <w:tc>
          <w:tcPr>
            <w:tcW w:w="4640" w:type="dxa"/>
            <w:vAlign w:val="bottom"/>
          </w:tcPr>
          <w:p>
            <w:pPr>
              <w:spacing w:after="0"/>
              <w:rPr>
                <w:sz w:val="11"/>
                <w:szCs w:val="11"/>
                <w:color w:val="auto"/>
              </w:rPr>
            </w:pPr>
          </w:p>
        </w:tc>
        <w:tc>
          <w:tcPr>
            <w:tcW w:w="2320" w:type="dxa"/>
            <w:vAlign w:val="bottom"/>
          </w:tcPr>
          <w:p>
            <w:pPr>
              <w:jc w:val="right"/>
              <w:ind w:right="975"/>
              <w:spacing w:after="0" w:line="134" w:lineRule="exact"/>
              <w:rPr>
                <w:sz w:val="20"/>
                <w:szCs w:val="20"/>
                <w:color w:val="auto"/>
              </w:rPr>
            </w:pPr>
            <w:r>
              <w:rPr>
                <w:rFonts w:ascii="Arial" w:cs="Arial" w:eastAsia="Arial" w:hAnsi="Arial"/>
                <w:sz w:val="13"/>
                <w:szCs w:val="13"/>
                <w:b w:val="1"/>
                <w:bCs w:val="1"/>
                <w:color w:val="auto"/>
              </w:rPr>
              <w:t>$</w:t>
            </w:r>
          </w:p>
        </w:tc>
        <w:tc>
          <w:tcPr>
            <w:tcW w:w="400" w:type="dxa"/>
            <w:vAlign w:val="bottom"/>
          </w:tcPr>
          <w:p>
            <w:pPr>
              <w:jc w:val="right"/>
              <w:ind w:right="75"/>
              <w:spacing w:after="0" w:line="134" w:lineRule="exact"/>
              <w:rPr>
                <w:sz w:val="20"/>
                <w:szCs w:val="20"/>
                <w:color w:val="auto"/>
              </w:rPr>
            </w:pPr>
            <w:r>
              <w:rPr>
                <w:rFonts w:ascii="Arial" w:cs="Arial" w:eastAsia="Arial" w:hAnsi="Arial"/>
                <w:sz w:val="13"/>
                <w:szCs w:val="13"/>
                <w:b w:val="1"/>
                <w:bCs w:val="1"/>
                <w:color w:val="auto"/>
              </w:rPr>
              <w:t>110</w:t>
            </w:r>
          </w:p>
        </w:tc>
        <w:tc>
          <w:tcPr>
            <w:tcW w:w="360" w:type="dxa"/>
            <w:vAlign w:val="bottom"/>
          </w:tcPr>
          <w:p>
            <w:pPr>
              <w:jc w:val="right"/>
              <w:ind w:right="75"/>
              <w:spacing w:after="0" w:line="134" w:lineRule="exact"/>
              <w:rPr>
                <w:sz w:val="20"/>
                <w:szCs w:val="20"/>
                <w:color w:val="auto"/>
              </w:rPr>
            </w:pPr>
            <w:r>
              <w:rPr>
                <w:rFonts w:ascii="Arial" w:cs="Arial" w:eastAsia="Arial" w:hAnsi="Arial"/>
                <w:sz w:val="13"/>
                <w:szCs w:val="13"/>
                <w:color w:val="auto"/>
              </w:rPr>
              <w:t>$</w:t>
            </w:r>
          </w:p>
        </w:tc>
        <w:tc>
          <w:tcPr>
            <w:tcW w:w="1220" w:type="dxa"/>
            <w:vAlign w:val="bottom"/>
          </w:tcPr>
          <w:p>
            <w:pPr>
              <w:jc w:val="right"/>
              <w:spacing w:after="0" w:line="134" w:lineRule="exact"/>
              <w:rPr>
                <w:sz w:val="20"/>
                <w:szCs w:val="20"/>
                <w:color w:val="auto"/>
              </w:rPr>
            </w:pPr>
            <w:r>
              <w:rPr>
                <w:rFonts w:ascii="Arial" w:cs="Arial" w:eastAsia="Arial" w:hAnsi="Arial"/>
                <w:sz w:val="13"/>
                <w:szCs w:val="13"/>
                <w:color w:val="auto"/>
              </w:rPr>
              <w:t>122</w:t>
            </w:r>
          </w:p>
        </w:tc>
      </w:tr>
      <w:tr>
        <w:trPr>
          <w:trHeight w:val="144"/>
        </w:trPr>
        <w:tc>
          <w:tcPr>
            <w:tcW w:w="4640" w:type="dxa"/>
            <w:vAlign w:val="bottom"/>
            <w:tcBorders>
              <w:bottom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rPr>
              <w:t>Current portion of debt and obligations under finance leases</w:t>
            </w:r>
          </w:p>
        </w:tc>
        <w:tc>
          <w:tcPr>
            <w:tcW w:w="232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ind w:right="75"/>
              <w:spacing w:after="0" w:line="144" w:lineRule="exact"/>
              <w:rPr>
                <w:sz w:val="20"/>
                <w:szCs w:val="20"/>
                <w:color w:val="auto"/>
              </w:rPr>
            </w:pPr>
            <w:r>
              <w:rPr>
                <w:rFonts w:ascii="Arial" w:cs="Arial" w:eastAsia="Arial" w:hAnsi="Arial"/>
                <w:sz w:val="13"/>
                <w:szCs w:val="13"/>
                <w:b w:val="1"/>
                <w:bCs w:val="1"/>
                <w:color w:val="auto"/>
              </w:rPr>
              <w:t>102</w:t>
            </w:r>
          </w:p>
        </w:tc>
        <w:tc>
          <w:tcPr>
            <w:tcW w:w="36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r>
      <w:tr>
        <w:trPr>
          <w:trHeight w:val="134"/>
        </w:trPr>
        <w:tc>
          <w:tcPr>
            <w:tcW w:w="4640" w:type="dxa"/>
            <w:vAlign w:val="bottom"/>
            <w:tcBorders>
              <w:bottom w:val="single" w:sz="8" w:color="auto"/>
            </w:tcBorders>
          </w:tcPr>
          <w:p>
            <w:pPr>
              <w:spacing w:after="0"/>
              <w:rPr>
                <w:sz w:val="11"/>
                <w:szCs w:val="11"/>
                <w:color w:val="auto"/>
              </w:rPr>
            </w:pPr>
          </w:p>
        </w:tc>
        <w:tc>
          <w:tcPr>
            <w:tcW w:w="2320" w:type="dxa"/>
            <w:vAlign w:val="bottom"/>
            <w:tcBorders>
              <w:bottom w:val="single" w:sz="8" w:color="auto"/>
            </w:tcBorders>
          </w:tcPr>
          <w:p>
            <w:pPr>
              <w:jc w:val="right"/>
              <w:ind w:right="975"/>
              <w:spacing w:after="0" w:line="134" w:lineRule="exact"/>
              <w:rPr>
                <w:sz w:val="20"/>
                <w:szCs w:val="20"/>
                <w:color w:val="auto"/>
              </w:rPr>
            </w:pPr>
            <w:r>
              <w:rPr>
                <w:rFonts w:ascii="Arial" w:cs="Arial" w:eastAsia="Arial" w:hAnsi="Arial"/>
                <w:sz w:val="13"/>
                <w:szCs w:val="13"/>
                <w:b w:val="1"/>
                <w:bCs w:val="1"/>
                <w:color w:val="auto"/>
              </w:rPr>
              <w:t>$</w:t>
            </w:r>
          </w:p>
        </w:tc>
        <w:tc>
          <w:tcPr>
            <w:tcW w:w="400" w:type="dxa"/>
            <w:vAlign w:val="bottom"/>
            <w:tcBorders>
              <w:bottom w:val="single" w:sz="8" w:color="auto"/>
            </w:tcBorders>
          </w:tcPr>
          <w:p>
            <w:pPr>
              <w:jc w:val="right"/>
              <w:ind w:right="75"/>
              <w:spacing w:after="0" w:line="134" w:lineRule="exact"/>
              <w:rPr>
                <w:sz w:val="20"/>
                <w:szCs w:val="20"/>
                <w:color w:val="auto"/>
              </w:rPr>
            </w:pPr>
            <w:r>
              <w:rPr>
                <w:rFonts w:ascii="Arial" w:cs="Arial" w:eastAsia="Arial" w:hAnsi="Arial"/>
                <w:sz w:val="13"/>
                <w:szCs w:val="13"/>
                <w:b w:val="1"/>
                <w:bCs w:val="1"/>
                <w:color w:val="auto"/>
              </w:rPr>
              <w:t>8</w:t>
            </w:r>
          </w:p>
        </w:tc>
        <w:tc>
          <w:tcPr>
            <w:tcW w:w="360" w:type="dxa"/>
            <w:vAlign w:val="bottom"/>
            <w:tcBorders>
              <w:bottom w:val="single" w:sz="8" w:color="auto"/>
            </w:tcBorders>
          </w:tcPr>
          <w:p>
            <w:pPr>
              <w:jc w:val="right"/>
              <w:ind w:right="75"/>
              <w:spacing w:after="0" w:line="134" w:lineRule="exact"/>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122</w:t>
            </w:r>
          </w:p>
        </w:tc>
      </w:tr>
      <w:tr>
        <w:trPr>
          <w:trHeight w:val="20"/>
        </w:trPr>
        <w:tc>
          <w:tcPr>
            <w:tcW w:w="464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280" w:hanging="250"/>
        <w:spacing w:after="0"/>
        <w:tabs>
          <w:tab w:leader="none" w:pos="280" w:val="left"/>
        </w:tabs>
        <w:numPr>
          <w:ilvl w:val="0"/>
          <w:numId w:val="21"/>
        </w:numPr>
        <w:rPr>
          <w:rFonts w:ascii="Arial" w:cs="Arial" w:eastAsia="Arial" w:hAnsi="Arial"/>
          <w:sz w:val="10"/>
          <w:szCs w:val="10"/>
          <w:color w:val="auto"/>
        </w:rPr>
      </w:pPr>
      <w:r>
        <w:rPr>
          <w:rFonts w:ascii="Arial" w:cs="Arial" w:eastAsia="Arial" w:hAnsi="Arial"/>
          <w:sz w:val="10"/>
          <w:szCs w:val="10"/>
          <w:color w:val="auto"/>
        </w:rPr>
        <w:t>In 2009, we terminated an interest rate swap at a gain. This gain is being amortized as part of interest expense over the remaining term of the debt using the effective-yield method.</w:t>
      </w:r>
    </w:p>
    <w:p>
      <w:pPr>
        <w:spacing w:after="0" w:line="86" w:lineRule="exact"/>
        <w:rPr>
          <w:sz w:val="20"/>
          <w:szCs w:val="20"/>
          <w:color w:val="auto"/>
        </w:rPr>
      </w:pPr>
    </w:p>
    <w:p>
      <w:pPr>
        <w:jc w:val="both"/>
        <w:ind w:left="20" w:right="39"/>
        <w:spacing w:after="0" w:line="236" w:lineRule="auto"/>
        <w:rPr>
          <w:sz w:val="20"/>
          <w:szCs w:val="20"/>
          <w:color w:val="auto"/>
        </w:rPr>
      </w:pPr>
      <w:r>
        <w:rPr>
          <w:rFonts w:ascii="Arial" w:cs="Arial" w:eastAsia="Arial" w:hAnsi="Arial"/>
          <w:sz w:val="13"/>
          <w:szCs w:val="13"/>
          <w:color w:val="auto"/>
        </w:rPr>
        <w:t>During 2020, we purchased and retired $20 million of our 8.5 percent debentures for $22 million. The remaining principal balance of $98 million is classified as a current liability as of January 30, 2021. Interest expense related to long-term debt and the amortization of the associated debt issuance costs was $8 million for 2020, 2019, and 2018.</w:t>
      </w:r>
    </w:p>
    <w:p>
      <w:pPr>
        <w:spacing w:after="0" w:line="107"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4480" w:type="dxa"/>
            <w:vAlign w:val="bottom"/>
            <w:gridSpan w:val="2"/>
          </w:tcPr>
          <w:p>
            <w:pPr>
              <w:spacing w:after="0"/>
              <w:rPr>
                <w:sz w:val="20"/>
                <w:szCs w:val="20"/>
                <w:color w:val="auto"/>
              </w:rPr>
            </w:pPr>
            <w:r>
              <w:rPr>
                <w:rFonts w:ascii="Arial" w:cs="Arial" w:eastAsia="Arial" w:hAnsi="Arial"/>
                <w:sz w:val="13"/>
                <w:szCs w:val="13"/>
                <w:b w:val="1"/>
                <w:bCs w:val="1"/>
                <w:color w:val="auto"/>
              </w:rPr>
              <w:t>13. Other Liabilities</w:t>
            </w:r>
          </w:p>
        </w:tc>
        <w:tc>
          <w:tcPr>
            <w:tcW w:w="2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18"/>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520" w:type="dxa"/>
            <w:vAlign w:val="bottom"/>
          </w:tcPr>
          <w:p>
            <w:pPr>
              <w:jc w:val="right"/>
              <w:spacing w:after="0"/>
              <w:rPr>
                <w:sz w:val="20"/>
                <w:szCs w:val="20"/>
                <w:color w:val="auto"/>
              </w:rPr>
            </w:pPr>
            <w:r>
              <w:rPr>
                <w:rFonts w:ascii="Arial" w:cs="Arial" w:eastAsia="Arial" w:hAnsi="Arial"/>
                <w:sz w:val="13"/>
                <w:szCs w:val="13"/>
                <w:b w:val="1"/>
                <w:bCs w:val="1"/>
                <w:color w:val="auto"/>
              </w:rPr>
              <w:t>January 30,</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335"/>
              <w:spacing w:after="0"/>
              <w:rPr>
                <w:sz w:val="20"/>
                <w:szCs w:val="20"/>
                <w:color w:val="auto"/>
              </w:rPr>
            </w:pPr>
            <w:r>
              <w:rPr>
                <w:rFonts w:ascii="Arial" w:cs="Arial" w:eastAsia="Arial" w:hAnsi="Arial"/>
                <w:sz w:val="13"/>
                <w:szCs w:val="13"/>
                <w:color w:val="auto"/>
              </w:rPr>
              <w:t>February 1,</w:t>
            </w:r>
          </w:p>
        </w:tc>
      </w:tr>
      <w:tr>
        <w:trPr>
          <w:trHeight w:val="164"/>
        </w:trPr>
        <w:tc>
          <w:tcPr>
            <w:tcW w:w="4480" w:type="dxa"/>
            <w:vAlign w:val="bottom"/>
            <w:gridSpan w:val="2"/>
          </w:tcPr>
          <w:p>
            <w:pPr>
              <w:ind w:left="20"/>
              <w:spacing w:after="0"/>
              <w:rPr>
                <w:sz w:val="20"/>
                <w:szCs w:val="20"/>
                <w:color w:val="auto"/>
              </w:rPr>
            </w:pPr>
            <w:r>
              <w:rPr>
                <w:rFonts w:ascii="Arial" w:cs="Arial" w:eastAsia="Arial" w:hAnsi="Arial"/>
                <w:sz w:val="13"/>
                <w:szCs w:val="13"/>
                <w:color w:val="auto"/>
              </w:rPr>
              <w:t>($ in millions)</w:t>
            </w:r>
          </w:p>
        </w:tc>
        <w:tc>
          <w:tcPr>
            <w:tcW w:w="2520" w:type="dxa"/>
            <w:vAlign w:val="bottom"/>
          </w:tcPr>
          <w:p>
            <w:pPr>
              <w:jc w:val="right"/>
              <w:ind w:right="175"/>
              <w:spacing w:after="0"/>
              <w:rPr>
                <w:sz w:val="20"/>
                <w:szCs w:val="20"/>
                <w:color w:val="auto"/>
              </w:rPr>
            </w:pPr>
            <w:r>
              <w:rPr>
                <w:rFonts w:ascii="Arial" w:cs="Arial" w:eastAsia="Arial" w:hAnsi="Arial"/>
                <w:sz w:val="13"/>
                <w:szCs w:val="13"/>
                <w:b w:val="1"/>
                <w:bCs w:val="1"/>
                <w:color w:val="auto"/>
              </w:rPr>
              <w:t>2021</w:t>
            </w: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ind w:right="495"/>
              <w:spacing w:after="0"/>
              <w:rPr>
                <w:sz w:val="20"/>
                <w:szCs w:val="20"/>
                <w:color w:val="auto"/>
              </w:rPr>
            </w:pPr>
            <w:r>
              <w:rPr>
                <w:rFonts w:ascii="Arial" w:cs="Arial" w:eastAsia="Arial" w:hAnsi="Arial"/>
                <w:sz w:val="13"/>
                <w:szCs w:val="13"/>
                <w:color w:val="auto"/>
              </w:rPr>
              <w:t>2020</w:t>
            </w:r>
          </w:p>
        </w:tc>
      </w:tr>
      <w:tr>
        <w:trPr>
          <w:trHeight w:val="134"/>
        </w:trPr>
        <w:tc>
          <w:tcPr>
            <w:tcW w:w="20" w:type="dxa"/>
            <w:vAlign w:val="bottom"/>
          </w:tcPr>
          <w:p>
            <w:pPr>
              <w:spacing w:after="0"/>
              <w:rPr>
                <w:sz w:val="11"/>
                <w:szCs w:val="11"/>
                <w:color w:val="auto"/>
              </w:rPr>
            </w:pPr>
          </w:p>
        </w:tc>
        <w:tc>
          <w:tcPr>
            <w:tcW w:w="4460" w:type="dxa"/>
            <w:vAlign w:val="bottom"/>
            <w:tcBorders>
              <w:top w:val="single" w:sz="8" w:color="auto"/>
            </w:tcBorders>
            <w:shd w:val="clear" w:color="auto" w:fill="CCEEFF"/>
          </w:tcPr>
          <w:p>
            <w:pPr>
              <w:spacing w:after="0" w:line="134" w:lineRule="exact"/>
              <w:rPr>
                <w:sz w:val="20"/>
                <w:szCs w:val="20"/>
                <w:color w:val="auto"/>
              </w:rPr>
            </w:pPr>
            <w:r>
              <w:rPr>
                <w:rFonts w:ascii="Arial" w:cs="Arial" w:eastAsia="Arial" w:hAnsi="Arial"/>
                <w:sz w:val="13"/>
                <w:szCs w:val="13"/>
                <w:color w:val="auto"/>
              </w:rPr>
              <w:t>Pension benefits</w:t>
            </w:r>
          </w:p>
        </w:tc>
        <w:tc>
          <w:tcPr>
            <w:tcW w:w="2520" w:type="dxa"/>
            <w:vAlign w:val="bottom"/>
            <w:tcBorders>
              <w:top w:val="single" w:sz="8" w:color="auto"/>
            </w:tcBorders>
            <w:shd w:val="clear" w:color="auto" w:fill="CCEEFF"/>
          </w:tcPr>
          <w:p>
            <w:pPr>
              <w:jc w:val="right"/>
              <w:ind w:right="955"/>
              <w:spacing w:after="0" w:line="134" w:lineRule="exact"/>
              <w:rPr>
                <w:sz w:val="20"/>
                <w:szCs w:val="20"/>
                <w:color w:val="auto"/>
              </w:rPr>
            </w:pPr>
            <w:r>
              <w:rPr>
                <w:rFonts w:ascii="Arial" w:cs="Arial" w:eastAsia="Arial" w:hAnsi="Arial"/>
                <w:sz w:val="13"/>
                <w:szCs w:val="13"/>
                <w:b w:val="1"/>
                <w:bCs w:val="1"/>
                <w:color w:val="auto"/>
              </w:rPr>
              <w:t>$</w:t>
            </w:r>
          </w:p>
        </w:tc>
        <w:tc>
          <w:tcPr>
            <w:tcW w:w="400" w:type="dxa"/>
            <w:vAlign w:val="bottom"/>
            <w:tcBorders>
              <w:top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b w:val="1"/>
                <w:bCs w:val="1"/>
                <w:color w:val="auto"/>
              </w:rPr>
              <w:t>38</w:t>
            </w:r>
          </w:p>
        </w:tc>
        <w:tc>
          <w:tcPr>
            <w:tcW w:w="360" w:type="dxa"/>
            <w:vAlign w:val="bottom"/>
            <w:tcBorders>
              <w:top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color w:val="auto"/>
              </w:rPr>
              <w:t>$</w:t>
            </w:r>
          </w:p>
        </w:tc>
        <w:tc>
          <w:tcPr>
            <w:tcW w:w="120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61</w:t>
            </w:r>
          </w:p>
        </w:tc>
      </w:tr>
      <w:tr>
        <w:trPr>
          <w:trHeight w:val="144"/>
        </w:trPr>
        <w:tc>
          <w:tcPr>
            <w:tcW w:w="20" w:type="dxa"/>
            <w:vAlign w:val="bottom"/>
          </w:tcPr>
          <w:p>
            <w:pPr>
              <w:spacing w:after="0"/>
              <w:rPr>
                <w:sz w:val="12"/>
                <w:szCs w:val="12"/>
                <w:color w:val="auto"/>
              </w:rPr>
            </w:pPr>
          </w:p>
        </w:tc>
        <w:tc>
          <w:tcPr>
            <w:tcW w:w="4460" w:type="dxa"/>
            <w:vAlign w:val="bottom"/>
          </w:tcPr>
          <w:p>
            <w:pPr>
              <w:spacing w:after="0" w:line="144" w:lineRule="exact"/>
              <w:rPr>
                <w:sz w:val="20"/>
                <w:szCs w:val="20"/>
                <w:color w:val="auto"/>
              </w:rPr>
            </w:pPr>
            <w:r>
              <w:rPr>
                <w:rFonts w:ascii="Arial" w:cs="Arial" w:eastAsia="Arial" w:hAnsi="Arial"/>
                <w:sz w:val="13"/>
                <w:szCs w:val="13"/>
                <w:color w:val="auto"/>
              </w:rPr>
              <w:t>Income taxes</w:t>
            </w:r>
          </w:p>
        </w:tc>
        <w:tc>
          <w:tcPr>
            <w:tcW w:w="2520" w:type="dxa"/>
            <w:vAlign w:val="bottom"/>
          </w:tcPr>
          <w:p>
            <w:pPr>
              <w:spacing w:after="0"/>
              <w:rPr>
                <w:sz w:val="12"/>
                <w:szCs w:val="12"/>
                <w:color w:val="auto"/>
              </w:rPr>
            </w:pPr>
          </w:p>
        </w:tc>
        <w:tc>
          <w:tcPr>
            <w:tcW w:w="400" w:type="dxa"/>
            <w:vAlign w:val="bottom"/>
          </w:tcPr>
          <w:p>
            <w:pPr>
              <w:jc w:val="right"/>
              <w:ind w:right="75"/>
              <w:spacing w:after="0" w:line="144" w:lineRule="exact"/>
              <w:rPr>
                <w:sz w:val="20"/>
                <w:szCs w:val="20"/>
                <w:color w:val="auto"/>
              </w:rPr>
            </w:pPr>
            <w:r>
              <w:rPr>
                <w:rFonts w:ascii="Arial" w:cs="Arial" w:eastAsia="Arial" w:hAnsi="Arial"/>
                <w:sz w:val="13"/>
                <w:szCs w:val="13"/>
                <w:b w:val="1"/>
                <w:bCs w:val="1"/>
                <w:color w:val="auto"/>
              </w:rPr>
              <w:t>31</w:t>
            </w:r>
          </w:p>
        </w:tc>
        <w:tc>
          <w:tcPr>
            <w:tcW w:w="360" w:type="dxa"/>
            <w:vAlign w:val="bottom"/>
          </w:tcPr>
          <w:p>
            <w:pPr>
              <w:spacing w:after="0"/>
              <w:rPr>
                <w:sz w:val="12"/>
                <w:szCs w:val="12"/>
                <w:color w:val="auto"/>
              </w:rPr>
            </w:pPr>
          </w:p>
        </w:tc>
        <w:tc>
          <w:tcPr>
            <w:tcW w:w="1200" w:type="dxa"/>
            <w:vAlign w:val="bottom"/>
          </w:tcPr>
          <w:p>
            <w:pPr>
              <w:jc w:val="right"/>
              <w:spacing w:after="0" w:line="144" w:lineRule="exact"/>
              <w:rPr>
                <w:sz w:val="20"/>
                <w:szCs w:val="20"/>
                <w:color w:val="auto"/>
              </w:rPr>
            </w:pPr>
            <w:r>
              <w:rPr>
                <w:rFonts w:ascii="Arial" w:cs="Arial" w:eastAsia="Arial" w:hAnsi="Arial"/>
                <w:sz w:val="13"/>
                <w:szCs w:val="13"/>
                <w:color w:val="auto"/>
              </w:rPr>
              <w:t>32</w:t>
            </w:r>
          </w:p>
        </w:tc>
      </w:tr>
      <w:tr>
        <w:trPr>
          <w:trHeight w:val="144"/>
        </w:trPr>
        <w:tc>
          <w:tcPr>
            <w:tcW w:w="20" w:type="dxa"/>
            <w:vAlign w:val="bottom"/>
          </w:tcPr>
          <w:p>
            <w:pPr>
              <w:spacing w:after="0"/>
              <w:rPr>
                <w:sz w:val="12"/>
                <w:szCs w:val="12"/>
                <w:color w:val="auto"/>
              </w:rPr>
            </w:pPr>
          </w:p>
        </w:tc>
        <w:tc>
          <w:tcPr>
            <w:tcW w:w="44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Postretirement benefits</w:t>
            </w:r>
          </w:p>
        </w:tc>
        <w:tc>
          <w:tcPr>
            <w:tcW w:w="252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b w:val="1"/>
                <w:bCs w:val="1"/>
                <w:color w:val="auto"/>
              </w:rPr>
              <w:t>12</w:t>
            </w: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10</w:t>
            </w:r>
          </w:p>
        </w:tc>
      </w:tr>
      <w:tr>
        <w:trPr>
          <w:trHeight w:val="144"/>
        </w:trPr>
        <w:tc>
          <w:tcPr>
            <w:tcW w:w="20" w:type="dxa"/>
            <w:vAlign w:val="bottom"/>
          </w:tcPr>
          <w:p>
            <w:pPr>
              <w:spacing w:after="0"/>
              <w:rPr>
                <w:sz w:val="12"/>
                <w:szCs w:val="12"/>
                <w:color w:val="auto"/>
              </w:rPr>
            </w:pPr>
          </w:p>
        </w:tc>
        <w:tc>
          <w:tcPr>
            <w:tcW w:w="4460" w:type="dxa"/>
            <w:vAlign w:val="bottom"/>
          </w:tcPr>
          <w:p>
            <w:pPr>
              <w:spacing w:after="0" w:line="144" w:lineRule="exact"/>
              <w:rPr>
                <w:sz w:val="20"/>
                <w:szCs w:val="20"/>
                <w:color w:val="auto"/>
              </w:rPr>
            </w:pPr>
            <w:r>
              <w:rPr>
                <w:rFonts w:ascii="Arial" w:cs="Arial" w:eastAsia="Arial" w:hAnsi="Arial"/>
                <w:sz w:val="13"/>
                <w:szCs w:val="13"/>
                <w:color w:val="auto"/>
              </w:rPr>
              <w:t>Workers’ compensation and general liability reserves</w:t>
            </w:r>
          </w:p>
        </w:tc>
        <w:tc>
          <w:tcPr>
            <w:tcW w:w="2520" w:type="dxa"/>
            <w:vAlign w:val="bottom"/>
          </w:tcPr>
          <w:p>
            <w:pPr>
              <w:spacing w:after="0"/>
              <w:rPr>
                <w:sz w:val="12"/>
                <w:szCs w:val="12"/>
                <w:color w:val="auto"/>
              </w:rPr>
            </w:pPr>
          </w:p>
        </w:tc>
        <w:tc>
          <w:tcPr>
            <w:tcW w:w="400" w:type="dxa"/>
            <w:vAlign w:val="bottom"/>
          </w:tcPr>
          <w:p>
            <w:pPr>
              <w:jc w:val="right"/>
              <w:ind w:right="75"/>
              <w:spacing w:after="0" w:line="144" w:lineRule="exact"/>
              <w:rPr>
                <w:sz w:val="20"/>
                <w:szCs w:val="20"/>
                <w:color w:val="auto"/>
              </w:rPr>
            </w:pPr>
            <w:r>
              <w:rPr>
                <w:rFonts w:ascii="Arial" w:cs="Arial" w:eastAsia="Arial" w:hAnsi="Arial"/>
                <w:sz w:val="13"/>
                <w:szCs w:val="13"/>
                <w:b w:val="1"/>
                <w:bCs w:val="1"/>
                <w:color w:val="auto"/>
              </w:rPr>
              <w:t>8</w:t>
            </w:r>
          </w:p>
        </w:tc>
        <w:tc>
          <w:tcPr>
            <w:tcW w:w="360" w:type="dxa"/>
            <w:vAlign w:val="bottom"/>
          </w:tcPr>
          <w:p>
            <w:pPr>
              <w:spacing w:after="0"/>
              <w:rPr>
                <w:sz w:val="12"/>
                <w:szCs w:val="12"/>
                <w:color w:val="auto"/>
              </w:rPr>
            </w:pPr>
          </w:p>
        </w:tc>
        <w:tc>
          <w:tcPr>
            <w:tcW w:w="1200" w:type="dxa"/>
            <w:vAlign w:val="bottom"/>
          </w:tcPr>
          <w:p>
            <w:pPr>
              <w:jc w:val="right"/>
              <w:spacing w:after="0" w:line="144" w:lineRule="exact"/>
              <w:rPr>
                <w:sz w:val="20"/>
                <w:szCs w:val="20"/>
                <w:color w:val="auto"/>
              </w:rPr>
            </w:pPr>
            <w:r>
              <w:rPr>
                <w:rFonts w:ascii="Arial" w:cs="Arial" w:eastAsia="Arial" w:hAnsi="Arial"/>
                <w:sz w:val="13"/>
                <w:szCs w:val="13"/>
                <w:color w:val="auto"/>
              </w:rPr>
              <w:t>8</w:t>
            </w:r>
          </w:p>
        </w:tc>
      </w:tr>
      <w:tr>
        <w:trPr>
          <w:trHeight w:val="144"/>
        </w:trPr>
        <w:tc>
          <w:tcPr>
            <w:tcW w:w="20" w:type="dxa"/>
            <w:vAlign w:val="bottom"/>
          </w:tcPr>
          <w:p>
            <w:pPr>
              <w:spacing w:after="0"/>
              <w:rPr>
                <w:sz w:val="12"/>
                <w:szCs w:val="12"/>
                <w:color w:val="auto"/>
              </w:rPr>
            </w:pPr>
          </w:p>
        </w:tc>
        <w:tc>
          <w:tcPr>
            <w:tcW w:w="446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Deferred taxes</w:t>
            </w:r>
          </w:p>
        </w:tc>
        <w:tc>
          <w:tcPr>
            <w:tcW w:w="252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b w:val="1"/>
                <w:bCs w:val="1"/>
                <w:color w:val="auto"/>
              </w:rPr>
              <w:t>18</w:t>
            </w: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w:t>
            </w:r>
          </w:p>
        </w:tc>
      </w:tr>
      <w:tr>
        <w:trPr>
          <w:trHeight w:val="144"/>
        </w:trPr>
        <w:tc>
          <w:tcPr>
            <w:tcW w:w="20" w:type="dxa"/>
            <w:vAlign w:val="bottom"/>
          </w:tcPr>
          <w:p>
            <w:pPr>
              <w:spacing w:after="0"/>
              <w:rPr>
                <w:sz w:val="12"/>
                <w:szCs w:val="12"/>
                <w:color w:val="auto"/>
              </w:rPr>
            </w:pPr>
          </w:p>
        </w:tc>
        <w:tc>
          <w:tcPr>
            <w:tcW w:w="446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color w:val="auto"/>
              </w:rPr>
              <w:t>Other</w:t>
            </w:r>
          </w:p>
        </w:tc>
        <w:tc>
          <w:tcPr>
            <w:tcW w:w="25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75"/>
              <w:spacing w:after="0" w:line="144" w:lineRule="exact"/>
              <w:rPr>
                <w:sz w:val="20"/>
                <w:szCs w:val="20"/>
                <w:color w:val="auto"/>
              </w:rPr>
            </w:pPr>
            <w:r>
              <w:rPr>
                <w:rFonts w:ascii="Arial" w:cs="Arial" w:eastAsia="Arial" w:hAnsi="Arial"/>
                <w:sz w:val="13"/>
                <w:szCs w:val="13"/>
                <w:b w:val="1"/>
                <w:bCs w:val="1"/>
                <w:color w:val="auto"/>
              </w:rPr>
              <w:t>9</w:t>
            </w: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9</w:t>
            </w:r>
          </w:p>
        </w:tc>
      </w:tr>
      <w:tr>
        <w:trPr>
          <w:trHeight w:val="134"/>
        </w:trPr>
        <w:tc>
          <w:tcPr>
            <w:tcW w:w="20" w:type="dxa"/>
            <w:vAlign w:val="bottom"/>
          </w:tcPr>
          <w:p>
            <w:pPr>
              <w:spacing w:after="0"/>
              <w:rPr>
                <w:sz w:val="11"/>
                <w:szCs w:val="11"/>
                <w:color w:val="auto"/>
              </w:rPr>
            </w:pPr>
          </w:p>
        </w:tc>
        <w:tc>
          <w:tcPr>
            <w:tcW w:w="4460" w:type="dxa"/>
            <w:vAlign w:val="bottom"/>
            <w:tcBorders>
              <w:bottom w:val="single" w:sz="8" w:color="auto"/>
            </w:tcBorders>
            <w:shd w:val="clear" w:color="auto" w:fill="CCEEFF"/>
          </w:tcPr>
          <w:p>
            <w:pPr>
              <w:spacing w:after="0"/>
              <w:rPr>
                <w:sz w:val="11"/>
                <w:szCs w:val="11"/>
                <w:color w:val="auto"/>
              </w:rPr>
            </w:pPr>
          </w:p>
        </w:tc>
        <w:tc>
          <w:tcPr>
            <w:tcW w:w="2520" w:type="dxa"/>
            <w:vAlign w:val="bottom"/>
            <w:tcBorders>
              <w:bottom w:val="single" w:sz="8" w:color="auto"/>
            </w:tcBorders>
            <w:shd w:val="clear" w:color="auto" w:fill="CCEEFF"/>
          </w:tcPr>
          <w:p>
            <w:pPr>
              <w:jc w:val="right"/>
              <w:ind w:right="955"/>
              <w:spacing w:after="0" w:line="134" w:lineRule="exact"/>
              <w:rPr>
                <w:sz w:val="20"/>
                <w:szCs w:val="20"/>
                <w:color w:val="auto"/>
              </w:rPr>
            </w:pPr>
            <w:r>
              <w:rPr>
                <w:rFonts w:ascii="Arial" w:cs="Arial" w:eastAsia="Arial" w:hAnsi="Arial"/>
                <w:sz w:val="13"/>
                <w:szCs w:val="13"/>
                <w:b w:val="1"/>
                <w:bCs w:val="1"/>
                <w:color w:val="auto"/>
              </w:rPr>
              <w:t>$</w:t>
            </w:r>
          </w:p>
        </w:tc>
        <w:tc>
          <w:tcPr>
            <w:tcW w:w="400" w:type="dxa"/>
            <w:vAlign w:val="bottom"/>
            <w:tcBorders>
              <w:bottom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b w:val="1"/>
                <w:bCs w:val="1"/>
                <w:color w:val="auto"/>
              </w:rPr>
              <w:t>116</w:t>
            </w:r>
          </w:p>
        </w:tc>
        <w:tc>
          <w:tcPr>
            <w:tcW w:w="360" w:type="dxa"/>
            <w:vAlign w:val="bottom"/>
            <w:tcBorders>
              <w:bottom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6350</wp:posOffset>
            </wp:positionV>
            <wp:extent cx="5680075" cy="63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80075" cy="6350"/>
                    </a:xfrm>
                    <a:prstGeom prst="rect">
                      <a:avLst/>
                    </a:prstGeom>
                    <a:noFill/>
                  </pic:spPr>
                </pic:pic>
              </a:graphicData>
            </a:graphic>
          </wp:anchor>
        </w:drawing>
      </w:r>
    </w:p>
    <w:p>
      <w:pPr>
        <w:ind w:left="20"/>
        <w:spacing w:after="0"/>
        <w:rPr>
          <w:sz w:val="20"/>
          <w:szCs w:val="20"/>
          <w:color w:val="auto"/>
        </w:rPr>
      </w:pPr>
      <w:r>
        <w:rPr>
          <w:rFonts w:ascii="Arial" w:cs="Arial" w:eastAsia="Arial" w:hAnsi="Arial"/>
          <w:sz w:val="3"/>
          <w:szCs w:val="3"/>
          <w:color w:val="auto"/>
        </w:rPr>
        <w:t>\</w:t>
      </w:r>
    </w:p>
    <w:p>
      <w:pPr>
        <w:spacing w:after="0" w:line="8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14. Leases</w:t>
      </w:r>
    </w:p>
    <w:p>
      <w:pPr>
        <w:spacing w:after="0" w:line="102" w:lineRule="exact"/>
        <w:rPr>
          <w:sz w:val="20"/>
          <w:szCs w:val="20"/>
          <w:color w:val="auto"/>
        </w:rPr>
      </w:pPr>
    </w:p>
    <w:p>
      <w:pPr>
        <w:jc w:val="both"/>
        <w:ind w:left="20" w:right="39"/>
        <w:spacing w:after="0" w:line="236" w:lineRule="auto"/>
        <w:rPr>
          <w:sz w:val="20"/>
          <w:szCs w:val="20"/>
          <w:color w:val="auto"/>
        </w:rPr>
      </w:pPr>
      <w:r>
        <w:rPr>
          <w:rFonts w:ascii="Arial" w:cs="Arial" w:eastAsia="Arial" w:hAnsi="Arial"/>
          <w:sz w:val="13"/>
          <w:szCs w:val="13"/>
          <w:color w:val="auto"/>
        </w:rPr>
        <w:t>The majority of our leases are operating leases for our company-operated retail store locations. We also lease, among other things, distribution and warehouse facilities, and office space for corporate administrative purposes. Operating lease periods generally range from 5 to 10 years and generally contain rent escalation provisions. Some of the store leases contain renewal options with varying terms and conditions.</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5020" w:type="dxa"/>
            <w:vAlign w:val="bottom"/>
            <w:gridSpan w:val="2"/>
          </w:tcPr>
          <w:p>
            <w:pPr>
              <w:spacing w:after="0"/>
              <w:rPr>
                <w:sz w:val="20"/>
                <w:szCs w:val="20"/>
                <w:color w:val="auto"/>
              </w:rPr>
            </w:pPr>
            <w:r>
              <w:rPr>
                <w:rFonts w:ascii="Arial" w:cs="Arial" w:eastAsia="Arial" w:hAnsi="Arial"/>
                <w:sz w:val="13"/>
                <w:szCs w:val="13"/>
                <w:color w:val="auto"/>
              </w:rPr>
              <w:t>Amounts recognized in the Consolidated Balance Sheet were as follows:</w:t>
            </w:r>
          </w:p>
        </w:tc>
        <w:tc>
          <w:tcPr>
            <w:tcW w:w="10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00" w:type="dxa"/>
            <w:vAlign w:val="bottom"/>
          </w:tcPr>
          <w:p>
            <w:pPr>
              <w:jc w:val="right"/>
              <w:ind w:right="375"/>
              <w:spacing w:after="0"/>
              <w:rPr>
                <w:sz w:val="20"/>
                <w:szCs w:val="20"/>
                <w:color w:val="auto"/>
              </w:rPr>
            </w:pPr>
            <w:r>
              <w:rPr>
                <w:rFonts w:ascii="Arial" w:cs="Arial" w:eastAsia="Arial" w:hAnsi="Arial"/>
                <w:sz w:val="13"/>
                <w:szCs w:val="13"/>
                <w:b w:val="1"/>
                <w:bCs w:val="1"/>
                <w:color w:val="auto"/>
              </w:rPr>
              <w:t>January 30,</w:t>
            </w:r>
          </w:p>
        </w:tc>
        <w:tc>
          <w:tcPr>
            <w:tcW w:w="360" w:type="dxa"/>
            <w:vAlign w:val="bottom"/>
          </w:tcPr>
          <w:p>
            <w:pPr>
              <w:spacing w:after="0"/>
              <w:rPr>
                <w:sz w:val="16"/>
                <w:szCs w:val="16"/>
                <w:color w:val="auto"/>
              </w:rPr>
            </w:pPr>
          </w:p>
        </w:tc>
        <w:tc>
          <w:tcPr>
            <w:tcW w:w="1220" w:type="dxa"/>
            <w:vAlign w:val="bottom"/>
          </w:tcPr>
          <w:p>
            <w:pPr>
              <w:jc w:val="right"/>
              <w:ind w:right="335"/>
              <w:spacing w:after="0"/>
              <w:rPr>
                <w:sz w:val="20"/>
                <w:szCs w:val="20"/>
                <w:color w:val="auto"/>
              </w:rPr>
            </w:pPr>
            <w:r>
              <w:rPr>
                <w:rFonts w:ascii="Arial" w:cs="Arial" w:eastAsia="Arial" w:hAnsi="Arial"/>
                <w:sz w:val="13"/>
                <w:szCs w:val="13"/>
                <w:color w:val="auto"/>
              </w:rPr>
              <w:t>February 1,</w:t>
            </w:r>
          </w:p>
        </w:tc>
        <w:tc>
          <w:tcPr>
            <w:tcW w:w="0" w:type="dxa"/>
            <w:vAlign w:val="bottom"/>
          </w:tcPr>
          <w:p>
            <w:pPr>
              <w:spacing w:after="0"/>
              <w:rPr>
                <w:sz w:val="1"/>
                <w:szCs w:val="1"/>
                <w:color w:val="auto"/>
              </w:rPr>
            </w:pPr>
          </w:p>
        </w:tc>
      </w:tr>
      <w:tr>
        <w:trPr>
          <w:trHeight w:val="164"/>
        </w:trPr>
        <w:tc>
          <w:tcPr>
            <w:tcW w:w="502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 in millions)</w:t>
            </w:r>
          </w:p>
        </w:tc>
        <w:tc>
          <w:tcPr>
            <w:tcW w:w="10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95"/>
              <w:spacing w:after="0"/>
              <w:rPr>
                <w:sz w:val="20"/>
                <w:szCs w:val="20"/>
                <w:color w:val="auto"/>
              </w:rPr>
            </w:pPr>
            <w:r>
              <w:rPr>
                <w:rFonts w:ascii="Arial" w:cs="Arial" w:eastAsia="Arial" w:hAnsi="Arial"/>
                <w:sz w:val="13"/>
                <w:szCs w:val="13"/>
                <w:b w:val="1"/>
                <w:bCs w:val="1"/>
                <w:color w:val="auto"/>
              </w:rPr>
              <w:t>2021</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3"/>
                <w:szCs w:val="13"/>
                <w:color w:val="auto"/>
              </w:rPr>
              <w:t>2020</w:t>
            </w:r>
          </w:p>
        </w:tc>
        <w:tc>
          <w:tcPr>
            <w:tcW w:w="0" w:type="dxa"/>
            <w:vAlign w:val="bottom"/>
          </w:tcPr>
          <w:p>
            <w:pPr>
              <w:spacing w:after="0"/>
              <w:rPr>
                <w:sz w:val="1"/>
                <w:szCs w:val="1"/>
                <w:color w:val="auto"/>
              </w:rPr>
            </w:pPr>
          </w:p>
        </w:tc>
      </w:tr>
      <w:tr>
        <w:trPr>
          <w:trHeight w:val="134"/>
        </w:trPr>
        <w:tc>
          <w:tcPr>
            <w:tcW w:w="5020" w:type="dxa"/>
            <w:vAlign w:val="bottom"/>
            <w:gridSpan w:val="2"/>
          </w:tcPr>
          <w:p>
            <w:pPr>
              <w:spacing w:after="0" w:line="134" w:lineRule="exact"/>
              <w:rPr>
                <w:sz w:val="20"/>
                <w:szCs w:val="20"/>
                <w:color w:val="auto"/>
              </w:rPr>
            </w:pPr>
            <w:r>
              <w:rPr>
                <w:rFonts w:ascii="Arial" w:cs="Arial" w:eastAsia="Arial" w:hAnsi="Arial"/>
                <w:sz w:val="13"/>
                <w:szCs w:val="13"/>
                <w:color w:val="auto"/>
              </w:rPr>
              <w:t>Operating leases:</w:t>
            </w:r>
          </w:p>
        </w:tc>
        <w:tc>
          <w:tcPr>
            <w:tcW w:w="10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00" w:type="dxa"/>
            <w:vAlign w:val="bottom"/>
            <w:shd w:val="clear" w:color="auto" w:fill="CCEEFF"/>
          </w:tcPr>
          <w:p>
            <w:pPr>
              <w:ind w:left="80"/>
              <w:spacing w:after="0" w:line="144" w:lineRule="exact"/>
              <w:rPr>
                <w:sz w:val="20"/>
                <w:szCs w:val="20"/>
                <w:color w:val="auto"/>
              </w:rPr>
            </w:pPr>
            <w:r>
              <w:rPr>
                <w:rFonts w:ascii="Arial" w:cs="Arial" w:eastAsia="Arial" w:hAnsi="Arial"/>
                <w:sz w:val="13"/>
                <w:szCs w:val="13"/>
                <w:color w:val="auto"/>
              </w:rPr>
              <w:t>Operating lease right-of-use assets</w:t>
            </w:r>
          </w:p>
        </w:tc>
        <w:tc>
          <w:tcPr>
            <w:tcW w:w="106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b w:val="1"/>
                <w:bCs w:val="1"/>
                <w:color w:val="auto"/>
              </w:rPr>
              <w:t>$</w:t>
            </w:r>
          </w:p>
        </w:tc>
        <w:tc>
          <w:tcPr>
            <w:tcW w:w="130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b w:val="1"/>
                <w:bCs w:val="1"/>
                <w:color w:val="auto"/>
              </w:rPr>
              <w:t>2,716</w:t>
            </w:r>
          </w:p>
        </w:tc>
        <w:tc>
          <w:tcPr>
            <w:tcW w:w="36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2,899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00" w:type="dxa"/>
            <w:vAlign w:val="bottom"/>
            <w:shd w:val="clear" w:color="auto" w:fill="CCEEFF"/>
          </w:tcPr>
          <w:p>
            <w:pPr>
              <w:ind w:left="80"/>
              <w:spacing w:after="0" w:line="144" w:lineRule="exact"/>
              <w:rPr>
                <w:sz w:val="20"/>
                <w:szCs w:val="20"/>
                <w:color w:val="auto"/>
              </w:rPr>
            </w:pPr>
            <w:r>
              <w:rPr>
                <w:rFonts w:ascii="Arial" w:cs="Arial" w:eastAsia="Arial" w:hAnsi="Arial"/>
                <w:sz w:val="13"/>
                <w:szCs w:val="13"/>
                <w:color w:val="auto"/>
              </w:rPr>
              <w:t>Operating lease liabilities classified as current</w:t>
            </w:r>
          </w:p>
        </w:tc>
        <w:tc>
          <w:tcPr>
            <w:tcW w:w="106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b w:val="1"/>
                <w:bCs w:val="1"/>
                <w:color w:val="auto"/>
              </w:rPr>
              <w:t>$</w:t>
            </w:r>
          </w:p>
        </w:tc>
        <w:tc>
          <w:tcPr>
            <w:tcW w:w="130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b w:val="1"/>
                <w:bCs w:val="1"/>
                <w:color w:val="auto"/>
              </w:rPr>
              <w:t>580</w:t>
            </w:r>
          </w:p>
        </w:tc>
        <w:tc>
          <w:tcPr>
            <w:tcW w:w="36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518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00" w:type="dxa"/>
            <w:vAlign w:val="bottom"/>
            <w:tcBorders>
              <w:bottom w:val="single" w:sz="8" w:color="auto"/>
            </w:tcBorders>
          </w:tcPr>
          <w:p>
            <w:pPr>
              <w:ind w:left="80"/>
              <w:spacing w:after="0" w:line="144" w:lineRule="exact"/>
              <w:rPr>
                <w:sz w:val="20"/>
                <w:szCs w:val="20"/>
                <w:color w:val="auto"/>
              </w:rPr>
            </w:pPr>
            <w:r>
              <w:rPr>
                <w:rFonts w:ascii="Arial" w:cs="Arial" w:eastAsia="Arial" w:hAnsi="Arial"/>
                <w:sz w:val="13"/>
                <w:szCs w:val="13"/>
                <w:color w:val="auto"/>
              </w:rPr>
              <w:t>Operating lease liabilities classified as long-term</w:t>
            </w:r>
          </w:p>
        </w:tc>
        <w:tc>
          <w:tcPr>
            <w:tcW w:w="10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75"/>
              <w:spacing w:after="0" w:line="144" w:lineRule="exact"/>
              <w:rPr>
                <w:sz w:val="20"/>
                <w:szCs w:val="20"/>
                <w:color w:val="auto"/>
              </w:rPr>
            </w:pPr>
            <w:r>
              <w:rPr>
                <w:rFonts w:ascii="Arial" w:cs="Arial" w:eastAsia="Arial" w:hAnsi="Arial"/>
                <w:sz w:val="13"/>
                <w:szCs w:val="13"/>
                <w:b w:val="1"/>
                <w:bCs w:val="1"/>
                <w:color w:val="auto"/>
              </w:rPr>
              <w:t>2,499</w:t>
            </w: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2,678</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000" w:type="dxa"/>
            <w:vAlign w:val="bottom"/>
            <w:tcBorders>
              <w:bottom w:val="single" w:sz="8" w:color="auto"/>
            </w:tcBorders>
            <w:shd w:val="clear" w:color="auto" w:fill="CCEEFF"/>
          </w:tcPr>
          <w:p>
            <w:pPr>
              <w:ind w:left="80"/>
              <w:spacing w:after="0" w:line="134" w:lineRule="exact"/>
              <w:rPr>
                <w:sz w:val="20"/>
                <w:szCs w:val="20"/>
                <w:color w:val="auto"/>
              </w:rPr>
            </w:pPr>
            <w:r>
              <w:rPr>
                <w:rFonts w:ascii="Arial" w:cs="Arial" w:eastAsia="Arial" w:hAnsi="Arial"/>
                <w:sz w:val="13"/>
                <w:szCs w:val="13"/>
                <w:color w:val="auto"/>
              </w:rPr>
              <w:t>Total operating lease liabilities</w:t>
            </w:r>
          </w:p>
        </w:tc>
        <w:tc>
          <w:tcPr>
            <w:tcW w:w="1060" w:type="dxa"/>
            <w:vAlign w:val="bottom"/>
            <w:tcBorders>
              <w:bottom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b w:val="1"/>
                <w:bCs w:val="1"/>
                <w:color w:val="auto"/>
              </w:rPr>
              <w:t>$</w:t>
            </w:r>
          </w:p>
        </w:tc>
        <w:tc>
          <w:tcPr>
            <w:tcW w:w="1300" w:type="dxa"/>
            <w:vAlign w:val="bottom"/>
            <w:tcBorders>
              <w:bottom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b w:val="1"/>
                <w:bCs w:val="1"/>
                <w:color w:val="auto"/>
              </w:rPr>
              <w:t>3,079</w:t>
            </w:r>
          </w:p>
        </w:tc>
        <w:tc>
          <w:tcPr>
            <w:tcW w:w="360" w:type="dxa"/>
            <w:vAlign w:val="bottom"/>
            <w:tcBorders>
              <w:bottom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3,196</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50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0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Finance leases:</w:t>
            </w:r>
          </w:p>
        </w:tc>
        <w:tc>
          <w:tcPr>
            <w:tcW w:w="10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00" w:type="dxa"/>
            <w:vAlign w:val="bottom"/>
          </w:tcPr>
          <w:p>
            <w:pPr>
              <w:ind w:left="80"/>
              <w:spacing w:after="0" w:line="144" w:lineRule="exact"/>
              <w:rPr>
                <w:sz w:val="20"/>
                <w:szCs w:val="20"/>
                <w:color w:val="auto"/>
              </w:rPr>
            </w:pPr>
            <w:r>
              <w:rPr>
                <w:rFonts w:ascii="Arial" w:cs="Arial" w:eastAsia="Arial" w:hAnsi="Arial"/>
                <w:sz w:val="13"/>
                <w:szCs w:val="13"/>
                <w:color w:val="auto"/>
              </w:rPr>
              <w:t>Property and equipment, net</w:t>
            </w:r>
          </w:p>
        </w:tc>
        <w:tc>
          <w:tcPr>
            <w:tcW w:w="1060" w:type="dxa"/>
            <w:vAlign w:val="bottom"/>
          </w:tcPr>
          <w:p>
            <w:pPr>
              <w:jc w:val="right"/>
              <w:ind w:right="75"/>
              <w:spacing w:after="0" w:line="144" w:lineRule="exact"/>
              <w:rPr>
                <w:sz w:val="20"/>
                <w:szCs w:val="20"/>
                <w:color w:val="auto"/>
              </w:rPr>
            </w:pPr>
            <w:r>
              <w:rPr>
                <w:rFonts w:ascii="Arial" w:cs="Arial" w:eastAsia="Arial" w:hAnsi="Arial"/>
                <w:sz w:val="13"/>
                <w:szCs w:val="13"/>
                <w:b w:val="1"/>
                <w:bCs w:val="1"/>
                <w:color w:val="auto"/>
              </w:rPr>
              <w:t>$</w:t>
            </w:r>
          </w:p>
        </w:tc>
        <w:tc>
          <w:tcPr>
            <w:tcW w:w="1300" w:type="dxa"/>
            <w:vAlign w:val="bottom"/>
          </w:tcPr>
          <w:p>
            <w:pPr>
              <w:jc w:val="right"/>
              <w:ind w:right="75"/>
              <w:spacing w:after="0" w:line="144" w:lineRule="exact"/>
              <w:rPr>
                <w:sz w:val="20"/>
                <w:szCs w:val="20"/>
                <w:color w:val="auto"/>
              </w:rPr>
            </w:pPr>
            <w:r>
              <w:rPr>
                <w:rFonts w:ascii="Arial" w:cs="Arial" w:eastAsia="Arial" w:hAnsi="Arial"/>
                <w:sz w:val="13"/>
                <w:szCs w:val="13"/>
                <w:b w:val="1"/>
                <w:bCs w:val="1"/>
                <w:color w:val="auto"/>
              </w:rPr>
              <w:t>10</w:t>
            </w:r>
          </w:p>
        </w:tc>
        <w:tc>
          <w:tcPr>
            <w:tcW w:w="360" w:type="dxa"/>
            <w:vAlign w:val="bottom"/>
          </w:tcPr>
          <w:p>
            <w:pPr>
              <w:jc w:val="right"/>
              <w:ind w:right="75"/>
              <w:spacing w:after="0" w:line="144" w:lineRule="exact"/>
              <w:rPr>
                <w:sz w:val="20"/>
                <w:szCs w:val="20"/>
                <w:color w:val="auto"/>
              </w:rPr>
            </w:pPr>
            <w:r>
              <w:rPr>
                <w:rFonts w:ascii="Arial" w:cs="Arial" w:eastAsia="Arial" w:hAnsi="Arial"/>
                <w:sz w:val="13"/>
                <w:szCs w:val="13"/>
                <w:color w:val="auto"/>
              </w:rPr>
              <w:t>$</w:t>
            </w:r>
          </w:p>
        </w:tc>
        <w:tc>
          <w:tcPr>
            <w:tcW w:w="122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00" w:type="dxa"/>
            <w:vAlign w:val="bottom"/>
          </w:tcPr>
          <w:p>
            <w:pPr>
              <w:ind w:left="80"/>
              <w:spacing w:after="0" w:line="144" w:lineRule="exact"/>
              <w:rPr>
                <w:sz w:val="20"/>
                <w:szCs w:val="20"/>
                <w:color w:val="auto"/>
              </w:rPr>
            </w:pPr>
            <w:r>
              <w:rPr>
                <w:rFonts w:ascii="Arial" w:cs="Arial" w:eastAsia="Arial" w:hAnsi="Arial"/>
                <w:sz w:val="13"/>
                <w:szCs w:val="13"/>
                <w:color w:val="auto"/>
              </w:rPr>
              <w:t>Current portion of debt and obligations under finance leases</w:t>
            </w:r>
          </w:p>
        </w:tc>
        <w:tc>
          <w:tcPr>
            <w:tcW w:w="1060" w:type="dxa"/>
            <w:vAlign w:val="bottom"/>
          </w:tcPr>
          <w:p>
            <w:pPr>
              <w:jc w:val="right"/>
              <w:ind w:right="75"/>
              <w:spacing w:after="0" w:line="144" w:lineRule="exact"/>
              <w:rPr>
                <w:sz w:val="20"/>
                <w:szCs w:val="20"/>
                <w:color w:val="auto"/>
              </w:rPr>
            </w:pPr>
            <w:r>
              <w:rPr>
                <w:rFonts w:ascii="Arial" w:cs="Arial" w:eastAsia="Arial" w:hAnsi="Arial"/>
                <w:sz w:val="13"/>
                <w:szCs w:val="13"/>
                <w:b w:val="1"/>
                <w:bCs w:val="1"/>
                <w:color w:val="auto"/>
              </w:rPr>
              <w:t>$</w:t>
            </w:r>
          </w:p>
        </w:tc>
        <w:tc>
          <w:tcPr>
            <w:tcW w:w="1300" w:type="dxa"/>
            <w:vAlign w:val="bottom"/>
          </w:tcPr>
          <w:p>
            <w:pPr>
              <w:jc w:val="right"/>
              <w:ind w:right="75"/>
              <w:spacing w:after="0" w:line="144" w:lineRule="exact"/>
              <w:rPr>
                <w:sz w:val="20"/>
                <w:szCs w:val="20"/>
                <w:color w:val="auto"/>
              </w:rPr>
            </w:pPr>
            <w:r>
              <w:rPr>
                <w:rFonts w:ascii="Arial" w:cs="Arial" w:eastAsia="Arial" w:hAnsi="Arial"/>
                <w:sz w:val="13"/>
                <w:szCs w:val="13"/>
                <w:b w:val="1"/>
                <w:bCs w:val="1"/>
                <w:color w:val="auto"/>
              </w:rPr>
              <w:t>2</w:t>
            </w:r>
          </w:p>
        </w:tc>
        <w:tc>
          <w:tcPr>
            <w:tcW w:w="360" w:type="dxa"/>
            <w:vAlign w:val="bottom"/>
          </w:tcPr>
          <w:p>
            <w:pPr>
              <w:jc w:val="right"/>
              <w:ind w:right="75"/>
              <w:spacing w:after="0" w:line="144" w:lineRule="exact"/>
              <w:rPr>
                <w:sz w:val="20"/>
                <w:szCs w:val="20"/>
                <w:color w:val="auto"/>
              </w:rPr>
            </w:pPr>
            <w:r>
              <w:rPr>
                <w:rFonts w:ascii="Arial" w:cs="Arial" w:eastAsia="Arial" w:hAnsi="Arial"/>
                <w:sz w:val="13"/>
                <w:szCs w:val="13"/>
                <w:color w:val="auto"/>
              </w:rPr>
              <w:t>$</w:t>
            </w:r>
          </w:p>
        </w:tc>
        <w:tc>
          <w:tcPr>
            <w:tcW w:w="122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000" w:type="dxa"/>
            <w:vAlign w:val="bottom"/>
            <w:tcBorders>
              <w:bottom w:val="single" w:sz="8" w:color="auto"/>
            </w:tcBorders>
            <w:shd w:val="clear" w:color="auto" w:fill="CCEEFF"/>
          </w:tcPr>
          <w:p>
            <w:pPr>
              <w:ind w:left="80"/>
              <w:spacing w:after="0" w:line="144" w:lineRule="exact"/>
              <w:rPr>
                <w:sz w:val="20"/>
                <w:szCs w:val="20"/>
                <w:color w:val="auto"/>
              </w:rPr>
            </w:pPr>
            <w:r>
              <w:rPr>
                <w:rFonts w:ascii="Arial" w:cs="Arial" w:eastAsia="Arial" w:hAnsi="Arial"/>
                <w:sz w:val="13"/>
                <w:szCs w:val="13"/>
                <w:color w:val="auto"/>
              </w:rPr>
              <w:t>Long-term obligations under finance leases</w:t>
            </w:r>
          </w:p>
        </w:tc>
        <w:tc>
          <w:tcPr>
            <w:tcW w:w="1060" w:type="dxa"/>
            <w:vAlign w:val="bottom"/>
            <w:tcBorders>
              <w:bottom w:val="single" w:sz="8" w:color="auto"/>
            </w:tcBorders>
            <w:shd w:val="clear" w:color="auto" w:fill="CCEEFF"/>
          </w:tcPr>
          <w:p>
            <w:pPr>
              <w:spacing w:after="0"/>
              <w:rPr>
                <w:sz w:val="12"/>
                <w:szCs w:val="12"/>
                <w:color w:val="auto"/>
              </w:rPr>
            </w:pPr>
          </w:p>
        </w:tc>
        <w:tc>
          <w:tcPr>
            <w:tcW w:w="1300" w:type="dxa"/>
            <w:vAlign w:val="bottom"/>
            <w:tcBorders>
              <w:bottom w:val="single" w:sz="8" w:color="auto"/>
            </w:tcBorders>
            <w:shd w:val="clear" w:color="auto" w:fill="CCEEFF"/>
          </w:tcPr>
          <w:p>
            <w:pPr>
              <w:jc w:val="right"/>
              <w:ind w:right="75"/>
              <w:spacing w:after="0" w:line="144" w:lineRule="exact"/>
              <w:rPr>
                <w:sz w:val="20"/>
                <w:szCs w:val="20"/>
                <w:color w:val="auto"/>
              </w:rPr>
            </w:pPr>
            <w:r>
              <w:rPr>
                <w:rFonts w:ascii="Arial" w:cs="Arial" w:eastAsia="Arial" w:hAnsi="Arial"/>
                <w:sz w:val="13"/>
                <w:szCs w:val="13"/>
                <w:b w:val="1"/>
                <w:bCs w:val="1"/>
                <w:color w:val="auto"/>
              </w:rPr>
              <w:t>8</w:t>
            </w:r>
          </w:p>
        </w:tc>
        <w:tc>
          <w:tcPr>
            <w:tcW w:w="36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000" w:type="dxa"/>
            <w:vAlign w:val="bottom"/>
            <w:tcBorders>
              <w:bottom w:val="single" w:sz="8" w:color="auto"/>
            </w:tcBorders>
          </w:tcPr>
          <w:p>
            <w:pPr>
              <w:ind w:left="80"/>
              <w:spacing w:after="0" w:line="134" w:lineRule="exact"/>
              <w:rPr>
                <w:sz w:val="20"/>
                <w:szCs w:val="20"/>
                <w:color w:val="auto"/>
              </w:rPr>
            </w:pPr>
            <w:r>
              <w:rPr>
                <w:rFonts w:ascii="Arial" w:cs="Arial" w:eastAsia="Arial" w:hAnsi="Arial"/>
                <w:sz w:val="13"/>
                <w:szCs w:val="13"/>
                <w:color w:val="auto"/>
              </w:rPr>
              <w:t>Total finance lease obligations</w:t>
            </w:r>
          </w:p>
        </w:tc>
        <w:tc>
          <w:tcPr>
            <w:tcW w:w="1060" w:type="dxa"/>
            <w:vAlign w:val="bottom"/>
            <w:tcBorders>
              <w:bottom w:val="single" w:sz="8" w:color="auto"/>
            </w:tcBorders>
          </w:tcPr>
          <w:p>
            <w:pPr>
              <w:jc w:val="right"/>
              <w:ind w:right="75"/>
              <w:spacing w:after="0" w:line="134" w:lineRule="exact"/>
              <w:rPr>
                <w:sz w:val="20"/>
                <w:szCs w:val="20"/>
                <w:color w:val="auto"/>
              </w:rPr>
            </w:pPr>
            <w:r>
              <w:rPr>
                <w:rFonts w:ascii="Arial" w:cs="Arial" w:eastAsia="Arial" w:hAnsi="Arial"/>
                <w:sz w:val="13"/>
                <w:szCs w:val="13"/>
                <w:b w:val="1"/>
                <w:bCs w:val="1"/>
                <w:color w:val="auto"/>
              </w:rPr>
              <w:t>$</w:t>
            </w:r>
          </w:p>
        </w:tc>
        <w:tc>
          <w:tcPr>
            <w:tcW w:w="1300" w:type="dxa"/>
            <w:vAlign w:val="bottom"/>
            <w:tcBorders>
              <w:bottom w:val="single" w:sz="8" w:color="auto"/>
            </w:tcBorders>
          </w:tcPr>
          <w:p>
            <w:pPr>
              <w:jc w:val="right"/>
              <w:ind w:right="75"/>
              <w:spacing w:after="0" w:line="134" w:lineRule="exact"/>
              <w:rPr>
                <w:sz w:val="20"/>
                <w:szCs w:val="20"/>
                <w:color w:val="auto"/>
              </w:rPr>
            </w:pPr>
            <w:r>
              <w:rPr>
                <w:rFonts w:ascii="Arial" w:cs="Arial" w:eastAsia="Arial" w:hAnsi="Arial"/>
                <w:sz w:val="13"/>
                <w:szCs w:val="13"/>
                <w:b w:val="1"/>
                <w:bCs w:val="1"/>
                <w:color w:val="auto"/>
              </w:rPr>
              <w:t>10</w:t>
            </w:r>
          </w:p>
        </w:tc>
        <w:tc>
          <w:tcPr>
            <w:tcW w:w="360" w:type="dxa"/>
            <w:vAlign w:val="bottom"/>
            <w:tcBorders>
              <w:bottom w:val="single" w:sz="8" w:color="auto"/>
            </w:tcBorders>
          </w:tcPr>
          <w:p>
            <w:pPr>
              <w:jc w:val="right"/>
              <w:ind w:right="75"/>
              <w:spacing w:after="0" w:line="134" w:lineRule="exact"/>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3"/>
          <w:szCs w:val="13"/>
          <w:color w:val="auto"/>
        </w:rPr>
        <w:t>Other information related to operating leases as of January 30, 2021 and February 1, 2020 consisted of the following:</w:t>
      </w:r>
    </w:p>
    <w:p>
      <w:pPr>
        <w:spacing w:after="0" w:line="117" w:lineRule="exact"/>
        <w:rPr>
          <w:sz w:val="20"/>
          <w:szCs w:val="20"/>
          <w:color w:val="auto"/>
        </w:rPr>
      </w:pPr>
    </w:p>
    <w:p>
      <w:pPr>
        <w:ind w:left="7520"/>
        <w:spacing w:after="0"/>
        <w:rPr>
          <w:sz w:val="20"/>
          <w:szCs w:val="20"/>
          <w:color w:val="auto"/>
        </w:rPr>
      </w:pPr>
      <w:r>
        <w:rPr>
          <w:rFonts w:ascii="Arial" w:cs="Arial" w:eastAsia="Arial" w:hAnsi="Arial"/>
          <w:sz w:val="12"/>
          <w:szCs w:val="12"/>
          <w:color w:val="auto"/>
        </w:rPr>
        <w:t>2020 Form 10-K Page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365125</wp:posOffset>
            </wp:positionV>
            <wp:extent cx="5680075" cy="196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80075" cy="19685"/>
                    </a:xfrm>
                    <a:prstGeom prst="rect">
                      <a:avLst/>
                    </a:prstGeom>
                    <a:noFill/>
                  </pic:spPr>
                </pic:pic>
              </a:graphicData>
            </a:graphic>
          </wp:anchor>
        </w:drawing>
      </w:r>
    </w:p>
    <w:p>
      <w:pPr>
        <w:sectPr>
          <w:pgSz w:w="11900" w:h="16838" w:orient="portrait"/>
          <w:cols w:equalWidth="0" w:num="1">
            <w:col w:w="9019"/>
          </w:cols>
          <w:pgMar w:left="1440" w:top="995" w:right="1440" w:bottom="1440" w:gutter="0" w:footer="0" w:header="0"/>
        </w:sectPr>
      </w:pPr>
    </w:p>
    <w:bookmarkStart w:id="58" w:name="page59"/>
    <w:bookmarkEnd w:id="58"/>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2992755</wp:posOffset>
            </wp:positionH>
            <wp:positionV relativeFrom="page">
              <wp:posOffset>375285</wp:posOffset>
            </wp:positionV>
            <wp:extent cx="1563370" cy="169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1563370" cy="169545"/>
                    </a:xfrm>
                    <a:prstGeom prst="rect">
                      <a:avLst/>
                    </a:prstGeom>
                    <a:noFill/>
                  </pic:spPr>
                </pic:pic>
              </a:graphicData>
            </a:graphic>
          </wp:anchor>
        </w:drawing>
        <w:t>NOTES TO CONSOLIDATED FINANCIAL STATEMENTS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800" w:type="dxa"/>
            <w:vAlign w:val="bottom"/>
          </w:tcPr>
          <w:p>
            <w:pPr>
              <w:jc w:val="center"/>
              <w:ind w:left="5915"/>
              <w:spacing w:after="0"/>
              <w:rPr>
                <w:sz w:val="20"/>
                <w:szCs w:val="20"/>
                <w:color w:val="auto"/>
              </w:rPr>
            </w:pPr>
            <w:r>
              <w:rPr>
                <w:rFonts w:ascii="Arial" w:cs="Arial" w:eastAsia="Arial" w:hAnsi="Arial"/>
                <w:sz w:val="13"/>
                <w:szCs w:val="13"/>
                <w:b w:val="1"/>
                <w:bCs w:val="1"/>
                <w:color w:val="auto"/>
                <w:w w:val="97"/>
              </w:rPr>
              <w:t>January 30,</w:t>
            </w:r>
          </w:p>
        </w:tc>
        <w:tc>
          <w:tcPr>
            <w:tcW w:w="620" w:type="dxa"/>
            <w:vAlign w:val="bottom"/>
          </w:tcPr>
          <w:p>
            <w:pPr>
              <w:spacing w:after="0"/>
              <w:rPr>
                <w:sz w:val="13"/>
                <w:szCs w:val="13"/>
                <w:color w:val="auto"/>
              </w:rPr>
            </w:pPr>
          </w:p>
        </w:tc>
        <w:tc>
          <w:tcPr>
            <w:tcW w:w="1520" w:type="dxa"/>
            <w:vAlign w:val="bottom"/>
          </w:tcPr>
          <w:p>
            <w:pPr>
              <w:jc w:val="right"/>
              <w:ind w:right="555"/>
              <w:spacing w:after="0"/>
              <w:rPr>
                <w:sz w:val="20"/>
                <w:szCs w:val="20"/>
                <w:color w:val="auto"/>
              </w:rPr>
            </w:pPr>
            <w:r>
              <w:rPr>
                <w:rFonts w:ascii="Arial" w:cs="Arial" w:eastAsia="Arial" w:hAnsi="Arial"/>
                <w:sz w:val="13"/>
                <w:szCs w:val="13"/>
                <w:color w:val="auto"/>
              </w:rPr>
              <w:t>February 1,</w:t>
            </w:r>
          </w:p>
        </w:tc>
      </w:tr>
      <w:tr>
        <w:trPr>
          <w:trHeight w:val="164"/>
        </w:trPr>
        <w:tc>
          <w:tcPr>
            <w:tcW w:w="6820" w:type="dxa"/>
            <w:vAlign w:val="bottom"/>
            <w:gridSpan w:val="2"/>
          </w:tcPr>
          <w:p>
            <w:pPr>
              <w:jc w:val="right"/>
              <w:ind w:right="195"/>
              <w:spacing w:after="0"/>
              <w:rPr>
                <w:sz w:val="20"/>
                <w:szCs w:val="20"/>
                <w:color w:val="auto"/>
              </w:rPr>
            </w:pPr>
            <w:r>
              <w:rPr>
                <w:rFonts w:ascii="Arial" w:cs="Arial" w:eastAsia="Arial" w:hAnsi="Arial"/>
                <w:sz w:val="13"/>
                <w:szCs w:val="13"/>
                <w:b w:val="1"/>
                <w:bCs w:val="1"/>
                <w:color w:val="auto"/>
              </w:rPr>
              <w:t>2021</w:t>
            </w:r>
          </w:p>
        </w:tc>
        <w:tc>
          <w:tcPr>
            <w:tcW w:w="620" w:type="dxa"/>
            <w:vAlign w:val="bottom"/>
          </w:tcPr>
          <w:p>
            <w:pPr>
              <w:spacing w:after="0"/>
              <w:rPr>
                <w:sz w:val="14"/>
                <w:szCs w:val="14"/>
                <w:color w:val="auto"/>
              </w:rPr>
            </w:pPr>
          </w:p>
        </w:tc>
        <w:tc>
          <w:tcPr>
            <w:tcW w:w="1520" w:type="dxa"/>
            <w:vAlign w:val="bottom"/>
          </w:tcPr>
          <w:p>
            <w:pPr>
              <w:jc w:val="right"/>
              <w:ind w:right="715"/>
              <w:spacing w:after="0"/>
              <w:rPr>
                <w:sz w:val="20"/>
                <w:szCs w:val="20"/>
                <w:color w:val="auto"/>
              </w:rPr>
            </w:pPr>
            <w:r>
              <w:rPr>
                <w:rFonts w:ascii="Arial" w:cs="Arial" w:eastAsia="Arial" w:hAnsi="Arial"/>
                <w:sz w:val="13"/>
                <w:szCs w:val="13"/>
                <w:color w:val="auto"/>
              </w:rPr>
              <w:t>2020</w:t>
            </w:r>
          </w:p>
        </w:tc>
      </w:tr>
      <w:tr>
        <w:trPr>
          <w:trHeight w:val="134"/>
        </w:trPr>
        <w:tc>
          <w:tcPr>
            <w:tcW w:w="20" w:type="dxa"/>
            <w:vAlign w:val="bottom"/>
          </w:tcPr>
          <w:p>
            <w:pPr>
              <w:spacing w:after="0"/>
              <w:rPr>
                <w:sz w:val="11"/>
                <w:szCs w:val="11"/>
                <w:color w:val="auto"/>
              </w:rPr>
            </w:pPr>
          </w:p>
        </w:tc>
        <w:tc>
          <w:tcPr>
            <w:tcW w:w="6800" w:type="dxa"/>
            <w:vAlign w:val="bottom"/>
            <w:tcBorders>
              <w:top w:val="single" w:sz="8" w:color="auto"/>
            </w:tcBorders>
          </w:tcPr>
          <w:p>
            <w:pPr>
              <w:spacing w:after="0" w:line="134" w:lineRule="exact"/>
              <w:rPr>
                <w:sz w:val="20"/>
                <w:szCs w:val="20"/>
                <w:color w:val="auto"/>
              </w:rPr>
            </w:pPr>
            <w:r>
              <w:rPr>
                <w:rFonts w:ascii="Arial" w:cs="Arial" w:eastAsia="Arial" w:hAnsi="Arial"/>
                <w:sz w:val="13"/>
                <w:szCs w:val="13"/>
                <w:color w:val="auto"/>
              </w:rPr>
              <w:t>Weighted-average remaining lease term (years)</w:t>
            </w:r>
          </w:p>
        </w:tc>
        <w:tc>
          <w:tcPr>
            <w:tcW w:w="62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6800" w:type="dxa"/>
            <w:vAlign w:val="bottom"/>
            <w:shd w:val="clear" w:color="auto" w:fill="CCEEFF"/>
          </w:tcPr>
          <w:p>
            <w:pPr>
              <w:ind w:left="80"/>
              <w:spacing w:after="0" w:line="144" w:lineRule="exact"/>
              <w:rPr>
                <w:sz w:val="20"/>
                <w:szCs w:val="20"/>
                <w:color w:val="auto"/>
              </w:rPr>
            </w:pPr>
            <w:r>
              <w:rPr>
                <w:rFonts w:ascii="Arial" w:cs="Arial" w:eastAsia="Arial" w:hAnsi="Arial"/>
                <w:sz w:val="13"/>
                <w:szCs w:val="13"/>
                <w:color w:val="auto"/>
              </w:rPr>
              <w:t>Operating leases</w:t>
            </w:r>
          </w:p>
        </w:tc>
        <w:tc>
          <w:tcPr>
            <w:tcW w:w="620" w:type="dxa"/>
            <w:vAlign w:val="bottom"/>
            <w:shd w:val="clear" w:color="auto" w:fill="CCEEFF"/>
          </w:tcPr>
          <w:p>
            <w:pPr>
              <w:ind w:left="40"/>
              <w:spacing w:after="0" w:line="144" w:lineRule="exact"/>
              <w:rPr>
                <w:sz w:val="20"/>
                <w:szCs w:val="20"/>
                <w:color w:val="auto"/>
              </w:rPr>
            </w:pPr>
            <w:r>
              <w:rPr>
                <w:rFonts w:ascii="Arial" w:cs="Arial" w:eastAsia="Arial" w:hAnsi="Arial"/>
                <w:sz w:val="13"/>
                <w:szCs w:val="13"/>
                <w:b w:val="1"/>
                <w:bCs w:val="1"/>
                <w:color w:val="auto"/>
              </w:rPr>
              <w:t>6.7</w:t>
            </w:r>
          </w:p>
        </w:tc>
        <w:tc>
          <w:tcPr>
            <w:tcW w:w="1520" w:type="dxa"/>
            <w:vAlign w:val="bottom"/>
            <w:shd w:val="clear" w:color="auto" w:fill="CCEEFF"/>
          </w:tcPr>
          <w:p>
            <w:pPr>
              <w:jc w:val="right"/>
              <w:ind w:right="215"/>
              <w:spacing w:after="0" w:line="144" w:lineRule="exact"/>
              <w:rPr>
                <w:sz w:val="20"/>
                <w:szCs w:val="20"/>
                <w:color w:val="auto"/>
              </w:rPr>
            </w:pPr>
            <w:r>
              <w:rPr>
                <w:rFonts w:ascii="Arial" w:cs="Arial" w:eastAsia="Arial" w:hAnsi="Arial"/>
                <w:sz w:val="13"/>
                <w:szCs w:val="13"/>
                <w:color w:val="auto"/>
              </w:rPr>
              <w:t>7.3</w:t>
            </w:r>
          </w:p>
        </w:tc>
      </w:tr>
      <w:tr>
        <w:trPr>
          <w:trHeight w:val="144"/>
        </w:trPr>
        <w:tc>
          <w:tcPr>
            <w:tcW w:w="20" w:type="dxa"/>
            <w:vAlign w:val="bottom"/>
          </w:tcPr>
          <w:p>
            <w:pPr>
              <w:spacing w:after="0"/>
              <w:rPr>
                <w:sz w:val="12"/>
                <w:szCs w:val="12"/>
                <w:color w:val="auto"/>
              </w:rPr>
            </w:pPr>
          </w:p>
        </w:tc>
        <w:tc>
          <w:tcPr>
            <w:tcW w:w="6800" w:type="dxa"/>
            <w:vAlign w:val="bottom"/>
          </w:tcPr>
          <w:p>
            <w:pPr>
              <w:ind w:left="80"/>
              <w:spacing w:after="0" w:line="144" w:lineRule="exact"/>
              <w:rPr>
                <w:sz w:val="20"/>
                <w:szCs w:val="20"/>
                <w:color w:val="auto"/>
              </w:rPr>
            </w:pPr>
            <w:r>
              <w:rPr>
                <w:rFonts w:ascii="Arial" w:cs="Arial" w:eastAsia="Arial" w:hAnsi="Arial"/>
                <w:sz w:val="13"/>
                <w:szCs w:val="13"/>
                <w:color w:val="auto"/>
              </w:rPr>
              <w:t>Finance leases</w:t>
            </w:r>
          </w:p>
        </w:tc>
        <w:tc>
          <w:tcPr>
            <w:tcW w:w="620" w:type="dxa"/>
            <w:vAlign w:val="bottom"/>
          </w:tcPr>
          <w:p>
            <w:pPr>
              <w:ind w:left="40"/>
              <w:spacing w:after="0" w:line="144" w:lineRule="exact"/>
              <w:rPr>
                <w:sz w:val="20"/>
                <w:szCs w:val="20"/>
                <w:color w:val="auto"/>
              </w:rPr>
            </w:pPr>
            <w:r>
              <w:rPr>
                <w:rFonts w:ascii="Arial" w:cs="Arial" w:eastAsia="Arial" w:hAnsi="Arial"/>
                <w:sz w:val="13"/>
                <w:szCs w:val="13"/>
                <w:b w:val="1"/>
                <w:bCs w:val="1"/>
                <w:color w:val="auto"/>
              </w:rPr>
              <w:t>4.4</w:t>
            </w:r>
          </w:p>
        </w:tc>
        <w:tc>
          <w:tcPr>
            <w:tcW w:w="1520" w:type="dxa"/>
            <w:vAlign w:val="bottom"/>
          </w:tcPr>
          <w:p>
            <w:pPr>
              <w:jc w:val="right"/>
              <w:ind w:right="215"/>
              <w:spacing w:after="0" w:line="144" w:lineRule="exact"/>
              <w:rPr>
                <w:sz w:val="20"/>
                <w:szCs w:val="20"/>
                <w:color w:val="auto"/>
              </w:rPr>
            </w:pPr>
            <w:r>
              <w:rPr>
                <w:rFonts w:ascii="Arial" w:cs="Arial" w:eastAsia="Arial" w:hAnsi="Arial"/>
                <w:sz w:val="13"/>
                <w:szCs w:val="13"/>
                <w:color w:val="auto"/>
              </w:rPr>
              <w:t>—</w:t>
            </w:r>
          </w:p>
        </w:tc>
      </w:tr>
      <w:tr>
        <w:trPr>
          <w:trHeight w:val="144"/>
        </w:trPr>
        <w:tc>
          <w:tcPr>
            <w:tcW w:w="20" w:type="dxa"/>
            <w:vAlign w:val="bottom"/>
          </w:tcPr>
          <w:p>
            <w:pPr>
              <w:spacing w:after="0"/>
              <w:rPr>
                <w:sz w:val="12"/>
                <w:szCs w:val="12"/>
                <w:color w:val="auto"/>
              </w:rPr>
            </w:pPr>
          </w:p>
        </w:tc>
        <w:tc>
          <w:tcPr>
            <w:tcW w:w="68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Weighted-average discount rate</w:t>
            </w:r>
          </w:p>
        </w:tc>
        <w:tc>
          <w:tcPr>
            <w:tcW w:w="62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6800" w:type="dxa"/>
            <w:vAlign w:val="bottom"/>
          </w:tcPr>
          <w:p>
            <w:pPr>
              <w:ind w:left="80"/>
              <w:spacing w:after="0" w:line="144" w:lineRule="exact"/>
              <w:rPr>
                <w:sz w:val="20"/>
                <w:szCs w:val="20"/>
                <w:color w:val="auto"/>
              </w:rPr>
            </w:pPr>
            <w:r>
              <w:rPr>
                <w:rFonts w:ascii="Arial" w:cs="Arial" w:eastAsia="Arial" w:hAnsi="Arial"/>
                <w:sz w:val="13"/>
                <w:szCs w:val="13"/>
                <w:color w:val="auto"/>
              </w:rPr>
              <w:t>Operating leases</w:t>
            </w:r>
          </w:p>
        </w:tc>
        <w:tc>
          <w:tcPr>
            <w:tcW w:w="620" w:type="dxa"/>
            <w:vAlign w:val="bottom"/>
          </w:tcPr>
          <w:p>
            <w:pPr>
              <w:ind w:left="40"/>
              <w:spacing w:after="0" w:line="144" w:lineRule="exact"/>
              <w:rPr>
                <w:sz w:val="20"/>
                <w:szCs w:val="20"/>
                <w:color w:val="auto"/>
              </w:rPr>
            </w:pPr>
            <w:r>
              <w:rPr>
                <w:rFonts w:ascii="Arial" w:cs="Arial" w:eastAsia="Arial" w:hAnsi="Arial"/>
                <w:sz w:val="13"/>
                <w:szCs w:val="13"/>
                <w:b w:val="1"/>
                <w:bCs w:val="1"/>
                <w:color w:val="auto"/>
              </w:rPr>
              <w:t>5.0 %</w:t>
            </w:r>
          </w:p>
        </w:tc>
        <w:tc>
          <w:tcPr>
            <w:tcW w:w="1520" w:type="dxa"/>
            <w:vAlign w:val="bottom"/>
          </w:tcPr>
          <w:p>
            <w:pPr>
              <w:jc w:val="right"/>
              <w:ind w:right="55"/>
              <w:spacing w:after="0" w:line="144" w:lineRule="exact"/>
              <w:rPr>
                <w:sz w:val="20"/>
                <w:szCs w:val="20"/>
                <w:color w:val="auto"/>
              </w:rPr>
            </w:pPr>
            <w:r>
              <w:rPr>
                <w:rFonts w:ascii="Arial" w:cs="Arial" w:eastAsia="Arial" w:hAnsi="Arial"/>
                <w:sz w:val="13"/>
                <w:szCs w:val="13"/>
                <w:color w:val="auto"/>
              </w:rPr>
              <w:t>5.4 %</w:t>
            </w:r>
          </w:p>
        </w:tc>
      </w:tr>
      <w:tr>
        <w:trPr>
          <w:trHeight w:val="144"/>
        </w:trPr>
        <w:tc>
          <w:tcPr>
            <w:tcW w:w="20" w:type="dxa"/>
            <w:vAlign w:val="bottom"/>
          </w:tcPr>
          <w:p>
            <w:pPr>
              <w:spacing w:after="0"/>
              <w:rPr>
                <w:sz w:val="12"/>
                <w:szCs w:val="12"/>
                <w:color w:val="auto"/>
              </w:rPr>
            </w:pPr>
          </w:p>
        </w:tc>
        <w:tc>
          <w:tcPr>
            <w:tcW w:w="6800" w:type="dxa"/>
            <w:vAlign w:val="bottom"/>
            <w:tcBorders>
              <w:bottom w:val="single" w:sz="8" w:color="auto"/>
            </w:tcBorders>
            <w:shd w:val="clear" w:color="auto" w:fill="CCEEFF"/>
          </w:tcPr>
          <w:p>
            <w:pPr>
              <w:ind w:left="80"/>
              <w:spacing w:after="0" w:line="144" w:lineRule="exact"/>
              <w:rPr>
                <w:sz w:val="20"/>
                <w:szCs w:val="20"/>
                <w:color w:val="auto"/>
              </w:rPr>
            </w:pPr>
            <w:r>
              <w:rPr>
                <w:rFonts w:ascii="Arial" w:cs="Arial" w:eastAsia="Arial" w:hAnsi="Arial"/>
                <w:sz w:val="13"/>
                <w:szCs w:val="13"/>
                <w:color w:val="auto"/>
              </w:rPr>
              <w:t>Finance leases</w:t>
            </w:r>
          </w:p>
        </w:tc>
        <w:tc>
          <w:tcPr>
            <w:tcW w:w="620" w:type="dxa"/>
            <w:vAlign w:val="bottom"/>
            <w:tcBorders>
              <w:bottom w:val="single" w:sz="8" w:color="auto"/>
            </w:tcBorders>
            <w:shd w:val="clear" w:color="auto" w:fill="CCEEFF"/>
          </w:tcPr>
          <w:p>
            <w:pPr>
              <w:ind w:left="40"/>
              <w:spacing w:after="0" w:line="144" w:lineRule="exact"/>
              <w:rPr>
                <w:sz w:val="20"/>
                <w:szCs w:val="20"/>
                <w:color w:val="auto"/>
              </w:rPr>
            </w:pPr>
            <w:r>
              <w:rPr>
                <w:rFonts w:ascii="Arial" w:cs="Arial" w:eastAsia="Arial" w:hAnsi="Arial"/>
                <w:sz w:val="13"/>
                <w:szCs w:val="13"/>
                <w:b w:val="1"/>
                <w:bCs w:val="1"/>
                <w:color w:val="auto"/>
              </w:rPr>
              <w:t>4.1 %</w:t>
            </w:r>
          </w:p>
        </w:tc>
        <w:tc>
          <w:tcPr>
            <w:tcW w:w="1520" w:type="dxa"/>
            <w:vAlign w:val="bottom"/>
            <w:tcBorders>
              <w:bottom w:val="single" w:sz="8" w:color="auto"/>
            </w:tcBorders>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 %</w:t>
            </w:r>
          </w:p>
        </w:tc>
      </w:tr>
    </w:tbl>
    <w:p>
      <w:pPr>
        <w:spacing w:after="0" w:line="118" w:lineRule="exact"/>
        <w:rPr>
          <w:sz w:val="20"/>
          <w:szCs w:val="20"/>
          <w:color w:val="auto"/>
        </w:rPr>
      </w:pPr>
    </w:p>
    <w:p>
      <w:pPr>
        <w:jc w:val="both"/>
        <w:ind w:left="20" w:right="39"/>
        <w:spacing w:after="0" w:line="235" w:lineRule="auto"/>
        <w:rPr>
          <w:sz w:val="20"/>
          <w:szCs w:val="20"/>
          <w:color w:val="auto"/>
        </w:rPr>
      </w:pPr>
      <w:r>
        <w:rPr>
          <w:rFonts w:ascii="Arial" w:cs="Arial" w:eastAsia="Arial" w:hAnsi="Arial"/>
          <w:sz w:val="13"/>
          <w:szCs w:val="13"/>
          <w:color w:val="auto"/>
        </w:rPr>
        <w:t>Total lease costs include fixed operating lease costs, variable lease costs, and short-term lease costs. Most of our real estate leases require we pay certain expenses, such as CAM costs, real estate taxes, and other executory costs, of which the fixed portion is included in operating lease costs. Variable lease costs include non-lease components which are not fixed and are not included in determining the present value of our lease liability. Variable lease costs also include amounts based on a percentage of gross sales in excess of specified levels that are recognized when probable.</w:t>
      </w:r>
    </w:p>
    <w:p>
      <w:pPr>
        <w:spacing w:after="0" w:line="122" w:lineRule="exact"/>
        <w:rPr>
          <w:sz w:val="20"/>
          <w:szCs w:val="20"/>
          <w:color w:val="auto"/>
        </w:rPr>
      </w:pPr>
    </w:p>
    <w:p>
      <w:pPr>
        <w:jc w:val="both"/>
        <w:ind w:left="20" w:right="39"/>
        <w:spacing w:after="0" w:line="236" w:lineRule="auto"/>
        <w:rPr>
          <w:sz w:val="20"/>
          <w:szCs w:val="20"/>
          <w:color w:val="auto"/>
        </w:rPr>
      </w:pPr>
      <w:r>
        <w:rPr>
          <w:rFonts w:ascii="Arial" w:cs="Arial" w:eastAsia="Arial" w:hAnsi="Arial"/>
          <w:sz w:val="13"/>
          <w:szCs w:val="13"/>
          <w:color w:val="auto"/>
        </w:rPr>
        <w:t>Lease costs which relate to retail stores and distribution centers are classified within cost of sales, while non-store lease costs are included in SG&amp;A. Amortization of leased assets is classified in depreciation and amortization. The components of lease cost for the years ended January 30, 2021 and February 1, 2020 were as follows: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64"/>
        </w:trPr>
        <w:tc>
          <w:tcPr>
            <w:tcW w:w="3840" w:type="dxa"/>
            <w:vAlign w:val="bottom"/>
            <w:gridSpan w:val="2"/>
          </w:tcPr>
          <w:p>
            <w:pPr>
              <w:spacing w:after="0"/>
              <w:rPr>
                <w:sz w:val="20"/>
                <w:szCs w:val="20"/>
                <w:color w:val="auto"/>
              </w:rPr>
            </w:pPr>
            <w:r>
              <w:rPr>
                <w:rFonts w:ascii="Arial" w:cs="Arial" w:eastAsia="Arial" w:hAnsi="Arial"/>
                <w:sz w:val="13"/>
                <w:szCs w:val="13"/>
                <w:color w:val="auto"/>
              </w:rPr>
              <w:t>($ in millions)</w:t>
            </w:r>
          </w:p>
        </w:tc>
        <w:tc>
          <w:tcPr>
            <w:tcW w:w="2360" w:type="dxa"/>
            <w:vAlign w:val="bottom"/>
          </w:tcPr>
          <w:p>
            <w:pPr>
              <w:spacing w:after="0"/>
              <w:rPr>
                <w:sz w:val="14"/>
                <w:szCs w:val="14"/>
                <w:color w:val="auto"/>
              </w:rPr>
            </w:pPr>
          </w:p>
        </w:tc>
        <w:tc>
          <w:tcPr>
            <w:tcW w:w="1200" w:type="dxa"/>
            <w:vAlign w:val="bottom"/>
          </w:tcPr>
          <w:p>
            <w:pPr>
              <w:jc w:val="right"/>
              <w:ind w:right="615"/>
              <w:spacing w:after="0"/>
              <w:rPr>
                <w:sz w:val="20"/>
                <w:szCs w:val="20"/>
                <w:color w:val="auto"/>
              </w:rPr>
            </w:pPr>
            <w:r>
              <w:rPr>
                <w:rFonts w:ascii="Arial" w:cs="Arial" w:eastAsia="Arial" w:hAnsi="Arial"/>
                <w:sz w:val="13"/>
                <w:szCs w:val="13"/>
                <w:b w:val="1"/>
                <w:bCs w:val="1"/>
                <w:color w:val="auto"/>
              </w:rPr>
              <w:t>2020</w:t>
            </w:r>
          </w:p>
        </w:tc>
        <w:tc>
          <w:tcPr>
            <w:tcW w:w="440" w:type="dxa"/>
            <w:vAlign w:val="bottom"/>
          </w:tcPr>
          <w:p>
            <w:pPr>
              <w:spacing w:after="0"/>
              <w:rPr>
                <w:sz w:val="14"/>
                <w:szCs w:val="14"/>
                <w:color w:val="auto"/>
              </w:rPr>
            </w:pPr>
          </w:p>
        </w:tc>
        <w:tc>
          <w:tcPr>
            <w:tcW w:w="1120" w:type="dxa"/>
            <w:vAlign w:val="bottom"/>
          </w:tcPr>
          <w:p>
            <w:pPr>
              <w:jc w:val="right"/>
              <w:ind w:right="515"/>
              <w:spacing w:after="0"/>
              <w:rPr>
                <w:sz w:val="20"/>
                <w:szCs w:val="20"/>
                <w:color w:val="auto"/>
              </w:rPr>
            </w:pPr>
            <w:r>
              <w:rPr>
                <w:rFonts w:ascii="Arial" w:cs="Arial" w:eastAsia="Arial" w:hAnsi="Arial"/>
                <w:sz w:val="13"/>
                <w:szCs w:val="13"/>
                <w:color w:val="auto"/>
              </w:rPr>
              <w:t>2019</w:t>
            </w:r>
          </w:p>
        </w:tc>
      </w:tr>
      <w:tr>
        <w:trPr>
          <w:trHeight w:val="134"/>
        </w:trPr>
        <w:tc>
          <w:tcPr>
            <w:tcW w:w="20" w:type="dxa"/>
            <w:vAlign w:val="bottom"/>
          </w:tcPr>
          <w:p>
            <w:pPr>
              <w:spacing w:after="0"/>
              <w:rPr>
                <w:sz w:val="11"/>
                <w:szCs w:val="11"/>
                <w:color w:val="auto"/>
              </w:rPr>
            </w:pPr>
          </w:p>
        </w:tc>
        <w:tc>
          <w:tcPr>
            <w:tcW w:w="3820" w:type="dxa"/>
            <w:vAlign w:val="bottom"/>
            <w:tcBorders>
              <w:top w:val="single" w:sz="8" w:color="auto"/>
            </w:tcBorders>
            <w:shd w:val="clear" w:color="auto" w:fill="CCEEFF"/>
          </w:tcPr>
          <w:p>
            <w:pPr>
              <w:spacing w:after="0" w:line="134" w:lineRule="exact"/>
              <w:rPr>
                <w:sz w:val="20"/>
                <w:szCs w:val="20"/>
                <w:color w:val="auto"/>
              </w:rPr>
            </w:pPr>
            <w:r>
              <w:rPr>
                <w:rFonts w:ascii="Arial" w:cs="Arial" w:eastAsia="Arial" w:hAnsi="Arial"/>
                <w:sz w:val="13"/>
                <w:szCs w:val="13"/>
                <w:color w:val="auto"/>
              </w:rPr>
              <w:t>Operating lease costs:</w:t>
            </w:r>
          </w:p>
        </w:tc>
        <w:tc>
          <w:tcPr>
            <w:tcW w:w="2360" w:type="dxa"/>
            <w:vAlign w:val="bottom"/>
            <w:tcBorders>
              <w:top w:val="single" w:sz="8" w:color="auto"/>
            </w:tcBorders>
            <w:shd w:val="clear" w:color="auto" w:fill="CCEEFF"/>
          </w:tcPr>
          <w:p>
            <w:pPr>
              <w:jc w:val="right"/>
              <w:ind w:right="195"/>
              <w:spacing w:after="0" w:line="134" w:lineRule="exact"/>
              <w:rPr>
                <w:sz w:val="20"/>
                <w:szCs w:val="20"/>
                <w:color w:val="auto"/>
              </w:rPr>
            </w:pPr>
            <w:r>
              <w:rPr>
                <w:rFonts w:ascii="Arial" w:cs="Arial" w:eastAsia="Arial" w:hAnsi="Arial"/>
                <w:sz w:val="13"/>
                <w:szCs w:val="13"/>
                <w:b w:val="1"/>
                <w:bCs w:val="1"/>
                <w:color w:val="auto"/>
              </w:rPr>
              <w:t>$</w:t>
            </w:r>
          </w:p>
        </w:tc>
        <w:tc>
          <w:tcPr>
            <w:tcW w:w="1200" w:type="dxa"/>
            <w:vAlign w:val="bottom"/>
            <w:tcBorders>
              <w:top w:val="single" w:sz="8" w:color="auto"/>
            </w:tcBorders>
            <w:shd w:val="clear" w:color="auto" w:fill="CCEEFF"/>
          </w:tcPr>
          <w:p>
            <w:pPr>
              <w:jc w:val="right"/>
              <w:ind w:right="95"/>
              <w:spacing w:after="0" w:line="134" w:lineRule="exact"/>
              <w:rPr>
                <w:sz w:val="20"/>
                <w:szCs w:val="20"/>
                <w:color w:val="auto"/>
              </w:rPr>
            </w:pPr>
            <w:r>
              <w:rPr>
                <w:rFonts w:ascii="Arial" w:cs="Arial" w:eastAsia="Arial" w:hAnsi="Arial"/>
                <w:sz w:val="13"/>
                <w:szCs w:val="13"/>
                <w:b w:val="1"/>
                <w:bCs w:val="1"/>
                <w:color w:val="auto"/>
              </w:rPr>
              <w:t>620</w:t>
            </w:r>
          </w:p>
        </w:tc>
        <w:tc>
          <w:tcPr>
            <w:tcW w:w="440" w:type="dxa"/>
            <w:vAlign w:val="bottom"/>
            <w:tcBorders>
              <w:top w:val="single" w:sz="8" w:color="auto"/>
            </w:tcBorders>
            <w:shd w:val="clear" w:color="auto" w:fill="CCEEFF"/>
          </w:tcPr>
          <w:p>
            <w:pPr>
              <w:jc w:val="right"/>
              <w:ind w:right="175"/>
              <w:spacing w:after="0" w:line="134" w:lineRule="exact"/>
              <w:rPr>
                <w:sz w:val="20"/>
                <w:szCs w:val="20"/>
                <w:color w:val="auto"/>
              </w:rPr>
            </w:pPr>
            <w:r>
              <w:rPr>
                <w:rFonts w:ascii="Arial" w:cs="Arial" w:eastAsia="Arial" w:hAnsi="Arial"/>
                <w:sz w:val="13"/>
                <w:szCs w:val="13"/>
                <w:color w:val="auto"/>
              </w:rPr>
              <w:t>$</w:t>
            </w:r>
          </w:p>
        </w:tc>
        <w:tc>
          <w:tcPr>
            <w:tcW w:w="112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668</w:t>
            </w:r>
          </w:p>
        </w:tc>
      </w:tr>
      <w:tr>
        <w:trPr>
          <w:trHeight w:val="144"/>
        </w:trPr>
        <w:tc>
          <w:tcPr>
            <w:tcW w:w="20" w:type="dxa"/>
            <w:vAlign w:val="bottom"/>
          </w:tcPr>
          <w:p>
            <w:pPr>
              <w:spacing w:after="0"/>
              <w:rPr>
                <w:sz w:val="12"/>
                <w:szCs w:val="12"/>
                <w:color w:val="auto"/>
              </w:rPr>
            </w:pPr>
          </w:p>
        </w:tc>
        <w:tc>
          <w:tcPr>
            <w:tcW w:w="3820" w:type="dxa"/>
            <w:vAlign w:val="bottom"/>
          </w:tcPr>
          <w:p>
            <w:pPr>
              <w:ind w:left="80"/>
              <w:spacing w:after="0" w:line="144" w:lineRule="exact"/>
              <w:rPr>
                <w:sz w:val="20"/>
                <w:szCs w:val="20"/>
                <w:color w:val="auto"/>
              </w:rPr>
            </w:pPr>
            <w:r>
              <w:rPr>
                <w:rFonts w:ascii="Arial" w:cs="Arial" w:eastAsia="Arial" w:hAnsi="Arial"/>
                <w:sz w:val="13"/>
                <w:szCs w:val="13"/>
                <w:color w:val="auto"/>
              </w:rPr>
              <w:t>Variable lease costs</w:t>
            </w:r>
          </w:p>
        </w:tc>
        <w:tc>
          <w:tcPr>
            <w:tcW w:w="2360" w:type="dxa"/>
            <w:vAlign w:val="bottom"/>
          </w:tcPr>
          <w:p>
            <w:pPr>
              <w:spacing w:after="0"/>
              <w:rPr>
                <w:sz w:val="12"/>
                <w:szCs w:val="12"/>
                <w:color w:val="auto"/>
              </w:rPr>
            </w:pPr>
          </w:p>
        </w:tc>
        <w:tc>
          <w:tcPr>
            <w:tcW w:w="1200" w:type="dxa"/>
            <w:vAlign w:val="bottom"/>
          </w:tcPr>
          <w:p>
            <w:pPr>
              <w:jc w:val="right"/>
              <w:ind w:right="95"/>
              <w:spacing w:after="0" w:line="144" w:lineRule="exact"/>
              <w:rPr>
                <w:sz w:val="20"/>
                <w:szCs w:val="20"/>
                <w:color w:val="auto"/>
              </w:rPr>
            </w:pPr>
            <w:r>
              <w:rPr>
                <w:rFonts w:ascii="Arial" w:cs="Arial" w:eastAsia="Arial" w:hAnsi="Arial"/>
                <w:sz w:val="13"/>
                <w:szCs w:val="13"/>
                <w:b w:val="1"/>
                <w:bCs w:val="1"/>
                <w:color w:val="auto"/>
              </w:rPr>
              <w:t>290</w:t>
            </w:r>
          </w:p>
        </w:tc>
        <w:tc>
          <w:tcPr>
            <w:tcW w:w="440" w:type="dxa"/>
            <w:vAlign w:val="bottom"/>
          </w:tcPr>
          <w:p>
            <w:pPr>
              <w:spacing w:after="0"/>
              <w:rPr>
                <w:sz w:val="12"/>
                <w:szCs w:val="12"/>
                <w:color w:val="auto"/>
              </w:rPr>
            </w:pPr>
          </w:p>
        </w:tc>
        <w:tc>
          <w:tcPr>
            <w:tcW w:w="1120" w:type="dxa"/>
            <w:vAlign w:val="bottom"/>
          </w:tcPr>
          <w:p>
            <w:pPr>
              <w:jc w:val="right"/>
              <w:spacing w:after="0" w:line="144" w:lineRule="exact"/>
              <w:rPr>
                <w:sz w:val="20"/>
                <w:szCs w:val="20"/>
                <w:color w:val="auto"/>
              </w:rPr>
            </w:pPr>
            <w:r>
              <w:rPr>
                <w:rFonts w:ascii="Arial" w:cs="Arial" w:eastAsia="Arial" w:hAnsi="Arial"/>
                <w:sz w:val="13"/>
                <w:szCs w:val="13"/>
                <w:color w:val="auto"/>
              </w:rPr>
              <w:t>332</w:t>
            </w:r>
          </w:p>
        </w:tc>
      </w:tr>
      <w:tr>
        <w:trPr>
          <w:trHeight w:val="144"/>
        </w:trPr>
        <w:tc>
          <w:tcPr>
            <w:tcW w:w="20" w:type="dxa"/>
            <w:vAlign w:val="bottom"/>
          </w:tcPr>
          <w:p>
            <w:pPr>
              <w:spacing w:after="0"/>
              <w:rPr>
                <w:sz w:val="12"/>
                <w:szCs w:val="12"/>
                <w:color w:val="auto"/>
              </w:rPr>
            </w:pPr>
          </w:p>
        </w:tc>
        <w:tc>
          <w:tcPr>
            <w:tcW w:w="3820" w:type="dxa"/>
            <w:vAlign w:val="bottom"/>
            <w:shd w:val="clear" w:color="auto" w:fill="CCEEFF"/>
          </w:tcPr>
          <w:p>
            <w:pPr>
              <w:ind w:left="80"/>
              <w:spacing w:after="0" w:line="144" w:lineRule="exact"/>
              <w:rPr>
                <w:sz w:val="20"/>
                <w:szCs w:val="20"/>
                <w:color w:val="auto"/>
              </w:rPr>
            </w:pPr>
            <w:r>
              <w:rPr>
                <w:rFonts w:ascii="Arial" w:cs="Arial" w:eastAsia="Arial" w:hAnsi="Arial"/>
                <w:sz w:val="13"/>
                <w:szCs w:val="13"/>
                <w:color w:val="auto"/>
              </w:rPr>
              <w:t>Short-term lease costs</w:t>
            </w:r>
          </w:p>
        </w:tc>
        <w:tc>
          <w:tcPr>
            <w:tcW w:w="2360" w:type="dxa"/>
            <w:vAlign w:val="bottom"/>
            <w:shd w:val="clear" w:color="auto" w:fill="CCEEFF"/>
          </w:tcPr>
          <w:p>
            <w:pPr>
              <w:spacing w:after="0"/>
              <w:rPr>
                <w:sz w:val="12"/>
                <w:szCs w:val="12"/>
                <w:color w:val="auto"/>
              </w:rPr>
            </w:pPr>
          </w:p>
        </w:tc>
        <w:tc>
          <w:tcPr>
            <w:tcW w:w="1200" w:type="dxa"/>
            <w:vAlign w:val="bottom"/>
            <w:shd w:val="clear" w:color="auto" w:fill="CCEEFF"/>
          </w:tcPr>
          <w:p>
            <w:pPr>
              <w:jc w:val="right"/>
              <w:ind w:right="95"/>
              <w:spacing w:after="0" w:line="144" w:lineRule="exact"/>
              <w:rPr>
                <w:sz w:val="20"/>
                <w:szCs w:val="20"/>
                <w:color w:val="auto"/>
              </w:rPr>
            </w:pPr>
            <w:r>
              <w:rPr>
                <w:rFonts w:ascii="Arial" w:cs="Arial" w:eastAsia="Arial" w:hAnsi="Arial"/>
                <w:sz w:val="13"/>
                <w:szCs w:val="13"/>
                <w:b w:val="1"/>
                <w:bCs w:val="1"/>
                <w:color w:val="auto"/>
              </w:rPr>
              <w:t>23</w:t>
            </w:r>
          </w:p>
        </w:tc>
        <w:tc>
          <w:tcPr>
            <w:tcW w:w="4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23</w:t>
            </w:r>
          </w:p>
        </w:tc>
      </w:tr>
      <w:tr>
        <w:trPr>
          <w:trHeight w:val="144"/>
        </w:trPr>
        <w:tc>
          <w:tcPr>
            <w:tcW w:w="20" w:type="dxa"/>
            <w:vAlign w:val="bottom"/>
          </w:tcPr>
          <w:p>
            <w:pPr>
              <w:spacing w:after="0"/>
              <w:rPr>
                <w:sz w:val="12"/>
                <w:szCs w:val="12"/>
                <w:color w:val="auto"/>
              </w:rPr>
            </w:pPr>
          </w:p>
        </w:tc>
        <w:tc>
          <w:tcPr>
            <w:tcW w:w="3820" w:type="dxa"/>
            <w:vAlign w:val="bottom"/>
            <w:tcBorders>
              <w:bottom w:val="single" w:sz="8" w:color="auto"/>
            </w:tcBorders>
          </w:tcPr>
          <w:p>
            <w:pPr>
              <w:ind w:left="80"/>
              <w:spacing w:after="0" w:line="144" w:lineRule="exact"/>
              <w:rPr>
                <w:sz w:val="20"/>
                <w:szCs w:val="20"/>
                <w:color w:val="auto"/>
              </w:rPr>
            </w:pPr>
            <w:r>
              <w:rPr>
                <w:rFonts w:ascii="Arial" w:cs="Arial" w:eastAsia="Arial" w:hAnsi="Arial"/>
                <w:sz w:val="13"/>
                <w:szCs w:val="13"/>
                <w:color w:val="auto"/>
              </w:rPr>
              <w:t>Sublease income</w:t>
            </w:r>
          </w:p>
        </w:tc>
        <w:tc>
          <w:tcPr>
            <w:tcW w:w="2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
              <w:spacing w:after="0" w:line="144" w:lineRule="exact"/>
              <w:rPr>
                <w:sz w:val="20"/>
                <w:szCs w:val="20"/>
                <w:color w:val="auto"/>
              </w:rPr>
            </w:pPr>
            <w:r>
              <w:rPr>
                <w:rFonts w:ascii="Arial" w:cs="Arial" w:eastAsia="Arial" w:hAnsi="Arial"/>
                <w:sz w:val="13"/>
                <w:szCs w:val="13"/>
                <w:b w:val="1"/>
                <w:bCs w:val="1"/>
                <w:color w:val="auto"/>
              </w:rPr>
              <w:t>(1)</w:t>
            </w:r>
          </w:p>
        </w:tc>
        <w:tc>
          <w:tcPr>
            <w:tcW w:w="4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w:t>
            </w:r>
          </w:p>
        </w:tc>
      </w:tr>
      <w:tr>
        <w:trPr>
          <w:trHeight w:val="134"/>
        </w:trPr>
        <w:tc>
          <w:tcPr>
            <w:tcW w:w="20" w:type="dxa"/>
            <w:vAlign w:val="bottom"/>
          </w:tcPr>
          <w:p>
            <w:pPr>
              <w:spacing w:after="0"/>
              <w:rPr>
                <w:sz w:val="11"/>
                <w:szCs w:val="11"/>
                <w:color w:val="auto"/>
              </w:rPr>
            </w:pPr>
          </w:p>
        </w:tc>
        <w:tc>
          <w:tcPr>
            <w:tcW w:w="3820" w:type="dxa"/>
            <w:vAlign w:val="bottom"/>
            <w:tcBorders>
              <w:bottom w:val="single" w:sz="8" w:color="auto"/>
            </w:tcBorders>
            <w:shd w:val="clear" w:color="auto" w:fill="CCEEFF"/>
          </w:tcPr>
          <w:p>
            <w:pPr>
              <w:ind w:left="80"/>
              <w:spacing w:after="0" w:line="134" w:lineRule="exact"/>
              <w:rPr>
                <w:sz w:val="20"/>
                <w:szCs w:val="20"/>
                <w:color w:val="auto"/>
              </w:rPr>
            </w:pPr>
            <w:r>
              <w:rPr>
                <w:rFonts w:ascii="Arial" w:cs="Arial" w:eastAsia="Arial" w:hAnsi="Arial"/>
                <w:sz w:val="13"/>
                <w:szCs w:val="13"/>
                <w:color w:val="auto"/>
              </w:rPr>
              <w:t>Total operating lease costs</w:t>
            </w:r>
          </w:p>
        </w:tc>
        <w:tc>
          <w:tcPr>
            <w:tcW w:w="2360" w:type="dxa"/>
            <w:vAlign w:val="bottom"/>
            <w:tcBorders>
              <w:bottom w:val="single" w:sz="8" w:color="auto"/>
            </w:tcBorders>
            <w:shd w:val="clear" w:color="auto" w:fill="CCEEFF"/>
          </w:tcPr>
          <w:p>
            <w:pPr>
              <w:jc w:val="right"/>
              <w:ind w:right="195"/>
              <w:spacing w:after="0" w:line="134" w:lineRule="exact"/>
              <w:rPr>
                <w:sz w:val="20"/>
                <w:szCs w:val="20"/>
                <w:color w:val="auto"/>
              </w:rPr>
            </w:pPr>
            <w:r>
              <w:rPr>
                <w:rFonts w:ascii="Arial" w:cs="Arial" w:eastAsia="Arial" w:hAnsi="Arial"/>
                <w:sz w:val="13"/>
                <w:szCs w:val="13"/>
                <w:b w:val="1"/>
                <w:bCs w:val="1"/>
                <w:color w:val="auto"/>
              </w:rPr>
              <w:t>$</w:t>
            </w:r>
          </w:p>
        </w:tc>
        <w:tc>
          <w:tcPr>
            <w:tcW w:w="1200" w:type="dxa"/>
            <w:vAlign w:val="bottom"/>
            <w:tcBorders>
              <w:bottom w:val="single" w:sz="8" w:color="auto"/>
            </w:tcBorders>
            <w:shd w:val="clear" w:color="auto" w:fill="CCEEFF"/>
          </w:tcPr>
          <w:p>
            <w:pPr>
              <w:jc w:val="right"/>
              <w:ind w:right="95"/>
              <w:spacing w:after="0" w:line="134" w:lineRule="exact"/>
              <w:rPr>
                <w:sz w:val="20"/>
                <w:szCs w:val="20"/>
                <w:color w:val="auto"/>
              </w:rPr>
            </w:pPr>
            <w:r>
              <w:rPr>
                <w:rFonts w:ascii="Arial" w:cs="Arial" w:eastAsia="Arial" w:hAnsi="Arial"/>
                <w:sz w:val="13"/>
                <w:szCs w:val="13"/>
                <w:b w:val="1"/>
                <w:bCs w:val="1"/>
                <w:color w:val="auto"/>
              </w:rPr>
              <w:t>932</w:t>
            </w:r>
          </w:p>
        </w:tc>
        <w:tc>
          <w:tcPr>
            <w:tcW w:w="440" w:type="dxa"/>
            <w:vAlign w:val="bottom"/>
            <w:tcBorders>
              <w:bottom w:val="single" w:sz="8" w:color="auto"/>
            </w:tcBorders>
            <w:shd w:val="clear" w:color="auto" w:fill="CCEEFF"/>
          </w:tcPr>
          <w:p>
            <w:pPr>
              <w:jc w:val="right"/>
              <w:ind w:right="175"/>
              <w:spacing w:after="0" w:line="134" w:lineRule="exact"/>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1,022</w:t>
            </w:r>
          </w:p>
        </w:tc>
      </w:tr>
      <w:tr>
        <w:trPr>
          <w:trHeight w:val="134"/>
        </w:trPr>
        <w:tc>
          <w:tcPr>
            <w:tcW w:w="20" w:type="dxa"/>
            <w:vAlign w:val="bottom"/>
          </w:tcPr>
          <w:p>
            <w:pPr>
              <w:spacing w:after="0"/>
              <w:rPr>
                <w:sz w:val="11"/>
                <w:szCs w:val="11"/>
                <w:color w:val="auto"/>
              </w:rPr>
            </w:pPr>
          </w:p>
        </w:tc>
        <w:tc>
          <w:tcPr>
            <w:tcW w:w="3820" w:type="dxa"/>
            <w:vAlign w:val="bottom"/>
          </w:tcPr>
          <w:p>
            <w:pPr>
              <w:spacing w:after="0" w:line="134" w:lineRule="exact"/>
              <w:rPr>
                <w:sz w:val="20"/>
                <w:szCs w:val="20"/>
                <w:color w:val="auto"/>
              </w:rPr>
            </w:pPr>
            <w:r>
              <w:rPr>
                <w:rFonts w:ascii="Arial" w:cs="Arial" w:eastAsia="Arial" w:hAnsi="Arial"/>
                <w:sz w:val="13"/>
                <w:szCs w:val="13"/>
                <w:color w:val="auto"/>
              </w:rPr>
              <w:t>Finance leases costs:</w:t>
            </w:r>
          </w:p>
        </w:tc>
        <w:tc>
          <w:tcPr>
            <w:tcW w:w="2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3820" w:type="dxa"/>
            <w:vAlign w:val="bottom"/>
            <w:tcBorders>
              <w:bottom w:val="single" w:sz="8" w:color="auto"/>
            </w:tcBorders>
            <w:shd w:val="clear" w:color="auto" w:fill="CCEEFF"/>
          </w:tcPr>
          <w:p>
            <w:pPr>
              <w:ind w:left="80"/>
              <w:spacing w:after="0" w:line="144" w:lineRule="exact"/>
              <w:rPr>
                <w:sz w:val="20"/>
                <w:szCs w:val="20"/>
                <w:color w:val="auto"/>
              </w:rPr>
            </w:pPr>
            <w:r>
              <w:rPr>
                <w:rFonts w:ascii="Arial" w:cs="Arial" w:eastAsia="Arial" w:hAnsi="Arial"/>
                <w:sz w:val="13"/>
                <w:szCs w:val="13"/>
                <w:color w:val="auto"/>
              </w:rPr>
              <w:t>Amortization of leased assets</w:t>
            </w:r>
          </w:p>
        </w:tc>
        <w:tc>
          <w:tcPr>
            <w:tcW w:w="2360" w:type="dxa"/>
            <w:vAlign w:val="bottom"/>
            <w:tcBorders>
              <w:bottom w:val="single" w:sz="8" w:color="auto"/>
            </w:tcBorders>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ind w:right="95"/>
              <w:spacing w:after="0" w:line="144" w:lineRule="exact"/>
              <w:rPr>
                <w:sz w:val="20"/>
                <w:szCs w:val="20"/>
                <w:color w:val="auto"/>
              </w:rPr>
            </w:pPr>
            <w:r>
              <w:rPr>
                <w:rFonts w:ascii="Arial" w:cs="Arial" w:eastAsia="Arial" w:hAnsi="Arial"/>
                <w:sz w:val="13"/>
                <w:szCs w:val="13"/>
                <w:b w:val="1"/>
                <w:bCs w:val="1"/>
                <w:color w:val="auto"/>
              </w:rPr>
              <w:t>1</w:t>
            </w:r>
          </w:p>
        </w:tc>
        <w:tc>
          <w:tcPr>
            <w:tcW w:w="44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r>
      <w:tr>
        <w:trPr>
          <w:trHeight w:val="134"/>
        </w:trPr>
        <w:tc>
          <w:tcPr>
            <w:tcW w:w="20" w:type="dxa"/>
            <w:vAlign w:val="bottom"/>
            <w:tcBorders>
              <w:bottom w:val="single" w:sz="8" w:color="auto"/>
            </w:tcBorders>
          </w:tcPr>
          <w:p>
            <w:pPr>
              <w:spacing w:after="0"/>
              <w:rPr>
                <w:sz w:val="11"/>
                <w:szCs w:val="11"/>
                <w:color w:val="auto"/>
              </w:rPr>
            </w:pPr>
          </w:p>
        </w:tc>
        <w:tc>
          <w:tcPr>
            <w:tcW w:w="3820" w:type="dxa"/>
            <w:vAlign w:val="bottom"/>
            <w:tcBorders>
              <w:bottom w:val="single" w:sz="8" w:color="auto"/>
            </w:tcBorders>
          </w:tcPr>
          <w:p>
            <w:pPr>
              <w:spacing w:after="0" w:line="134" w:lineRule="exact"/>
              <w:rPr>
                <w:sz w:val="20"/>
                <w:szCs w:val="20"/>
                <w:color w:val="auto"/>
              </w:rPr>
            </w:pPr>
            <w:r>
              <w:rPr>
                <w:rFonts w:ascii="Arial" w:cs="Arial" w:eastAsia="Arial" w:hAnsi="Arial"/>
                <w:sz w:val="13"/>
                <w:szCs w:val="13"/>
                <w:color w:val="auto"/>
              </w:rPr>
              <w:t>Total lease cost</w:t>
            </w:r>
          </w:p>
        </w:tc>
        <w:tc>
          <w:tcPr>
            <w:tcW w:w="2360" w:type="dxa"/>
            <w:vAlign w:val="bottom"/>
            <w:tcBorders>
              <w:bottom w:val="single" w:sz="8" w:color="auto"/>
            </w:tcBorders>
          </w:tcPr>
          <w:p>
            <w:pPr>
              <w:jc w:val="right"/>
              <w:ind w:right="195"/>
              <w:spacing w:after="0" w:line="134" w:lineRule="exact"/>
              <w:rPr>
                <w:sz w:val="20"/>
                <w:szCs w:val="20"/>
                <w:color w:val="auto"/>
              </w:rPr>
            </w:pPr>
            <w:r>
              <w:rPr>
                <w:rFonts w:ascii="Arial" w:cs="Arial" w:eastAsia="Arial" w:hAnsi="Arial"/>
                <w:sz w:val="13"/>
                <w:szCs w:val="13"/>
                <w:b w:val="1"/>
                <w:bCs w:val="1"/>
                <w:color w:val="auto"/>
              </w:rPr>
              <w:t>$</w:t>
            </w:r>
          </w:p>
        </w:tc>
        <w:tc>
          <w:tcPr>
            <w:tcW w:w="1200" w:type="dxa"/>
            <w:vAlign w:val="bottom"/>
            <w:tcBorders>
              <w:bottom w:val="single" w:sz="8" w:color="auto"/>
            </w:tcBorders>
          </w:tcPr>
          <w:p>
            <w:pPr>
              <w:jc w:val="right"/>
              <w:ind w:right="95"/>
              <w:spacing w:after="0" w:line="134" w:lineRule="exact"/>
              <w:rPr>
                <w:sz w:val="20"/>
                <w:szCs w:val="20"/>
                <w:color w:val="auto"/>
              </w:rPr>
            </w:pPr>
            <w:r>
              <w:rPr>
                <w:rFonts w:ascii="Arial" w:cs="Arial" w:eastAsia="Arial" w:hAnsi="Arial"/>
                <w:sz w:val="13"/>
                <w:szCs w:val="13"/>
                <w:b w:val="1"/>
                <w:bCs w:val="1"/>
                <w:color w:val="auto"/>
              </w:rPr>
              <w:t>933</w:t>
            </w:r>
          </w:p>
        </w:tc>
        <w:tc>
          <w:tcPr>
            <w:tcW w:w="440" w:type="dxa"/>
            <w:vAlign w:val="bottom"/>
            <w:tcBorders>
              <w:bottom w:val="single" w:sz="8" w:color="auto"/>
            </w:tcBorders>
          </w:tcPr>
          <w:p>
            <w:pPr>
              <w:jc w:val="right"/>
              <w:ind w:right="175"/>
              <w:spacing w:after="0" w:line="134" w:lineRule="exact"/>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1,022</w:t>
            </w:r>
          </w:p>
        </w:tc>
      </w:tr>
      <w:tr>
        <w:trPr>
          <w:trHeight w:val="20"/>
        </w:trPr>
        <w:tc>
          <w:tcPr>
            <w:tcW w:w="20" w:type="dxa"/>
            <w:vAlign w:val="bottom"/>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2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18" w:lineRule="exact"/>
        <w:rPr>
          <w:sz w:val="20"/>
          <w:szCs w:val="20"/>
          <w:color w:val="auto"/>
        </w:rPr>
      </w:pPr>
    </w:p>
    <w:p>
      <w:pPr>
        <w:jc w:val="both"/>
        <w:ind w:left="20" w:right="39"/>
        <w:spacing w:after="0" w:line="236" w:lineRule="auto"/>
        <w:rPr>
          <w:sz w:val="20"/>
          <w:szCs w:val="20"/>
          <w:color w:val="auto"/>
        </w:rPr>
      </w:pPr>
      <w:r>
        <w:rPr>
          <w:rFonts w:ascii="Arial" w:cs="Arial" w:eastAsia="Arial" w:hAnsi="Arial"/>
          <w:sz w:val="13"/>
          <w:szCs w:val="13"/>
          <w:color w:val="auto"/>
        </w:rPr>
        <w:t>Rent expense for operating leases for 2018, under previous accounting guidance, amounted to $750 million and consisted of minimum and contingent rentals of $728 million and $27 million, respectively, less sublease income of $5 million. Other costs related to our leases, including the amortization of lease rights, totaled $147 million for the year ended February 2, 2019.</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4100" w:type="dxa"/>
            <w:vAlign w:val="bottom"/>
            <w:gridSpan w:val="2"/>
          </w:tcPr>
          <w:p>
            <w:pPr>
              <w:spacing w:after="0"/>
              <w:rPr>
                <w:sz w:val="20"/>
                <w:szCs w:val="20"/>
                <w:color w:val="auto"/>
              </w:rPr>
            </w:pPr>
            <w:r>
              <w:rPr>
                <w:rFonts w:ascii="Arial" w:cs="Arial" w:eastAsia="Arial" w:hAnsi="Arial"/>
                <w:sz w:val="13"/>
                <w:szCs w:val="13"/>
                <w:color w:val="auto"/>
              </w:rPr>
              <w:t>Maturities of lease liabilities as of January 30, 2021 are as follows:</w:t>
            </w:r>
          </w:p>
        </w:tc>
        <w:tc>
          <w:tcPr>
            <w:tcW w:w="4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49"/>
        </w:trPr>
        <w:tc>
          <w:tcPr>
            <w:tcW w:w="4100" w:type="dxa"/>
            <w:vAlign w:val="bottom"/>
            <w:gridSpan w:val="2"/>
          </w:tcPr>
          <w:p>
            <w:pPr>
              <w:spacing w:after="0"/>
              <w:rPr>
                <w:sz w:val="20"/>
                <w:szCs w:val="20"/>
                <w:color w:val="auto"/>
              </w:rPr>
            </w:pPr>
            <w:r>
              <w:rPr>
                <w:rFonts w:ascii="Arial" w:cs="Arial" w:eastAsia="Arial" w:hAnsi="Arial"/>
                <w:sz w:val="13"/>
                <w:szCs w:val="13"/>
                <w:color w:val="auto"/>
              </w:rPr>
              <w:t>($ in millions)</w:t>
            </w:r>
          </w:p>
        </w:tc>
        <w:tc>
          <w:tcPr>
            <w:tcW w:w="400" w:type="dxa"/>
            <w:vAlign w:val="bottom"/>
          </w:tcPr>
          <w:p>
            <w:pPr>
              <w:spacing w:after="0"/>
              <w:rPr>
                <w:sz w:val="21"/>
                <w:szCs w:val="21"/>
                <w:color w:val="auto"/>
              </w:rPr>
            </w:pPr>
          </w:p>
        </w:tc>
        <w:tc>
          <w:tcPr>
            <w:tcW w:w="1360" w:type="dxa"/>
            <w:vAlign w:val="bottom"/>
          </w:tcPr>
          <w:p>
            <w:pPr>
              <w:jc w:val="right"/>
              <w:ind w:right="195"/>
              <w:spacing w:after="0"/>
              <w:rPr>
                <w:sz w:val="20"/>
                <w:szCs w:val="20"/>
                <w:color w:val="auto"/>
              </w:rPr>
            </w:pPr>
            <w:r>
              <w:rPr>
                <w:rFonts w:ascii="Arial" w:cs="Arial" w:eastAsia="Arial" w:hAnsi="Arial"/>
                <w:sz w:val="13"/>
                <w:szCs w:val="13"/>
                <w:b w:val="1"/>
                <w:bCs w:val="1"/>
                <w:color w:val="auto"/>
              </w:rPr>
              <w:t>Operating leases</w:t>
            </w: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Finance leases</w:t>
            </w:r>
          </w:p>
        </w:tc>
        <w:tc>
          <w:tcPr>
            <w:tcW w:w="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jc w:val="right"/>
              <w:ind w:right="475"/>
              <w:spacing w:after="0"/>
              <w:rPr>
                <w:sz w:val="20"/>
                <w:szCs w:val="20"/>
                <w:color w:val="auto"/>
              </w:rPr>
            </w:pPr>
            <w:r>
              <w:rPr>
                <w:rFonts w:ascii="Arial" w:cs="Arial" w:eastAsia="Arial" w:hAnsi="Arial"/>
                <w:sz w:val="13"/>
                <w:szCs w:val="13"/>
                <w:b w:val="1"/>
                <w:bCs w:val="1"/>
                <w:color w:val="auto"/>
              </w:rPr>
              <w:t>Total</w:t>
            </w:r>
          </w:p>
        </w:tc>
      </w:tr>
      <w:tr>
        <w:trPr>
          <w:trHeight w:val="134"/>
        </w:trPr>
        <w:tc>
          <w:tcPr>
            <w:tcW w:w="20" w:type="dxa"/>
            <w:vAlign w:val="bottom"/>
          </w:tcPr>
          <w:p>
            <w:pPr>
              <w:spacing w:after="0"/>
              <w:rPr>
                <w:sz w:val="11"/>
                <w:szCs w:val="11"/>
                <w:color w:val="auto"/>
              </w:rPr>
            </w:pPr>
          </w:p>
        </w:tc>
        <w:tc>
          <w:tcPr>
            <w:tcW w:w="4080" w:type="dxa"/>
            <w:vAlign w:val="bottom"/>
            <w:tcBorders>
              <w:top w:val="single" w:sz="8" w:color="auto"/>
            </w:tcBorders>
            <w:shd w:val="clear" w:color="auto" w:fill="CCEEFF"/>
          </w:tcPr>
          <w:p>
            <w:pPr>
              <w:spacing w:after="0" w:line="134" w:lineRule="exact"/>
              <w:rPr>
                <w:sz w:val="20"/>
                <w:szCs w:val="20"/>
                <w:color w:val="auto"/>
              </w:rPr>
            </w:pPr>
            <w:r>
              <w:rPr>
                <w:rFonts w:ascii="Arial" w:cs="Arial" w:eastAsia="Arial" w:hAnsi="Arial"/>
                <w:sz w:val="13"/>
                <w:szCs w:val="13"/>
                <w:color w:val="auto"/>
              </w:rPr>
              <w:t>2021</w:t>
            </w:r>
          </w:p>
        </w:tc>
        <w:tc>
          <w:tcPr>
            <w:tcW w:w="40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1360" w:type="dxa"/>
            <w:vAlign w:val="bottom"/>
            <w:tcBorders>
              <w:top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color w:val="auto"/>
              </w:rPr>
              <w:t>718</w:t>
            </w:r>
          </w:p>
        </w:tc>
        <w:tc>
          <w:tcPr>
            <w:tcW w:w="1300" w:type="dxa"/>
            <w:vAlign w:val="bottom"/>
            <w:tcBorders>
              <w:top w:val="single" w:sz="8" w:color="auto"/>
            </w:tcBorders>
            <w:shd w:val="clear" w:color="auto" w:fill="CCEEFF"/>
          </w:tcPr>
          <w:p>
            <w:pPr>
              <w:jc w:val="right"/>
              <w:ind w:right="1035"/>
              <w:spacing w:after="0" w:line="134" w:lineRule="exact"/>
              <w:rPr>
                <w:sz w:val="20"/>
                <w:szCs w:val="20"/>
                <w:color w:val="auto"/>
              </w:rPr>
            </w:pPr>
            <w:r>
              <w:rPr>
                <w:rFonts w:ascii="Arial" w:cs="Arial" w:eastAsia="Arial" w:hAnsi="Arial"/>
                <w:sz w:val="13"/>
                <w:szCs w:val="13"/>
                <w:color w:val="auto"/>
              </w:rPr>
              <w:t>$</w:t>
            </w:r>
          </w:p>
        </w:tc>
        <w:tc>
          <w:tcPr>
            <w:tcW w:w="300" w:type="dxa"/>
            <w:vAlign w:val="bottom"/>
            <w:tcBorders>
              <w:top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color w:val="auto"/>
              </w:rPr>
              <w:t>3</w:t>
            </w:r>
          </w:p>
        </w:tc>
        <w:tc>
          <w:tcPr>
            <w:tcW w:w="440" w:type="dxa"/>
            <w:vAlign w:val="bottom"/>
            <w:tcBorders>
              <w:top w:val="single" w:sz="8" w:color="auto"/>
            </w:tcBorders>
            <w:shd w:val="clear" w:color="auto" w:fill="CCEEFF"/>
          </w:tcPr>
          <w:p>
            <w:pPr>
              <w:jc w:val="right"/>
              <w:ind w:right="175"/>
              <w:spacing w:after="0" w:line="134" w:lineRule="exact"/>
              <w:rPr>
                <w:sz w:val="20"/>
                <w:szCs w:val="20"/>
                <w:color w:val="auto"/>
              </w:rPr>
            </w:pPr>
            <w:r>
              <w:rPr>
                <w:rFonts w:ascii="Arial" w:cs="Arial" w:eastAsia="Arial" w:hAnsi="Arial"/>
                <w:sz w:val="13"/>
                <w:szCs w:val="13"/>
                <w:color w:val="auto"/>
              </w:rPr>
              <w:t>$</w:t>
            </w:r>
          </w:p>
        </w:tc>
        <w:tc>
          <w:tcPr>
            <w:tcW w:w="106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721</w:t>
            </w:r>
          </w:p>
        </w:tc>
      </w:tr>
      <w:tr>
        <w:trPr>
          <w:trHeight w:val="144"/>
        </w:trPr>
        <w:tc>
          <w:tcPr>
            <w:tcW w:w="20" w:type="dxa"/>
            <w:vAlign w:val="bottom"/>
          </w:tcPr>
          <w:p>
            <w:pPr>
              <w:spacing w:after="0"/>
              <w:rPr>
                <w:sz w:val="12"/>
                <w:szCs w:val="12"/>
                <w:color w:val="auto"/>
              </w:rPr>
            </w:pPr>
          </w:p>
        </w:tc>
        <w:tc>
          <w:tcPr>
            <w:tcW w:w="4080" w:type="dxa"/>
            <w:vAlign w:val="bottom"/>
          </w:tcPr>
          <w:p>
            <w:pPr>
              <w:spacing w:after="0" w:line="144" w:lineRule="exact"/>
              <w:rPr>
                <w:sz w:val="20"/>
                <w:szCs w:val="20"/>
                <w:color w:val="auto"/>
              </w:rPr>
            </w:pPr>
            <w:r>
              <w:rPr>
                <w:rFonts w:ascii="Arial" w:cs="Arial" w:eastAsia="Arial" w:hAnsi="Arial"/>
                <w:sz w:val="13"/>
                <w:szCs w:val="13"/>
                <w:color w:val="auto"/>
              </w:rPr>
              <w:t>2022</w:t>
            </w:r>
          </w:p>
        </w:tc>
        <w:tc>
          <w:tcPr>
            <w:tcW w:w="400" w:type="dxa"/>
            <w:vAlign w:val="bottom"/>
          </w:tcPr>
          <w:p>
            <w:pPr>
              <w:spacing w:after="0"/>
              <w:rPr>
                <w:sz w:val="12"/>
                <w:szCs w:val="12"/>
                <w:color w:val="auto"/>
              </w:rPr>
            </w:pPr>
          </w:p>
        </w:tc>
        <w:tc>
          <w:tcPr>
            <w:tcW w:w="1360" w:type="dxa"/>
            <w:vAlign w:val="bottom"/>
          </w:tcPr>
          <w:p>
            <w:pPr>
              <w:jc w:val="right"/>
              <w:ind w:right="75"/>
              <w:spacing w:after="0" w:line="144" w:lineRule="exact"/>
              <w:rPr>
                <w:sz w:val="20"/>
                <w:szCs w:val="20"/>
                <w:color w:val="auto"/>
              </w:rPr>
            </w:pPr>
            <w:r>
              <w:rPr>
                <w:rFonts w:ascii="Arial" w:cs="Arial" w:eastAsia="Arial" w:hAnsi="Arial"/>
                <w:sz w:val="13"/>
                <w:szCs w:val="13"/>
                <w:color w:val="auto"/>
              </w:rPr>
              <w:t>624</w:t>
            </w:r>
          </w:p>
        </w:tc>
        <w:tc>
          <w:tcPr>
            <w:tcW w:w="1300" w:type="dxa"/>
            <w:vAlign w:val="bottom"/>
          </w:tcPr>
          <w:p>
            <w:pPr>
              <w:spacing w:after="0"/>
              <w:rPr>
                <w:sz w:val="12"/>
                <w:szCs w:val="12"/>
                <w:color w:val="auto"/>
              </w:rPr>
            </w:pPr>
          </w:p>
        </w:tc>
        <w:tc>
          <w:tcPr>
            <w:tcW w:w="300" w:type="dxa"/>
            <w:vAlign w:val="bottom"/>
          </w:tcPr>
          <w:p>
            <w:pPr>
              <w:jc w:val="right"/>
              <w:ind w:right="75"/>
              <w:spacing w:after="0" w:line="144" w:lineRule="exact"/>
              <w:rPr>
                <w:sz w:val="20"/>
                <w:szCs w:val="20"/>
                <w:color w:val="auto"/>
              </w:rPr>
            </w:pPr>
            <w:r>
              <w:rPr>
                <w:rFonts w:ascii="Arial" w:cs="Arial" w:eastAsia="Arial" w:hAnsi="Arial"/>
                <w:sz w:val="13"/>
                <w:szCs w:val="13"/>
                <w:color w:val="auto"/>
              </w:rPr>
              <w:t>3</w:t>
            </w:r>
          </w:p>
        </w:tc>
        <w:tc>
          <w:tcPr>
            <w:tcW w:w="440" w:type="dxa"/>
            <w:vAlign w:val="bottom"/>
          </w:tcPr>
          <w:p>
            <w:pPr>
              <w:spacing w:after="0"/>
              <w:rPr>
                <w:sz w:val="12"/>
                <w:szCs w:val="12"/>
                <w:color w:val="auto"/>
              </w:rPr>
            </w:pPr>
          </w:p>
        </w:tc>
        <w:tc>
          <w:tcPr>
            <w:tcW w:w="106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627</w:t>
            </w:r>
          </w:p>
        </w:tc>
      </w:tr>
      <w:tr>
        <w:trPr>
          <w:trHeight w:val="144"/>
        </w:trPr>
        <w:tc>
          <w:tcPr>
            <w:tcW w:w="20" w:type="dxa"/>
            <w:vAlign w:val="bottom"/>
          </w:tcPr>
          <w:p>
            <w:pPr>
              <w:spacing w:after="0"/>
              <w:rPr>
                <w:sz w:val="12"/>
                <w:szCs w:val="12"/>
                <w:color w:val="auto"/>
              </w:rPr>
            </w:pPr>
          </w:p>
        </w:tc>
        <w:tc>
          <w:tcPr>
            <w:tcW w:w="40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2023</w:t>
            </w:r>
          </w:p>
        </w:tc>
        <w:tc>
          <w:tcPr>
            <w:tcW w:w="40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color w:val="auto"/>
              </w:rPr>
              <w:t>542</w:t>
            </w:r>
          </w:p>
        </w:tc>
        <w:tc>
          <w:tcPr>
            <w:tcW w:w="13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color w:val="auto"/>
              </w:rPr>
              <w:t>2</w:t>
            </w:r>
          </w:p>
        </w:tc>
        <w:tc>
          <w:tcPr>
            <w:tcW w:w="4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544</w:t>
            </w:r>
          </w:p>
        </w:tc>
      </w:tr>
      <w:tr>
        <w:trPr>
          <w:trHeight w:val="144"/>
        </w:trPr>
        <w:tc>
          <w:tcPr>
            <w:tcW w:w="20" w:type="dxa"/>
            <w:vAlign w:val="bottom"/>
          </w:tcPr>
          <w:p>
            <w:pPr>
              <w:spacing w:after="0"/>
              <w:rPr>
                <w:sz w:val="12"/>
                <w:szCs w:val="12"/>
                <w:color w:val="auto"/>
              </w:rPr>
            </w:pPr>
          </w:p>
        </w:tc>
        <w:tc>
          <w:tcPr>
            <w:tcW w:w="4080" w:type="dxa"/>
            <w:vAlign w:val="bottom"/>
          </w:tcPr>
          <w:p>
            <w:pPr>
              <w:spacing w:after="0" w:line="144" w:lineRule="exact"/>
              <w:rPr>
                <w:sz w:val="20"/>
                <w:szCs w:val="20"/>
                <w:color w:val="auto"/>
              </w:rPr>
            </w:pPr>
            <w:r>
              <w:rPr>
                <w:rFonts w:ascii="Arial" w:cs="Arial" w:eastAsia="Arial" w:hAnsi="Arial"/>
                <w:sz w:val="13"/>
                <w:szCs w:val="13"/>
                <w:color w:val="auto"/>
              </w:rPr>
              <w:t>2024</w:t>
            </w:r>
          </w:p>
        </w:tc>
        <w:tc>
          <w:tcPr>
            <w:tcW w:w="400" w:type="dxa"/>
            <w:vAlign w:val="bottom"/>
          </w:tcPr>
          <w:p>
            <w:pPr>
              <w:spacing w:after="0"/>
              <w:rPr>
                <w:sz w:val="12"/>
                <w:szCs w:val="12"/>
                <w:color w:val="auto"/>
              </w:rPr>
            </w:pPr>
          </w:p>
        </w:tc>
        <w:tc>
          <w:tcPr>
            <w:tcW w:w="1360" w:type="dxa"/>
            <w:vAlign w:val="bottom"/>
          </w:tcPr>
          <w:p>
            <w:pPr>
              <w:jc w:val="right"/>
              <w:ind w:right="75"/>
              <w:spacing w:after="0" w:line="144" w:lineRule="exact"/>
              <w:rPr>
                <w:sz w:val="20"/>
                <w:szCs w:val="20"/>
                <w:color w:val="auto"/>
              </w:rPr>
            </w:pPr>
            <w:r>
              <w:rPr>
                <w:rFonts w:ascii="Arial" w:cs="Arial" w:eastAsia="Arial" w:hAnsi="Arial"/>
                <w:sz w:val="13"/>
                <w:szCs w:val="13"/>
                <w:color w:val="auto"/>
              </w:rPr>
              <w:t>458</w:t>
            </w:r>
          </w:p>
        </w:tc>
        <w:tc>
          <w:tcPr>
            <w:tcW w:w="1300" w:type="dxa"/>
            <w:vAlign w:val="bottom"/>
          </w:tcPr>
          <w:p>
            <w:pPr>
              <w:spacing w:after="0"/>
              <w:rPr>
                <w:sz w:val="12"/>
                <w:szCs w:val="12"/>
                <w:color w:val="auto"/>
              </w:rPr>
            </w:pPr>
          </w:p>
        </w:tc>
        <w:tc>
          <w:tcPr>
            <w:tcW w:w="300" w:type="dxa"/>
            <w:vAlign w:val="bottom"/>
          </w:tcPr>
          <w:p>
            <w:pPr>
              <w:jc w:val="right"/>
              <w:ind w:right="75"/>
              <w:spacing w:after="0" w:line="144" w:lineRule="exact"/>
              <w:rPr>
                <w:sz w:val="20"/>
                <w:szCs w:val="20"/>
                <w:color w:val="auto"/>
              </w:rPr>
            </w:pPr>
            <w:r>
              <w:rPr>
                <w:rFonts w:ascii="Arial" w:cs="Arial" w:eastAsia="Arial" w:hAnsi="Arial"/>
                <w:sz w:val="13"/>
                <w:szCs w:val="13"/>
                <w:color w:val="auto"/>
              </w:rPr>
              <w:t>2</w:t>
            </w:r>
          </w:p>
        </w:tc>
        <w:tc>
          <w:tcPr>
            <w:tcW w:w="440" w:type="dxa"/>
            <w:vAlign w:val="bottom"/>
          </w:tcPr>
          <w:p>
            <w:pPr>
              <w:spacing w:after="0"/>
              <w:rPr>
                <w:sz w:val="12"/>
                <w:szCs w:val="12"/>
                <w:color w:val="auto"/>
              </w:rPr>
            </w:pPr>
          </w:p>
        </w:tc>
        <w:tc>
          <w:tcPr>
            <w:tcW w:w="106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460</w:t>
            </w:r>
          </w:p>
        </w:tc>
      </w:tr>
      <w:tr>
        <w:trPr>
          <w:trHeight w:val="144"/>
        </w:trPr>
        <w:tc>
          <w:tcPr>
            <w:tcW w:w="20" w:type="dxa"/>
            <w:vAlign w:val="bottom"/>
          </w:tcPr>
          <w:p>
            <w:pPr>
              <w:spacing w:after="0"/>
              <w:rPr>
                <w:sz w:val="12"/>
                <w:szCs w:val="12"/>
                <w:color w:val="auto"/>
              </w:rPr>
            </w:pPr>
          </w:p>
        </w:tc>
        <w:tc>
          <w:tcPr>
            <w:tcW w:w="40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2025</w:t>
            </w:r>
          </w:p>
        </w:tc>
        <w:tc>
          <w:tcPr>
            <w:tcW w:w="400" w:type="dxa"/>
            <w:vAlign w:val="bottom"/>
            <w:shd w:val="clear" w:color="auto" w:fill="CCEEFF"/>
          </w:tcPr>
          <w:p>
            <w:pPr>
              <w:spacing w:after="0"/>
              <w:rPr>
                <w:sz w:val="12"/>
                <w:szCs w:val="12"/>
                <w:color w:val="auto"/>
              </w:rPr>
            </w:pPr>
          </w:p>
        </w:tc>
        <w:tc>
          <w:tcPr>
            <w:tcW w:w="136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color w:val="auto"/>
              </w:rPr>
              <w:t>366</w:t>
            </w:r>
          </w:p>
        </w:tc>
        <w:tc>
          <w:tcPr>
            <w:tcW w:w="1300" w:type="dxa"/>
            <w:vAlign w:val="bottom"/>
            <w:shd w:val="clear" w:color="auto" w:fill="CCEEFF"/>
          </w:tcPr>
          <w:p>
            <w:pPr>
              <w:spacing w:after="0"/>
              <w:rPr>
                <w:sz w:val="12"/>
                <w:szCs w:val="12"/>
                <w:color w:val="auto"/>
              </w:rPr>
            </w:pPr>
          </w:p>
        </w:tc>
        <w:tc>
          <w:tcPr>
            <w:tcW w:w="30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color w:val="auto"/>
              </w:rPr>
              <w:t>1</w:t>
            </w:r>
          </w:p>
        </w:tc>
        <w:tc>
          <w:tcPr>
            <w:tcW w:w="44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367</w:t>
            </w:r>
          </w:p>
        </w:tc>
      </w:tr>
      <w:tr>
        <w:trPr>
          <w:trHeight w:val="144"/>
        </w:trPr>
        <w:tc>
          <w:tcPr>
            <w:tcW w:w="20" w:type="dxa"/>
            <w:vAlign w:val="bottom"/>
          </w:tcPr>
          <w:p>
            <w:pPr>
              <w:spacing w:after="0"/>
              <w:rPr>
                <w:sz w:val="12"/>
                <w:szCs w:val="12"/>
                <w:color w:val="auto"/>
              </w:rPr>
            </w:pPr>
          </w:p>
        </w:tc>
        <w:tc>
          <w:tcPr>
            <w:tcW w:w="408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color w:val="auto"/>
              </w:rPr>
              <w:t>Thereafter</w:t>
            </w:r>
          </w:p>
        </w:tc>
        <w:tc>
          <w:tcPr>
            <w:tcW w:w="4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75"/>
              <w:spacing w:after="0" w:line="144" w:lineRule="exact"/>
              <w:rPr>
                <w:sz w:val="20"/>
                <w:szCs w:val="20"/>
                <w:color w:val="auto"/>
              </w:rPr>
            </w:pPr>
            <w:r>
              <w:rPr>
                <w:rFonts w:ascii="Arial" w:cs="Arial" w:eastAsia="Arial" w:hAnsi="Arial"/>
                <w:sz w:val="13"/>
                <w:szCs w:val="13"/>
                <w:color w:val="auto"/>
              </w:rPr>
              <w:t>943</w:t>
            </w:r>
          </w:p>
        </w:tc>
        <w:tc>
          <w:tcPr>
            <w:tcW w:w="13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ind w:right="75"/>
              <w:spacing w:after="0" w:line="144" w:lineRule="exact"/>
              <w:rPr>
                <w:sz w:val="20"/>
                <w:szCs w:val="20"/>
                <w:color w:val="auto"/>
              </w:rPr>
            </w:pPr>
            <w:r>
              <w:rPr>
                <w:rFonts w:ascii="Arial" w:cs="Arial" w:eastAsia="Arial" w:hAnsi="Arial"/>
                <w:sz w:val="13"/>
                <w:szCs w:val="13"/>
                <w:color w:val="auto"/>
              </w:rPr>
              <w:t>—</w:t>
            </w:r>
          </w:p>
        </w:tc>
        <w:tc>
          <w:tcPr>
            <w:tcW w:w="4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943</w:t>
            </w:r>
          </w:p>
        </w:tc>
      </w:tr>
      <w:tr>
        <w:trPr>
          <w:trHeight w:val="134"/>
        </w:trPr>
        <w:tc>
          <w:tcPr>
            <w:tcW w:w="20" w:type="dxa"/>
            <w:vAlign w:val="bottom"/>
          </w:tcPr>
          <w:p>
            <w:pPr>
              <w:spacing w:after="0"/>
              <w:rPr>
                <w:sz w:val="11"/>
                <w:szCs w:val="11"/>
                <w:color w:val="auto"/>
              </w:rPr>
            </w:pPr>
          </w:p>
        </w:tc>
        <w:tc>
          <w:tcPr>
            <w:tcW w:w="408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Total lease payments</w:t>
            </w:r>
          </w:p>
        </w:tc>
        <w:tc>
          <w:tcPr>
            <w:tcW w:w="400" w:type="dxa"/>
            <w:vAlign w:val="bottom"/>
            <w:shd w:val="clear" w:color="auto" w:fill="CCEEFF"/>
          </w:tcPr>
          <w:p>
            <w:pPr>
              <w:spacing w:after="0"/>
              <w:rPr>
                <w:sz w:val="11"/>
                <w:szCs w:val="11"/>
                <w:color w:val="auto"/>
              </w:rPr>
            </w:pPr>
          </w:p>
        </w:tc>
        <w:tc>
          <w:tcPr>
            <w:tcW w:w="1360" w:type="dxa"/>
            <w:vAlign w:val="bottom"/>
            <w:shd w:val="clear" w:color="auto" w:fill="CCEEFF"/>
          </w:tcPr>
          <w:p>
            <w:pPr>
              <w:jc w:val="right"/>
              <w:ind w:right="75"/>
              <w:spacing w:after="0" w:line="134" w:lineRule="exact"/>
              <w:rPr>
                <w:sz w:val="20"/>
                <w:szCs w:val="20"/>
                <w:color w:val="auto"/>
              </w:rPr>
            </w:pPr>
            <w:r>
              <w:rPr>
                <w:rFonts w:ascii="Arial" w:cs="Arial" w:eastAsia="Arial" w:hAnsi="Arial"/>
                <w:sz w:val="13"/>
                <w:szCs w:val="13"/>
                <w:color w:val="auto"/>
              </w:rPr>
              <w:t>3,651</w:t>
            </w:r>
          </w:p>
        </w:tc>
        <w:tc>
          <w:tcPr>
            <w:tcW w:w="130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75"/>
              <w:spacing w:after="0" w:line="134" w:lineRule="exact"/>
              <w:rPr>
                <w:sz w:val="20"/>
                <w:szCs w:val="20"/>
                <w:color w:val="auto"/>
              </w:rPr>
            </w:pPr>
            <w:r>
              <w:rPr>
                <w:rFonts w:ascii="Arial" w:cs="Arial" w:eastAsia="Arial" w:hAnsi="Arial"/>
                <w:sz w:val="13"/>
                <w:szCs w:val="13"/>
                <w:color w:val="auto"/>
                <w:w w:val="96"/>
              </w:rPr>
              <w:t>11</w:t>
            </w:r>
          </w:p>
        </w:tc>
        <w:tc>
          <w:tcPr>
            <w:tcW w:w="440" w:type="dxa"/>
            <w:vAlign w:val="bottom"/>
            <w:shd w:val="clear" w:color="auto" w:fill="CCEEFF"/>
          </w:tcPr>
          <w:p>
            <w:pPr>
              <w:spacing w:after="0"/>
              <w:rPr>
                <w:sz w:val="11"/>
                <w:szCs w:val="11"/>
                <w:color w:val="auto"/>
              </w:rPr>
            </w:pPr>
          </w:p>
        </w:tc>
        <w:tc>
          <w:tcPr>
            <w:tcW w:w="106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3,662</w:t>
            </w:r>
          </w:p>
        </w:tc>
      </w:tr>
      <w:tr>
        <w:trPr>
          <w:trHeight w:val="144"/>
        </w:trPr>
        <w:tc>
          <w:tcPr>
            <w:tcW w:w="20" w:type="dxa"/>
            <w:vAlign w:val="bottom"/>
          </w:tcPr>
          <w:p>
            <w:pPr>
              <w:spacing w:after="0"/>
              <w:rPr>
                <w:sz w:val="12"/>
                <w:szCs w:val="12"/>
                <w:color w:val="auto"/>
              </w:rPr>
            </w:pPr>
          </w:p>
        </w:tc>
        <w:tc>
          <w:tcPr>
            <w:tcW w:w="408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color w:val="auto"/>
              </w:rPr>
              <w:t>Less: Interest</w:t>
            </w:r>
          </w:p>
        </w:tc>
        <w:tc>
          <w:tcPr>
            <w:tcW w:w="4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75"/>
              <w:spacing w:after="0" w:line="144" w:lineRule="exact"/>
              <w:rPr>
                <w:sz w:val="20"/>
                <w:szCs w:val="20"/>
                <w:color w:val="auto"/>
              </w:rPr>
            </w:pPr>
            <w:r>
              <w:rPr>
                <w:rFonts w:ascii="Arial" w:cs="Arial" w:eastAsia="Arial" w:hAnsi="Arial"/>
                <w:sz w:val="13"/>
                <w:szCs w:val="13"/>
                <w:color w:val="auto"/>
              </w:rPr>
              <w:t>572</w:t>
            </w:r>
          </w:p>
        </w:tc>
        <w:tc>
          <w:tcPr>
            <w:tcW w:w="13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ind w:right="75"/>
              <w:spacing w:after="0" w:line="144" w:lineRule="exact"/>
              <w:rPr>
                <w:sz w:val="20"/>
                <w:szCs w:val="20"/>
                <w:color w:val="auto"/>
              </w:rPr>
            </w:pPr>
            <w:r>
              <w:rPr>
                <w:rFonts w:ascii="Arial" w:cs="Arial" w:eastAsia="Arial" w:hAnsi="Arial"/>
                <w:sz w:val="13"/>
                <w:szCs w:val="13"/>
                <w:color w:val="auto"/>
              </w:rPr>
              <w:t>1</w:t>
            </w:r>
          </w:p>
        </w:tc>
        <w:tc>
          <w:tcPr>
            <w:tcW w:w="4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573</w:t>
            </w:r>
          </w:p>
        </w:tc>
      </w:tr>
      <w:tr>
        <w:trPr>
          <w:trHeight w:val="134"/>
        </w:trPr>
        <w:tc>
          <w:tcPr>
            <w:tcW w:w="20" w:type="dxa"/>
            <w:vAlign w:val="bottom"/>
          </w:tcPr>
          <w:p>
            <w:pPr>
              <w:spacing w:after="0"/>
              <w:rPr>
                <w:sz w:val="11"/>
                <w:szCs w:val="11"/>
                <w:color w:val="auto"/>
              </w:rPr>
            </w:pPr>
          </w:p>
        </w:tc>
        <w:tc>
          <w:tcPr>
            <w:tcW w:w="4080" w:type="dxa"/>
            <w:vAlign w:val="bottom"/>
            <w:tcBorders>
              <w:bottom w:val="single" w:sz="8" w:color="auto"/>
            </w:tcBorders>
            <w:shd w:val="clear" w:color="auto" w:fill="CCEEFF"/>
          </w:tcPr>
          <w:p>
            <w:pPr>
              <w:spacing w:after="0" w:line="134" w:lineRule="exact"/>
              <w:rPr>
                <w:sz w:val="20"/>
                <w:szCs w:val="20"/>
                <w:color w:val="auto"/>
              </w:rPr>
            </w:pPr>
            <w:r>
              <w:rPr>
                <w:rFonts w:ascii="Arial" w:cs="Arial" w:eastAsia="Arial" w:hAnsi="Arial"/>
                <w:sz w:val="13"/>
                <w:szCs w:val="13"/>
                <w:color w:val="auto"/>
              </w:rPr>
              <w:t>Total lease liabilities</w:t>
            </w:r>
          </w:p>
        </w:tc>
        <w:tc>
          <w:tcPr>
            <w:tcW w:w="40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1360" w:type="dxa"/>
            <w:vAlign w:val="bottom"/>
            <w:tcBorders>
              <w:bottom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color w:val="auto"/>
              </w:rPr>
              <w:t>3,079</w:t>
            </w:r>
          </w:p>
        </w:tc>
        <w:tc>
          <w:tcPr>
            <w:tcW w:w="1300" w:type="dxa"/>
            <w:vAlign w:val="bottom"/>
            <w:tcBorders>
              <w:bottom w:val="single" w:sz="8" w:color="auto"/>
            </w:tcBorders>
            <w:shd w:val="clear" w:color="auto" w:fill="CCEEFF"/>
          </w:tcPr>
          <w:p>
            <w:pPr>
              <w:jc w:val="right"/>
              <w:ind w:right="1035"/>
              <w:spacing w:after="0" w:line="134" w:lineRule="exact"/>
              <w:rPr>
                <w:sz w:val="20"/>
                <w:szCs w:val="20"/>
                <w:color w:val="auto"/>
              </w:rPr>
            </w:pPr>
            <w:r>
              <w:rPr>
                <w:rFonts w:ascii="Arial" w:cs="Arial" w:eastAsia="Arial" w:hAnsi="Arial"/>
                <w:sz w:val="13"/>
                <w:szCs w:val="13"/>
                <w:color w:val="auto"/>
              </w:rPr>
              <w:t>$</w:t>
            </w:r>
          </w:p>
        </w:tc>
        <w:tc>
          <w:tcPr>
            <w:tcW w:w="300" w:type="dxa"/>
            <w:vAlign w:val="bottom"/>
            <w:tcBorders>
              <w:bottom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color w:val="auto"/>
                <w:w w:val="96"/>
              </w:rPr>
              <w:t>10</w:t>
            </w:r>
          </w:p>
        </w:tc>
        <w:tc>
          <w:tcPr>
            <w:tcW w:w="440" w:type="dxa"/>
            <w:vAlign w:val="bottom"/>
            <w:tcBorders>
              <w:bottom w:val="single" w:sz="8" w:color="auto"/>
            </w:tcBorders>
            <w:shd w:val="clear" w:color="auto" w:fill="CCEEFF"/>
          </w:tcPr>
          <w:p>
            <w:pPr>
              <w:jc w:val="right"/>
              <w:ind w:right="175"/>
              <w:spacing w:after="0" w:line="134"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3,089</w:t>
            </w:r>
          </w:p>
        </w:tc>
      </w:tr>
      <w:tr>
        <w:trPr>
          <w:trHeight w:val="20"/>
        </w:trPr>
        <w:tc>
          <w:tcPr>
            <w:tcW w:w="20" w:type="dxa"/>
            <w:vAlign w:val="bottom"/>
          </w:tcPr>
          <w:p>
            <w:pPr>
              <w:spacing w:after="0" w:line="20" w:lineRule="exact"/>
              <w:rPr>
                <w:sz w:val="1"/>
                <w:szCs w:val="1"/>
                <w:color w:val="auto"/>
              </w:rPr>
            </w:pPr>
          </w:p>
        </w:tc>
        <w:tc>
          <w:tcPr>
            <w:tcW w:w="4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left="7520"/>
        <w:spacing w:after="0"/>
        <w:rPr>
          <w:sz w:val="20"/>
          <w:szCs w:val="20"/>
          <w:color w:val="auto"/>
        </w:rPr>
      </w:pPr>
      <w:r>
        <w:rPr>
          <w:rFonts w:ascii="Arial" w:cs="Arial" w:eastAsia="Arial" w:hAnsi="Arial"/>
          <w:sz w:val="12"/>
          <w:szCs w:val="12"/>
          <w:color w:val="auto"/>
        </w:rPr>
        <w:t>2020 Form 10-K Page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365125</wp:posOffset>
            </wp:positionV>
            <wp:extent cx="5680075" cy="196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80075" cy="19685"/>
                    </a:xfrm>
                    <a:prstGeom prst="rect">
                      <a:avLst/>
                    </a:prstGeom>
                    <a:noFill/>
                  </pic:spPr>
                </pic:pic>
              </a:graphicData>
            </a:graphic>
          </wp:anchor>
        </w:drawing>
      </w:r>
    </w:p>
    <w:p>
      <w:pPr>
        <w:sectPr>
          <w:pgSz w:w="11900" w:h="16838" w:orient="portrait"/>
          <w:cols w:equalWidth="0" w:num="1">
            <w:col w:w="9019"/>
          </w:cols>
          <w:pgMar w:left="1440" w:top="995" w:right="1440"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2992755</wp:posOffset>
            </wp:positionH>
            <wp:positionV relativeFrom="page">
              <wp:posOffset>375285</wp:posOffset>
            </wp:positionV>
            <wp:extent cx="1563370" cy="169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clrChange>
                        <a:clrFrom>
                          <a:srgbClr val="FFFFFF"/>
                        </a:clrFrom>
                        <a:clrTo>
                          <a:srgbClr val="FFFFFF">
                            <a:alpha val="0"/>
                          </a:srgbClr>
                        </a:clrTo>
                      </a:clrChange>
                      <a:extLst>
                        <a:ext uri="{28A0092B-C50C-407E-A947-70E740481C1C}"/>
                      </a:extLst>
                    </a:blip>
                    <a:srcRect/>
                    <a:stretch>
                      <a:fillRect/>
                    </a:stretch>
                  </pic:blipFill>
                  <pic:spPr bwMode="auto">
                    <a:xfrm>
                      <a:off x="0" y="0"/>
                      <a:ext cx="1563370" cy="169545"/>
                    </a:xfrm>
                    <a:prstGeom prst="rect">
                      <a:avLst/>
                    </a:prstGeom>
                    <a:noFill/>
                  </pic:spPr>
                </pic:pic>
              </a:graphicData>
            </a:graphic>
          </wp:anchor>
        </w:drawing>
        <w:t>NOTES TO CONSOLIDATED FINANCIAL STATEMENTS</w:t>
      </w:r>
    </w:p>
    <w:p>
      <w:pPr>
        <w:spacing w:after="0" w:line="159" w:lineRule="exact"/>
        <w:rPr>
          <w:sz w:val="20"/>
          <w:szCs w:val="20"/>
          <w:color w:val="auto"/>
        </w:rPr>
      </w:pPr>
    </w:p>
    <w:p>
      <w:pPr>
        <w:ind w:left="20" w:right="39"/>
        <w:spacing w:after="0"/>
        <w:rPr>
          <w:sz w:val="20"/>
          <w:szCs w:val="20"/>
          <w:color w:val="auto"/>
        </w:rPr>
      </w:pPr>
      <w:r>
        <w:rPr>
          <w:rFonts w:ascii="Arial" w:cs="Arial" w:eastAsia="Arial" w:hAnsi="Arial"/>
          <w:sz w:val="13"/>
          <w:szCs w:val="13"/>
          <w:color w:val="auto"/>
        </w:rPr>
        <w:t>As of January 30, 2021, we signed operating leases primarily for retail stores that have not yet commenced and the total future undiscounted lease payments under these leases are $29 million.</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3"/>
          <w:szCs w:val="13"/>
          <w:color w:val="auto"/>
        </w:rPr>
        <w:t>Supplemental cash flow information related to leases for the year ended January 30, 2021 and February 1, 2020 were as follows:</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64"/>
        </w:trPr>
        <w:tc>
          <w:tcPr>
            <w:tcW w:w="4340" w:type="dxa"/>
            <w:vAlign w:val="bottom"/>
            <w:gridSpan w:val="2"/>
          </w:tcPr>
          <w:p>
            <w:pPr>
              <w:spacing w:after="0"/>
              <w:rPr>
                <w:sz w:val="20"/>
                <w:szCs w:val="20"/>
                <w:color w:val="auto"/>
              </w:rPr>
            </w:pPr>
            <w:r>
              <w:rPr>
                <w:rFonts w:ascii="Arial" w:cs="Arial" w:eastAsia="Arial" w:hAnsi="Arial"/>
                <w:sz w:val="13"/>
                <w:szCs w:val="13"/>
                <w:color w:val="auto"/>
              </w:rPr>
              <w:t>($ in millions)</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80" w:type="dxa"/>
            <w:vAlign w:val="bottom"/>
          </w:tcPr>
          <w:p>
            <w:pPr>
              <w:jc w:val="right"/>
              <w:ind w:right="415"/>
              <w:spacing w:after="0"/>
              <w:rPr>
                <w:sz w:val="20"/>
                <w:szCs w:val="20"/>
                <w:color w:val="auto"/>
              </w:rPr>
            </w:pPr>
            <w:r>
              <w:rPr>
                <w:rFonts w:ascii="Arial" w:cs="Arial" w:eastAsia="Arial" w:hAnsi="Arial"/>
                <w:sz w:val="13"/>
                <w:szCs w:val="13"/>
                <w:b w:val="1"/>
                <w:bCs w:val="1"/>
                <w:color w:val="auto"/>
              </w:rPr>
              <w:t>2020</w:t>
            </w:r>
          </w:p>
        </w:tc>
        <w:tc>
          <w:tcPr>
            <w:tcW w:w="440" w:type="dxa"/>
            <w:vAlign w:val="bottom"/>
          </w:tcPr>
          <w:p>
            <w:pPr>
              <w:spacing w:after="0"/>
              <w:rPr>
                <w:sz w:val="14"/>
                <w:szCs w:val="14"/>
                <w:color w:val="auto"/>
              </w:rPr>
            </w:pPr>
          </w:p>
        </w:tc>
        <w:tc>
          <w:tcPr>
            <w:tcW w:w="1000" w:type="dxa"/>
            <w:vAlign w:val="bottom"/>
          </w:tcPr>
          <w:p>
            <w:pPr>
              <w:jc w:val="right"/>
              <w:ind w:right="415"/>
              <w:spacing w:after="0"/>
              <w:rPr>
                <w:sz w:val="20"/>
                <w:szCs w:val="20"/>
                <w:color w:val="auto"/>
              </w:rPr>
            </w:pPr>
            <w:r>
              <w:rPr>
                <w:rFonts w:ascii="Arial" w:cs="Arial" w:eastAsia="Arial" w:hAnsi="Arial"/>
                <w:sz w:val="13"/>
                <w:szCs w:val="13"/>
                <w:color w:val="auto"/>
              </w:rPr>
              <w:t>2019</w:t>
            </w:r>
          </w:p>
        </w:tc>
        <w:tc>
          <w:tcPr>
            <w:tcW w:w="20" w:type="dxa"/>
            <w:vAlign w:val="bottom"/>
          </w:tcPr>
          <w:p>
            <w:pPr>
              <w:spacing w:after="0"/>
              <w:rPr>
                <w:sz w:val="14"/>
                <w:szCs w:val="14"/>
                <w:color w:val="auto"/>
              </w:rPr>
            </w:pPr>
          </w:p>
        </w:tc>
      </w:tr>
      <w:tr>
        <w:trPr>
          <w:trHeight w:val="134"/>
        </w:trPr>
        <w:tc>
          <w:tcPr>
            <w:tcW w:w="20" w:type="dxa"/>
            <w:vAlign w:val="bottom"/>
          </w:tcPr>
          <w:p>
            <w:pPr>
              <w:spacing w:after="0"/>
              <w:rPr>
                <w:sz w:val="11"/>
                <w:szCs w:val="11"/>
                <w:color w:val="auto"/>
              </w:rPr>
            </w:pPr>
          </w:p>
        </w:tc>
        <w:tc>
          <w:tcPr>
            <w:tcW w:w="4680" w:type="dxa"/>
            <w:vAlign w:val="bottom"/>
            <w:tcBorders>
              <w:top w:val="single" w:sz="8" w:color="auto"/>
            </w:tcBorders>
            <w:gridSpan w:val="2"/>
            <w:shd w:val="clear" w:color="auto" w:fill="CCEEFF"/>
          </w:tcPr>
          <w:p>
            <w:pPr>
              <w:spacing w:after="0" w:line="134" w:lineRule="exact"/>
              <w:rPr>
                <w:sz w:val="20"/>
                <w:szCs w:val="20"/>
                <w:color w:val="auto"/>
              </w:rPr>
            </w:pPr>
            <w:r>
              <w:rPr>
                <w:rFonts w:ascii="Arial" w:cs="Arial" w:eastAsia="Arial" w:hAnsi="Arial"/>
                <w:sz w:val="13"/>
                <w:szCs w:val="13"/>
                <w:color w:val="auto"/>
              </w:rPr>
              <w:t>Cash paid for amounts included in measurement of operating lease liabilities</w:t>
            </w:r>
          </w:p>
        </w:tc>
        <w:tc>
          <w:tcPr>
            <w:tcW w:w="11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ind w:right="15"/>
              <w:spacing w:after="0" w:line="134" w:lineRule="exact"/>
              <w:rPr>
                <w:sz w:val="20"/>
                <w:szCs w:val="20"/>
                <w:color w:val="auto"/>
              </w:rPr>
            </w:pPr>
            <w:r>
              <w:rPr>
                <w:rFonts w:ascii="Arial" w:cs="Arial" w:eastAsia="Arial" w:hAnsi="Arial"/>
                <w:sz w:val="13"/>
                <w:szCs w:val="13"/>
                <w:b w:val="1"/>
                <w:bCs w:val="1"/>
                <w:color w:val="auto"/>
              </w:rPr>
              <w:t>$</w:t>
            </w:r>
          </w:p>
        </w:tc>
        <w:tc>
          <w:tcPr>
            <w:tcW w:w="108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626</w:t>
            </w:r>
          </w:p>
        </w:tc>
        <w:tc>
          <w:tcPr>
            <w:tcW w:w="440" w:type="dxa"/>
            <w:vAlign w:val="bottom"/>
            <w:tcBorders>
              <w:top w:val="single" w:sz="8" w:color="auto"/>
            </w:tcBorders>
            <w:shd w:val="clear" w:color="auto" w:fill="CCEEFF"/>
          </w:tcPr>
          <w:p>
            <w:pPr>
              <w:jc w:val="right"/>
              <w:ind w:right="95"/>
              <w:spacing w:after="0" w:line="134" w:lineRule="exact"/>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679</w:t>
            </w:r>
          </w:p>
        </w:tc>
        <w:tc>
          <w:tcPr>
            <w:tcW w:w="20" w:type="dxa"/>
            <w:vAlign w:val="bottom"/>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4320" w:type="dxa"/>
            <w:vAlign w:val="bottom"/>
          </w:tcPr>
          <w:p>
            <w:pPr>
              <w:spacing w:after="0" w:line="144" w:lineRule="exact"/>
              <w:rPr>
                <w:sz w:val="20"/>
                <w:szCs w:val="20"/>
                <w:color w:val="auto"/>
              </w:rPr>
            </w:pPr>
            <w:r>
              <w:rPr>
                <w:rFonts w:ascii="Arial" w:cs="Arial" w:eastAsia="Arial" w:hAnsi="Arial"/>
                <w:sz w:val="13"/>
                <w:szCs w:val="13"/>
                <w:color w:val="auto"/>
              </w:rPr>
              <w:t>Right-of-use assets obtained in exchange for lease obligations</w:t>
            </w:r>
          </w:p>
        </w:tc>
        <w:tc>
          <w:tcPr>
            <w:tcW w:w="3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331</w:t>
            </w:r>
          </w:p>
        </w:tc>
        <w:tc>
          <w:tcPr>
            <w:tcW w:w="440" w:type="dxa"/>
            <w:vAlign w:val="bottom"/>
          </w:tcPr>
          <w:p>
            <w:pPr>
              <w:spacing w:after="0"/>
              <w:rPr>
                <w:sz w:val="12"/>
                <w:szCs w:val="12"/>
                <w:color w:val="auto"/>
              </w:rPr>
            </w:pPr>
          </w:p>
        </w:tc>
        <w:tc>
          <w:tcPr>
            <w:tcW w:w="1000" w:type="dxa"/>
            <w:vAlign w:val="bottom"/>
          </w:tcPr>
          <w:p>
            <w:pPr>
              <w:jc w:val="right"/>
              <w:spacing w:after="0" w:line="144" w:lineRule="exact"/>
              <w:rPr>
                <w:sz w:val="20"/>
                <w:szCs w:val="20"/>
                <w:color w:val="auto"/>
              </w:rPr>
            </w:pPr>
            <w:r>
              <w:rPr>
                <w:rFonts w:ascii="Arial" w:cs="Arial" w:eastAsia="Arial" w:hAnsi="Arial"/>
                <w:sz w:val="13"/>
                <w:szCs w:val="13"/>
                <w:color w:val="auto"/>
              </w:rPr>
              <w:t>322</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3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Cash paid for amounts included in measurement of finance lease liabilities</w:t>
            </w:r>
          </w:p>
        </w:tc>
        <w:tc>
          <w:tcPr>
            <w:tcW w:w="3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1</w:t>
            </w:r>
          </w:p>
        </w:tc>
        <w:tc>
          <w:tcPr>
            <w:tcW w:w="4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44"/>
        </w:trPr>
        <w:tc>
          <w:tcPr>
            <w:tcW w:w="20" w:type="dxa"/>
            <w:vAlign w:val="bottom"/>
            <w:tcBorders>
              <w:bottom w:val="single" w:sz="8" w:color="auto"/>
            </w:tcBorders>
          </w:tcPr>
          <w:p>
            <w:pPr>
              <w:spacing w:after="0"/>
              <w:rPr>
                <w:sz w:val="12"/>
                <w:szCs w:val="12"/>
                <w:color w:val="auto"/>
              </w:rPr>
            </w:pPr>
          </w:p>
        </w:tc>
        <w:tc>
          <w:tcPr>
            <w:tcW w:w="432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color w:val="auto"/>
              </w:rPr>
              <w:t>Leases obtained in exchange for finance lease obligations</w:t>
            </w: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11</w:t>
            </w:r>
          </w:p>
        </w:tc>
        <w:tc>
          <w:tcPr>
            <w:tcW w:w="4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305"/>
        </w:trPr>
        <w:tc>
          <w:tcPr>
            <w:tcW w:w="4340" w:type="dxa"/>
            <w:vAlign w:val="bottom"/>
            <w:gridSpan w:val="2"/>
          </w:tcPr>
          <w:p>
            <w:pPr>
              <w:spacing w:after="0"/>
              <w:rPr>
                <w:sz w:val="20"/>
                <w:szCs w:val="20"/>
                <w:color w:val="auto"/>
              </w:rPr>
            </w:pPr>
            <w:r>
              <w:rPr>
                <w:rFonts w:ascii="Arial" w:cs="Arial" w:eastAsia="Arial" w:hAnsi="Arial"/>
                <w:sz w:val="13"/>
                <w:szCs w:val="13"/>
                <w:b w:val="1"/>
                <w:bCs w:val="1"/>
                <w:color w:val="auto"/>
              </w:rPr>
              <w:t>15. Accumulated Other Comprehensive Loss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6"/>
        </w:trPr>
        <w:tc>
          <w:tcPr>
            <w:tcW w:w="4340" w:type="dxa"/>
            <w:vAlign w:val="bottom"/>
            <w:gridSpan w:val="2"/>
          </w:tcPr>
          <w:p>
            <w:pPr>
              <w:spacing w:after="0"/>
              <w:rPr>
                <w:sz w:val="20"/>
                <w:szCs w:val="20"/>
                <w:color w:val="auto"/>
              </w:rPr>
            </w:pPr>
            <w:r>
              <w:rPr>
                <w:rFonts w:ascii="Arial" w:cs="Arial" w:eastAsia="Arial" w:hAnsi="Arial"/>
                <w:sz w:val="13"/>
                <w:szCs w:val="13"/>
                <w:color w:val="auto"/>
              </w:rPr>
              <w:t>AOCL, net of tax, is comprised of the following:</w:t>
            </w: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8"/>
        </w:trPr>
        <w:tc>
          <w:tcPr>
            <w:tcW w:w="4340" w:type="dxa"/>
            <w:vAlign w:val="bottom"/>
            <w:gridSpan w:val="2"/>
          </w:tcPr>
          <w:p>
            <w:pPr>
              <w:ind w:left="20"/>
              <w:spacing w:after="0"/>
              <w:rPr>
                <w:sz w:val="20"/>
                <w:szCs w:val="20"/>
                <w:color w:val="auto"/>
              </w:rPr>
            </w:pPr>
            <w:r>
              <w:rPr>
                <w:rFonts w:ascii="Arial" w:cs="Arial" w:eastAsia="Arial" w:hAnsi="Arial"/>
                <w:sz w:val="13"/>
                <w:szCs w:val="13"/>
                <w:color w:val="auto"/>
              </w:rPr>
              <w:t>($ in millions)</w:t>
            </w:r>
          </w:p>
        </w:tc>
        <w:tc>
          <w:tcPr>
            <w:tcW w:w="360" w:type="dxa"/>
            <w:vAlign w:val="bottom"/>
          </w:tcPr>
          <w:p>
            <w:pPr>
              <w:spacing w:after="0"/>
              <w:rPr>
                <w:sz w:val="18"/>
                <w:szCs w:val="18"/>
                <w:color w:val="auto"/>
              </w:rPr>
            </w:pPr>
          </w:p>
        </w:tc>
        <w:tc>
          <w:tcPr>
            <w:tcW w:w="1180" w:type="dxa"/>
            <w:vAlign w:val="bottom"/>
          </w:tcPr>
          <w:p>
            <w:pPr>
              <w:jc w:val="right"/>
              <w:ind w:right="595"/>
              <w:spacing w:after="0"/>
              <w:rPr>
                <w:sz w:val="20"/>
                <w:szCs w:val="20"/>
                <w:color w:val="auto"/>
              </w:rPr>
            </w:pPr>
            <w:r>
              <w:rPr>
                <w:rFonts w:ascii="Arial" w:cs="Arial" w:eastAsia="Arial" w:hAnsi="Arial"/>
                <w:sz w:val="13"/>
                <w:szCs w:val="13"/>
                <w:b w:val="1"/>
                <w:bCs w:val="1"/>
                <w:color w:val="auto"/>
              </w:rPr>
              <w:t>2020</w:t>
            </w:r>
          </w:p>
        </w:tc>
        <w:tc>
          <w:tcPr>
            <w:tcW w:w="560" w:type="dxa"/>
            <w:vAlign w:val="bottom"/>
          </w:tcPr>
          <w:p>
            <w:pPr>
              <w:spacing w:after="0"/>
              <w:rPr>
                <w:sz w:val="18"/>
                <w:szCs w:val="18"/>
                <w:color w:val="auto"/>
              </w:rPr>
            </w:pPr>
          </w:p>
        </w:tc>
        <w:tc>
          <w:tcPr>
            <w:tcW w:w="1080" w:type="dxa"/>
            <w:vAlign w:val="bottom"/>
          </w:tcPr>
          <w:p>
            <w:pPr>
              <w:jc w:val="right"/>
              <w:ind w:right="635"/>
              <w:spacing w:after="0"/>
              <w:rPr>
                <w:sz w:val="20"/>
                <w:szCs w:val="20"/>
                <w:color w:val="auto"/>
              </w:rPr>
            </w:pPr>
            <w:r>
              <w:rPr>
                <w:rFonts w:ascii="Arial" w:cs="Arial" w:eastAsia="Arial" w:hAnsi="Arial"/>
                <w:sz w:val="13"/>
                <w:szCs w:val="13"/>
                <w:color w:val="auto"/>
              </w:rPr>
              <w:t>2019</w:t>
            </w:r>
          </w:p>
        </w:tc>
        <w:tc>
          <w:tcPr>
            <w:tcW w:w="440" w:type="dxa"/>
            <w:vAlign w:val="bottom"/>
          </w:tcPr>
          <w:p>
            <w:pPr>
              <w:spacing w:after="0"/>
              <w:rPr>
                <w:sz w:val="18"/>
                <w:szCs w:val="18"/>
                <w:color w:val="auto"/>
              </w:rPr>
            </w:pPr>
          </w:p>
        </w:tc>
        <w:tc>
          <w:tcPr>
            <w:tcW w:w="1000" w:type="dxa"/>
            <w:vAlign w:val="bottom"/>
          </w:tcPr>
          <w:p>
            <w:pPr>
              <w:jc w:val="right"/>
              <w:ind w:right="475"/>
              <w:spacing w:after="0"/>
              <w:rPr>
                <w:sz w:val="20"/>
                <w:szCs w:val="20"/>
                <w:color w:val="auto"/>
              </w:rPr>
            </w:pPr>
            <w:r>
              <w:rPr>
                <w:rFonts w:ascii="Arial" w:cs="Arial" w:eastAsia="Arial" w:hAnsi="Arial"/>
                <w:sz w:val="13"/>
                <w:szCs w:val="13"/>
                <w:color w:val="auto"/>
              </w:rPr>
              <w:t>2018</w:t>
            </w:r>
          </w:p>
        </w:tc>
        <w:tc>
          <w:tcPr>
            <w:tcW w:w="20" w:type="dxa"/>
            <w:vAlign w:val="bottom"/>
          </w:tcPr>
          <w:p>
            <w:pPr>
              <w:spacing w:after="0"/>
              <w:rPr>
                <w:sz w:val="18"/>
                <w:szCs w:val="18"/>
                <w:color w:val="auto"/>
              </w:rPr>
            </w:pPr>
          </w:p>
        </w:tc>
      </w:tr>
      <w:tr>
        <w:trPr>
          <w:trHeight w:val="134"/>
        </w:trPr>
        <w:tc>
          <w:tcPr>
            <w:tcW w:w="20" w:type="dxa"/>
            <w:vAlign w:val="bottom"/>
          </w:tcPr>
          <w:p>
            <w:pPr>
              <w:spacing w:after="0"/>
              <w:rPr>
                <w:sz w:val="11"/>
                <w:szCs w:val="11"/>
                <w:color w:val="auto"/>
              </w:rPr>
            </w:pPr>
          </w:p>
        </w:tc>
        <w:tc>
          <w:tcPr>
            <w:tcW w:w="4320" w:type="dxa"/>
            <w:vAlign w:val="bottom"/>
            <w:tcBorders>
              <w:top w:val="single" w:sz="8" w:color="auto"/>
            </w:tcBorders>
            <w:shd w:val="clear" w:color="auto" w:fill="CCEEFF"/>
          </w:tcPr>
          <w:p>
            <w:pPr>
              <w:spacing w:after="0" w:line="134" w:lineRule="exact"/>
              <w:rPr>
                <w:sz w:val="20"/>
                <w:szCs w:val="20"/>
                <w:color w:val="auto"/>
              </w:rPr>
            </w:pPr>
            <w:r>
              <w:rPr>
                <w:rFonts w:ascii="Arial" w:cs="Arial" w:eastAsia="Arial" w:hAnsi="Arial"/>
                <w:sz w:val="13"/>
                <w:szCs w:val="13"/>
                <w:color w:val="auto"/>
              </w:rPr>
              <w:t>Foreign currency translation adjustments</w:t>
            </w:r>
          </w:p>
        </w:tc>
        <w:tc>
          <w:tcPr>
            <w:tcW w:w="360" w:type="dxa"/>
            <w:vAlign w:val="bottom"/>
            <w:tcBorders>
              <w:top w:val="single" w:sz="8" w:color="auto"/>
            </w:tcBorders>
            <w:shd w:val="clear" w:color="auto" w:fill="CCEEFF"/>
          </w:tcPr>
          <w:p>
            <w:pPr>
              <w:jc w:val="right"/>
              <w:ind w:right="175"/>
              <w:spacing w:after="0" w:line="134" w:lineRule="exact"/>
              <w:rPr>
                <w:sz w:val="20"/>
                <w:szCs w:val="20"/>
                <w:color w:val="auto"/>
              </w:rPr>
            </w:pPr>
            <w:r>
              <w:rPr>
                <w:rFonts w:ascii="Arial" w:cs="Arial" w:eastAsia="Arial" w:hAnsi="Arial"/>
                <w:sz w:val="13"/>
                <w:szCs w:val="13"/>
                <w:b w:val="1"/>
                <w:bCs w:val="1"/>
                <w:color w:val="auto"/>
              </w:rPr>
              <w:t>$</w:t>
            </w:r>
          </w:p>
        </w:tc>
        <w:tc>
          <w:tcPr>
            <w:tcW w:w="1180" w:type="dxa"/>
            <w:vAlign w:val="bottom"/>
            <w:tcBorders>
              <w:top w:val="single" w:sz="8" w:color="auto"/>
            </w:tcBorders>
            <w:shd w:val="clear" w:color="auto" w:fill="CCEEFF"/>
          </w:tcPr>
          <w:p>
            <w:pPr>
              <w:jc w:val="right"/>
              <w:ind w:right="55"/>
              <w:spacing w:after="0" w:line="134" w:lineRule="exact"/>
              <w:rPr>
                <w:sz w:val="20"/>
                <w:szCs w:val="20"/>
                <w:color w:val="auto"/>
              </w:rPr>
            </w:pPr>
            <w:r>
              <w:rPr>
                <w:rFonts w:ascii="Arial" w:cs="Arial" w:eastAsia="Arial" w:hAnsi="Arial"/>
                <w:sz w:val="13"/>
                <w:szCs w:val="13"/>
                <w:b w:val="1"/>
                <w:bCs w:val="1"/>
                <w:color w:val="auto"/>
              </w:rPr>
              <w:t>(64)</w:t>
            </w:r>
          </w:p>
        </w:tc>
        <w:tc>
          <w:tcPr>
            <w:tcW w:w="560" w:type="dxa"/>
            <w:vAlign w:val="bottom"/>
            <w:tcBorders>
              <w:top w:val="single" w:sz="8" w:color="auto"/>
            </w:tcBorders>
            <w:shd w:val="clear" w:color="auto" w:fill="CCEEFF"/>
          </w:tcPr>
          <w:p>
            <w:pPr>
              <w:jc w:val="right"/>
              <w:ind w:right="315"/>
              <w:spacing w:after="0" w:line="134" w:lineRule="exact"/>
              <w:rPr>
                <w:sz w:val="20"/>
                <w:szCs w:val="20"/>
                <w:color w:val="auto"/>
              </w:rPr>
            </w:pPr>
            <w:r>
              <w:rPr>
                <w:rFonts w:ascii="Arial" w:cs="Arial" w:eastAsia="Arial" w:hAnsi="Arial"/>
                <w:sz w:val="13"/>
                <w:szCs w:val="13"/>
                <w:color w:val="auto"/>
              </w:rPr>
              <w:t>$</w:t>
            </w:r>
          </w:p>
        </w:tc>
        <w:tc>
          <w:tcPr>
            <w:tcW w:w="1080" w:type="dxa"/>
            <w:vAlign w:val="bottom"/>
            <w:tcBorders>
              <w:top w:val="single" w:sz="8" w:color="auto"/>
            </w:tcBorders>
            <w:shd w:val="clear" w:color="auto" w:fill="CCEEFF"/>
          </w:tcPr>
          <w:p>
            <w:pPr>
              <w:jc w:val="right"/>
              <w:ind w:right="95"/>
              <w:spacing w:after="0" w:line="134" w:lineRule="exact"/>
              <w:rPr>
                <w:sz w:val="20"/>
                <w:szCs w:val="20"/>
                <w:color w:val="auto"/>
              </w:rPr>
            </w:pPr>
            <w:r>
              <w:rPr>
                <w:rFonts w:ascii="Arial" w:cs="Arial" w:eastAsia="Arial" w:hAnsi="Arial"/>
                <w:sz w:val="13"/>
                <w:szCs w:val="13"/>
                <w:color w:val="auto"/>
              </w:rPr>
              <w:t>(104)</w:t>
            </w:r>
          </w:p>
        </w:tc>
        <w:tc>
          <w:tcPr>
            <w:tcW w:w="440" w:type="dxa"/>
            <w:vAlign w:val="bottom"/>
            <w:tcBorders>
              <w:top w:val="single" w:sz="8" w:color="auto"/>
            </w:tcBorders>
            <w:shd w:val="clear" w:color="auto" w:fill="CCEEFF"/>
          </w:tcPr>
          <w:p>
            <w:pPr>
              <w:jc w:val="right"/>
              <w:ind w:right="235"/>
              <w:spacing w:after="0" w:line="134" w:lineRule="exact"/>
              <w:rPr>
                <w:sz w:val="20"/>
                <w:szCs w:val="20"/>
                <w:color w:val="auto"/>
              </w:rPr>
            </w:pPr>
            <w:r>
              <w:rPr>
                <w:rFonts w:ascii="Arial" w:cs="Arial" w:eastAsia="Arial" w:hAnsi="Arial"/>
                <w:sz w:val="13"/>
                <w:szCs w:val="13"/>
                <w:color w:val="auto"/>
              </w:rPr>
              <w:t>$</w:t>
            </w:r>
          </w:p>
        </w:tc>
        <w:tc>
          <w:tcPr>
            <w:tcW w:w="100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(84)</w:t>
            </w:r>
          </w:p>
        </w:tc>
        <w:tc>
          <w:tcPr>
            <w:tcW w:w="20" w:type="dxa"/>
            <w:vAlign w:val="bottom"/>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4320" w:type="dxa"/>
            <w:vAlign w:val="bottom"/>
          </w:tcPr>
          <w:p>
            <w:pPr>
              <w:spacing w:after="0" w:line="144" w:lineRule="exact"/>
              <w:rPr>
                <w:sz w:val="20"/>
                <w:szCs w:val="20"/>
                <w:color w:val="auto"/>
              </w:rPr>
            </w:pPr>
            <w:r>
              <w:rPr>
                <w:rFonts w:ascii="Arial" w:cs="Arial" w:eastAsia="Arial" w:hAnsi="Arial"/>
                <w:sz w:val="13"/>
                <w:szCs w:val="13"/>
                <w:color w:val="auto"/>
              </w:rPr>
              <w:t>Cash flow hedges</w:t>
            </w:r>
          </w:p>
        </w:tc>
        <w:tc>
          <w:tcPr>
            <w:tcW w:w="360" w:type="dxa"/>
            <w:vAlign w:val="bottom"/>
          </w:tcPr>
          <w:p>
            <w:pPr>
              <w:spacing w:after="0"/>
              <w:rPr>
                <w:sz w:val="12"/>
                <w:szCs w:val="12"/>
                <w:color w:val="auto"/>
              </w:rPr>
            </w:pPr>
          </w:p>
        </w:tc>
        <w:tc>
          <w:tcPr>
            <w:tcW w:w="1180" w:type="dxa"/>
            <w:vAlign w:val="bottom"/>
          </w:tcPr>
          <w:p>
            <w:pPr>
              <w:jc w:val="right"/>
              <w:ind w:right="55"/>
              <w:spacing w:after="0" w:line="144" w:lineRule="exact"/>
              <w:rPr>
                <w:sz w:val="20"/>
                <w:szCs w:val="20"/>
                <w:color w:val="auto"/>
              </w:rPr>
            </w:pPr>
            <w:r>
              <w:rPr>
                <w:rFonts w:ascii="Arial" w:cs="Arial" w:eastAsia="Arial" w:hAnsi="Arial"/>
                <w:sz w:val="13"/>
                <w:szCs w:val="13"/>
                <w:b w:val="1"/>
                <w:bCs w:val="1"/>
                <w:color w:val="auto"/>
              </w:rPr>
              <w:t>(1)</w:t>
            </w:r>
          </w:p>
        </w:tc>
        <w:tc>
          <w:tcPr>
            <w:tcW w:w="560" w:type="dxa"/>
            <w:vAlign w:val="bottom"/>
          </w:tcPr>
          <w:p>
            <w:pPr>
              <w:spacing w:after="0"/>
              <w:rPr>
                <w:sz w:val="12"/>
                <w:szCs w:val="12"/>
                <w:color w:val="auto"/>
              </w:rPr>
            </w:pPr>
          </w:p>
        </w:tc>
        <w:tc>
          <w:tcPr>
            <w:tcW w:w="1080" w:type="dxa"/>
            <w:vAlign w:val="bottom"/>
          </w:tcPr>
          <w:p>
            <w:pPr>
              <w:jc w:val="right"/>
              <w:ind w:right="95"/>
              <w:spacing w:after="0" w:line="144" w:lineRule="exact"/>
              <w:rPr>
                <w:sz w:val="20"/>
                <w:szCs w:val="20"/>
                <w:color w:val="auto"/>
              </w:rPr>
            </w:pPr>
            <w:r>
              <w:rPr>
                <w:rFonts w:ascii="Arial" w:cs="Arial" w:eastAsia="Arial" w:hAnsi="Arial"/>
                <w:sz w:val="13"/>
                <w:szCs w:val="13"/>
                <w:color w:val="auto"/>
              </w:rPr>
              <w:t>(3)</w:t>
            </w:r>
          </w:p>
        </w:tc>
        <w:tc>
          <w:tcPr>
            <w:tcW w:w="440" w:type="dxa"/>
            <w:vAlign w:val="bottom"/>
          </w:tcPr>
          <w:p>
            <w:pPr>
              <w:spacing w:after="0"/>
              <w:rPr>
                <w:sz w:val="12"/>
                <w:szCs w:val="12"/>
                <w:color w:val="auto"/>
              </w:rPr>
            </w:pPr>
          </w:p>
        </w:tc>
        <w:tc>
          <w:tcPr>
            <w:tcW w:w="10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320" w:type="dxa"/>
            <w:vAlign w:val="bottom"/>
            <w:tcBorders>
              <w:bottom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rPr>
              <w:t>Unrecognized pension cost and postretirement benefit</w:t>
            </w:r>
          </w:p>
        </w:tc>
        <w:tc>
          <w:tcPr>
            <w:tcW w:w="36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ind w:right="55"/>
              <w:spacing w:after="0" w:line="144" w:lineRule="exact"/>
              <w:rPr>
                <w:sz w:val="20"/>
                <w:szCs w:val="20"/>
                <w:color w:val="auto"/>
              </w:rPr>
            </w:pPr>
            <w:r>
              <w:rPr>
                <w:rFonts w:ascii="Arial" w:cs="Arial" w:eastAsia="Arial" w:hAnsi="Arial"/>
                <w:sz w:val="13"/>
                <w:szCs w:val="13"/>
                <w:b w:val="1"/>
                <w:bCs w:val="1"/>
                <w:color w:val="auto"/>
              </w:rPr>
              <w:t>(266)</w:t>
            </w:r>
          </w:p>
        </w:tc>
        <w:tc>
          <w:tcPr>
            <w:tcW w:w="56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ind w:right="95"/>
              <w:spacing w:after="0" w:line="144" w:lineRule="exact"/>
              <w:rPr>
                <w:sz w:val="20"/>
                <w:szCs w:val="20"/>
                <w:color w:val="auto"/>
              </w:rPr>
            </w:pPr>
            <w:r>
              <w:rPr>
                <w:rFonts w:ascii="Arial" w:cs="Arial" w:eastAsia="Arial" w:hAnsi="Arial"/>
                <w:sz w:val="13"/>
                <w:szCs w:val="13"/>
                <w:color w:val="auto"/>
              </w:rPr>
              <w:t>(287)</w:t>
            </w:r>
          </w:p>
        </w:tc>
        <w:tc>
          <w:tcPr>
            <w:tcW w:w="44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(286)</w:t>
            </w:r>
          </w:p>
        </w:tc>
        <w:tc>
          <w:tcPr>
            <w:tcW w:w="20" w:type="dxa"/>
            <w:vAlign w:val="bottom"/>
          </w:tcPr>
          <w:p>
            <w:pPr>
              <w:spacing w:after="0"/>
              <w:rPr>
                <w:sz w:val="12"/>
                <w:szCs w:val="12"/>
                <w:color w:val="auto"/>
              </w:rPr>
            </w:pPr>
          </w:p>
        </w:tc>
      </w:tr>
      <w:tr>
        <w:trPr>
          <w:trHeight w:val="134"/>
        </w:trPr>
        <w:tc>
          <w:tcPr>
            <w:tcW w:w="20" w:type="dxa"/>
            <w:vAlign w:val="bottom"/>
          </w:tcPr>
          <w:p>
            <w:pPr>
              <w:spacing w:after="0"/>
              <w:rPr>
                <w:sz w:val="11"/>
                <w:szCs w:val="11"/>
                <w:color w:val="auto"/>
              </w:rPr>
            </w:pPr>
          </w:p>
        </w:tc>
        <w:tc>
          <w:tcPr>
            <w:tcW w:w="43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jc w:val="right"/>
              <w:ind w:right="175"/>
              <w:spacing w:after="0" w:line="134" w:lineRule="exact"/>
              <w:rPr>
                <w:sz w:val="20"/>
                <w:szCs w:val="20"/>
                <w:color w:val="auto"/>
              </w:rPr>
            </w:pPr>
            <w:r>
              <w:rPr>
                <w:rFonts w:ascii="Arial" w:cs="Arial" w:eastAsia="Arial" w:hAnsi="Arial"/>
                <w:sz w:val="13"/>
                <w:szCs w:val="13"/>
                <w:b w:val="1"/>
                <w:bCs w:val="1"/>
                <w:color w:val="auto"/>
              </w:rPr>
              <w:t>$</w:t>
            </w:r>
          </w:p>
        </w:tc>
        <w:tc>
          <w:tcPr>
            <w:tcW w:w="1180" w:type="dxa"/>
            <w:vAlign w:val="bottom"/>
            <w:tcBorders>
              <w:bottom w:val="single" w:sz="8" w:color="auto"/>
            </w:tcBorders>
          </w:tcPr>
          <w:p>
            <w:pPr>
              <w:jc w:val="right"/>
              <w:ind w:right="55"/>
              <w:spacing w:after="0" w:line="134" w:lineRule="exact"/>
              <w:rPr>
                <w:sz w:val="20"/>
                <w:szCs w:val="20"/>
                <w:color w:val="auto"/>
              </w:rPr>
            </w:pPr>
            <w:r>
              <w:rPr>
                <w:rFonts w:ascii="Arial" w:cs="Arial" w:eastAsia="Arial" w:hAnsi="Arial"/>
                <w:sz w:val="13"/>
                <w:szCs w:val="13"/>
                <w:b w:val="1"/>
                <w:bCs w:val="1"/>
                <w:color w:val="auto"/>
              </w:rPr>
              <w:t>(331)</w:t>
            </w:r>
          </w:p>
        </w:tc>
        <w:tc>
          <w:tcPr>
            <w:tcW w:w="560" w:type="dxa"/>
            <w:vAlign w:val="bottom"/>
            <w:tcBorders>
              <w:bottom w:val="single" w:sz="8" w:color="auto"/>
            </w:tcBorders>
          </w:tcPr>
          <w:p>
            <w:pPr>
              <w:jc w:val="right"/>
              <w:ind w:right="315"/>
              <w:spacing w:after="0" w:line="134" w:lineRule="exact"/>
              <w:rPr>
                <w:sz w:val="20"/>
                <w:szCs w:val="20"/>
                <w:color w:val="auto"/>
              </w:rPr>
            </w:pPr>
            <w:r>
              <w:rPr>
                <w:rFonts w:ascii="Arial" w:cs="Arial" w:eastAsia="Arial" w:hAnsi="Arial"/>
                <w:sz w:val="13"/>
                <w:szCs w:val="13"/>
                <w:color w:val="auto"/>
              </w:rPr>
              <w:t>$</w:t>
            </w:r>
          </w:p>
        </w:tc>
        <w:tc>
          <w:tcPr>
            <w:tcW w:w="1080" w:type="dxa"/>
            <w:vAlign w:val="bottom"/>
            <w:tcBorders>
              <w:bottom w:val="single" w:sz="8" w:color="auto"/>
            </w:tcBorders>
          </w:tcPr>
          <w:p>
            <w:pPr>
              <w:jc w:val="right"/>
              <w:ind w:right="95"/>
              <w:spacing w:after="0" w:line="134" w:lineRule="exact"/>
              <w:rPr>
                <w:sz w:val="20"/>
                <w:szCs w:val="20"/>
                <w:color w:val="auto"/>
              </w:rPr>
            </w:pPr>
            <w:r>
              <w:rPr>
                <w:rFonts w:ascii="Arial" w:cs="Arial" w:eastAsia="Arial" w:hAnsi="Arial"/>
                <w:sz w:val="13"/>
                <w:szCs w:val="13"/>
                <w:color w:val="auto"/>
              </w:rPr>
              <w:t>(394)</w:t>
            </w:r>
          </w:p>
        </w:tc>
        <w:tc>
          <w:tcPr>
            <w:tcW w:w="440" w:type="dxa"/>
            <w:vAlign w:val="bottom"/>
            <w:tcBorders>
              <w:bottom w:val="single" w:sz="8" w:color="auto"/>
            </w:tcBorders>
          </w:tcPr>
          <w:p>
            <w:pPr>
              <w:jc w:val="right"/>
              <w:ind w:right="235"/>
              <w:spacing w:after="0" w:line="134" w:lineRule="exact"/>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(370)</w:t>
            </w:r>
          </w:p>
        </w:tc>
        <w:tc>
          <w:tcPr>
            <w:tcW w:w="20" w:type="dxa"/>
            <w:vAlign w:val="bottom"/>
            <w:tcBorders>
              <w:bottom w:val="single" w:sz="8" w:color="auto"/>
            </w:tcBorders>
          </w:tcPr>
          <w:p>
            <w:pPr>
              <w:spacing w:after="0"/>
              <w:rPr>
                <w:sz w:val="11"/>
                <w:szCs w:val="1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8" w:lineRule="exact"/>
        <w:rPr>
          <w:sz w:val="20"/>
          <w:szCs w:val="20"/>
          <w:color w:val="auto"/>
        </w:rPr>
      </w:pPr>
    </w:p>
    <w:p>
      <w:pPr>
        <w:ind w:left="20"/>
        <w:spacing w:after="0"/>
        <w:rPr>
          <w:sz w:val="20"/>
          <w:szCs w:val="20"/>
          <w:color w:val="auto"/>
        </w:rPr>
      </w:pPr>
      <w:r>
        <w:rPr>
          <w:rFonts w:ascii="Arial" w:cs="Arial" w:eastAsia="Arial" w:hAnsi="Arial"/>
          <w:sz w:val="13"/>
          <w:szCs w:val="13"/>
          <w:color w:val="auto"/>
        </w:rPr>
        <w:t>The changes in AOCL for the year ended January 30, 2021 were as follows:</w:t>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60" w:type="dxa"/>
            <w:vAlign w:val="bottom"/>
          </w:tcPr>
          <w:p>
            <w:pPr>
              <w:jc w:val="center"/>
              <w:ind w:right="155"/>
              <w:spacing w:after="0"/>
              <w:rPr>
                <w:sz w:val="20"/>
                <w:szCs w:val="20"/>
                <w:color w:val="auto"/>
              </w:rPr>
            </w:pPr>
            <w:r>
              <w:rPr>
                <w:rFonts w:ascii="Arial" w:cs="Arial" w:eastAsia="Arial" w:hAnsi="Arial"/>
                <w:sz w:val="13"/>
                <w:szCs w:val="13"/>
                <w:b w:val="1"/>
                <w:bCs w:val="1"/>
                <w:color w:val="auto"/>
              </w:rPr>
              <w:t>Foreign</w:t>
            </w: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jc w:val="center"/>
              <w:ind w:right="155"/>
              <w:spacing w:after="0"/>
              <w:rPr>
                <w:sz w:val="20"/>
                <w:szCs w:val="20"/>
                <w:color w:val="auto"/>
              </w:rPr>
            </w:pPr>
            <w:r>
              <w:rPr>
                <w:rFonts w:ascii="Arial" w:cs="Arial" w:eastAsia="Arial" w:hAnsi="Arial"/>
                <w:sz w:val="13"/>
                <w:szCs w:val="13"/>
                <w:b w:val="1"/>
                <w:bCs w:val="1"/>
                <w:color w:val="auto"/>
              </w:rPr>
              <w:t>Items Related</w:t>
            </w: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tcPr>
          <w:p>
            <w:pPr>
              <w:jc w:val="center"/>
              <w:ind w:right="135"/>
              <w:spacing w:after="0" w:line="144" w:lineRule="exact"/>
              <w:rPr>
                <w:sz w:val="20"/>
                <w:szCs w:val="20"/>
                <w:color w:val="auto"/>
              </w:rPr>
            </w:pPr>
            <w:r>
              <w:rPr>
                <w:rFonts w:ascii="Arial" w:cs="Arial" w:eastAsia="Arial" w:hAnsi="Arial"/>
                <w:sz w:val="13"/>
                <w:szCs w:val="13"/>
                <w:b w:val="1"/>
                <w:bCs w:val="1"/>
                <w:color w:val="auto"/>
              </w:rPr>
              <w:t>Currency</w:t>
            </w: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jc w:val="center"/>
              <w:ind w:right="155"/>
              <w:spacing w:after="0" w:line="144" w:lineRule="exact"/>
              <w:rPr>
                <w:sz w:val="20"/>
                <w:szCs w:val="20"/>
                <w:color w:val="auto"/>
              </w:rPr>
            </w:pPr>
            <w:r>
              <w:rPr>
                <w:rFonts w:ascii="Arial" w:cs="Arial" w:eastAsia="Arial" w:hAnsi="Arial"/>
                <w:sz w:val="13"/>
                <w:szCs w:val="13"/>
                <w:b w:val="1"/>
                <w:bCs w:val="1"/>
                <w:color w:val="auto"/>
              </w:rPr>
              <w:t>to Pension and</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tcPr>
          <w:p>
            <w:pPr>
              <w:jc w:val="center"/>
              <w:ind w:right="135"/>
              <w:spacing w:after="0" w:line="144" w:lineRule="exact"/>
              <w:rPr>
                <w:sz w:val="20"/>
                <w:szCs w:val="20"/>
                <w:color w:val="auto"/>
              </w:rPr>
            </w:pPr>
            <w:r>
              <w:rPr>
                <w:rFonts w:ascii="Arial" w:cs="Arial" w:eastAsia="Arial" w:hAnsi="Arial"/>
                <w:sz w:val="13"/>
                <w:szCs w:val="13"/>
                <w:b w:val="1"/>
                <w:bCs w:val="1"/>
                <w:color w:val="auto"/>
                <w:w w:val="99"/>
              </w:rPr>
              <w:t>Translation</w:t>
            </w:r>
          </w:p>
        </w:tc>
        <w:tc>
          <w:tcPr>
            <w:tcW w:w="220" w:type="dxa"/>
            <w:vAlign w:val="bottom"/>
          </w:tcPr>
          <w:p>
            <w:pPr>
              <w:spacing w:after="0"/>
              <w:rPr>
                <w:sz w:val="12"/>
                <w:szCs w:val="12"/>
                <w:color w:val="auto"/>
              </w:rPr>
            </w:pPr>
          </w:p>
        </w:tc>
        <w:tc>
          <w:tcPr>
            <w:tcW w:w="960" w:type="dxa"/>
            <w:vAlign w:val="bottom"/>
          </w:tcPr>
          <w:p>
            <w:pPr>
              <w:jc w:val="right"/>
              <w:ind w:right="195"/>
              <w:spacing w:after="0" w:line="144" w:lineRule="exact"/>
              <w:rPr>
                <w:sz w:val="20"/>
                <w:szCs w:val="20"/>
                <w:color w:val="auto"/>
              </w:rPr>
            </w:pPr>
            <w:r>
              <w:rPr>
                <w:rFonts w:ascii="Arial" w:cs="Arial" w:eastAsia="Arial" w:hAnsi="Arial"/>
                <w:sz w:val="13"/>
                <w:szCs w:val="13"/>
                <w:b w:val="1"/>
                <w:bCs w:val="1"/>
                <w:color w:val="auto"/>
              </w:rPr>
              <w:t>Cash Flow</w:t>
            </w:r>
          </w:p>
        </w:tc>
        <w:tc>
          <w:tcPr>
            <w:tcW w:w="220" w:type="dxa"/>
            <w:vAlign w:val="bottom"/>
          </w:tcPr>
          <w:p>
            <w:pPr>
              <w:spacing w:after="0"/>
              <w:rPr>
                <w:sz w:val="12"/>
                <w:szCs w:val="12"/>
                <w:color w:val="auto"/>
              </w:rPr>
            </w:pPr>
          </w:p>
        </w:tc>
        <w:tc>
          <w:tcPr>
            <w:tcW w:w="1240" w:type="dxa"/>
            <w:vAlign w:val="bottom"/>
          </w:tcPr>
          <w:p>
            <w:pPr>
              <w:jc w:val="center"/>
              <w:ind w:right="155"/>
              <w:spacing w:after="0" w:line="144" w:lineRule="exact"/>
              <w:rPr>
                <w:sz w:val="20"/>
                <w:szCs w:val="20"/>
                <w:color w:val="auto"/>
              </w:rPr>
            </w:pPr>
            <w:r>
              <w:rPr>
                <w:rFonts w:ascii="Arial" w:cs="Arial" w:eastAsia="Arial" w:hAnsi="Arial"/>
                <w:sz w:val="13"/>
                <w:szCs w:val="13"/>
                <w:b w:val="1"/>
                <w:bCs w:val="1"/>
                <w:color w:val="auto"/>
                <w:w w:val="98"/>
              </w:rPr>
              <w:t>Postretirement</w:t>
            </w: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3600" w:type="dxa"/>
            <w:vAlign w:val="bottom"/>
            <w:gridSpan w:val="2"/>
          </w:tcPr>
          <w:p>
            <w:pPr>
              <w:spacing w:after="0"/>
              <w:rPr>
                <w:sz w:val="20"/>
                <w:szCs w:val="20"/>
                <w:color w:val="auto"/>
              </w:rPr>
            </w:pPr>
            <w:r>
              <w:rPr>
                <w:rFonts w:ascii="Arial" w:cs="Arial" w:eastAsia="Arial" w:hAnsi="Arial"/>
                <w:sz w:val="13"/>
                <w:szCs w:val="13"/>
                <w:color w:val="auto"/>
              </w:rPr>
              <w:t>($ in millions)</w:t>
            </w:r>
          </w:p>
        </w:tc>
        <w:tc>
          <w:tcPr>
            <w:tcW w:w="560" w:type="dxa"/>
            <w:vAlign w:val="bottom"/>
          </w:tcPr>
          <w:p>
            <w:pPr>
              <w:spacing w:after="0"/>
              <w:rPr>
                <w:sz w:val="14"/>
                <w:szCs w:val="14"/>
                <w:color w:val="auto"/>
              </w:rPr>
            </w:pPr>
          </w:p>
        </w:tc>
        <w:tc>
          <w:tcPr>
            <w:tcW w:w="1060" w:type="dxa"/>
            <w:vAlign w:val="bottom"/>
          </w:tcPr>
          <w:p>
            <w:pPr>
              <w:jc w:val="center"/>
              <w:ind w:right="135"/>
              <w:spacing w:after="0"/>
              <w:rPr>
                <w:sz w:val="20"/>
                <w:szCs w:val="20"/>
                <w:color w:val="auto"/>
              </w:rPr>
            </w:pPr>
            <w:r>
              <w:rPr>
                <w:rFonts w:ascii="Arial" w:cs="Arial" w:eastAsia="Arial" w:hAnsi="Arial"/>
                <w:sz w:val="13"/>
                <w:szCs w:val="13"/>
                <w:b w:val="1"/>
                <w:bCs w:val="1"/>
                <w:color w:val="auto"/>
                <w:w w:val="99"/>
              </w:rPr>
              <w:t>Adjustments</w:t>
            </w:r>
          </w:p>
        </w:tc>
        <w:tc>
          <w:tcPr>
            <w:tcW w:w="220" w:type="dxa"/>
            <w:vAlign w:val="bottom"/>
          </w:tcPr>
          <w:p>
            <w:pPr>
              <w:spacing w:after="0"/>
              <w:rPr>
                <w:sz w:val="14"/>
                <w:szCs w:val="14"/>
                <w:color w:val="auto"/>
              </w:rPr>
            </w:pPr>
          </w:p>
        </w:tc>
        <w:tc>
          <w:tcPr>
            <w:tcW w:w="960" w:type="dxa"/>
            <w:vAlign w:val="bottom"/>
          </w:tcPr>
          <w:p>
            <w:pPr>
              <w:jc w:val="right"/>
              <w:ind w:right="295"/>
              <w:spacing w:after="0"/>
              <w:rPr>
                <w:sz w:val="20"/>
                <w:szCs w:val="20"/>
                <w:color w:val="auto"/>
              </w:rPr>
            </w:pPr>
            <w:r>
              <w:rPr>
                <w:rFonts w:ascii="Arial" w:cs="Arial" w:eastAsia="Arial" w:hAnsi="Arial"/>
                <w:sz w:val="13"/>
                <w:szCs w:val="13"/>
                <w:b w:val="1"/>
                <w:bCs w:val="1"/>
                <w:color w:val="auto"/>
              </w:rPr>
              <w:t>Hedges</w:t>
            </w:r>
          </w:p>
        </w:tc>
        <w:tc>
          <w:tcPr>
            <w:tcW w:w="220" w:type="dxa"/>
            <w:vAlign w:val="bottom"/>
          </w:tcPr>
          <w:p>
            <w:pPr>
              <w:spacing w:after="0"/>
              <w:rPr>
                <w:sz w:val="14"/>
                <w:szCs w:val="14"/>
                <w:color w:val="auto"/>
              </w:rPr>
            </w:pPr>
          </w:p>
        </w:tc>
        <w:tc>
          <w:tcPr>
            <w:tcW w:w="1240" w:type="dxa"/>
            <w:vAlign w:val="bottom"/>
          </w:tcPr>
          <w:p>
            <w:pPr>
              <w:jc w:val="center"/>
              <w:ind w:right="155"/>
              <w:spacing w:after="0"/>
              <w:rPr>
                <w:sz w:val="20"/>
                <w:szCs w:val="20"/>
                <w:color w:val="auto"/>
              </w:rPr>
            </w:pPr>
            <w:r>
              <w:rPr>
                <w:rFonts w:ascii="Arial" w:cs="Arial" w:eastAsia="Arial" w:hAnsi="Arial"/>
                <w:sz w:val="13"/>
                <w:szCs w:val="13"/>
                <w:b w:val="1"/>
                <w:bCs w:val="1"/>
                <w:color w:val="auto"/>
                <w:w w:val="97"/>
              </w:rPr>
              <w:t>Benefits</w:t>
            </w:r>
          </w:p>
        </w:tc>
        <w:tc>
          <w:tcPr>
            <w:tcW w:w="300" w:type="dxa"/>
            <w:vAlign w:val="bottom"/>
          </w:tcPr>
          <w:p>
            <w:pPr>
              <w:spacing w:after="0"/>
              <w:rPr>
                <w:sz w:val="14"/>
                <w:szCs w:val="14"/>
                <w:color w:val="auto"/>
              </w:rPr>
            </w:pPr>
          </w:p>
        </w:tc>
        <w:tc>
          <w:tcPr>
            <w:tcW w:w="800" w:type="dxa"/>
            <w:vAlign w:val="bottom"/>
          </w:tcPr>
          <w:p>
            <w:pPr>
              <w:jc w:val="right"/>
              <w:ind w:right="295"/>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tcBorders>
              <w:top w:val="single" w:sz="8" w:color="auto"/>
            </w:tcBorders>
            <w:shd w:val="clear" w:color="auto" w:fill="CCEEFF"/>
          </w:tcPr>
          <w:p>
            <w:pPr>
              <w:spacing w:after="0" w:line="134" w:lineRule="exact"/>
              <w:rPr>
                <w:sz w:val="20"/>
                <w:szCs w:val="20"/>
                <w:color w:val="auto"/>
              </w:rPr>
            </w:pPr>
            <w:r>
              <w:rPr>
                <w:rFonts w:ascii="Arial" w:cs="Arial" w:eastAsia="Arial" w:hAnsi="Arial"/>
                <w:sz w:val="13"/>
                <w:szCs w:val="13"/>
                <w:color w:val="auto"/>
              </w:rPr>
              <w:t>Balance as of February 1, 2020</w:t>
            </w:r>
          </w:p>
        </w:tc>
        <w:tc>
          <w:tcPr>
            <w:tcW w:w="56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1060" w:type="dxa"/>
            <w:vAlign w:val="bottom"/>
            <w:tcBorders>
              <w:top w:val="single" w:sz="8" w:color="auto"/>
            </w:tcBorders>
            <w:shd w:val="clear" w:color="auto" w:fill="CCEEFF"/>
          </w:tcPr>
          <w:p>
            <w:pPr>
              <w:jc w:val="right"/>
              <w:ind w:right="35"/>
              <w:spacing w:after="0" w:line="134" w:lineRule="exact"/>
              <w:rPr>
                <w:sz w:val="20"/>
                <w:szCs w:val="20"/>
                <w:color w:val="auto"/>
              </w:rPr>
            </w:pPr>
            <w:r>
              <w:rPr>
                <w:rFonts w:ascii="Arial" w:cs="Arial" w:eastAsia="Arial" w:hAnsi="Arial"/>
                <w:sz w:val="13"/>
                <w:szCs w:val="13"/>
                <w:color w:val="auto"/>
              </w:rPr>
              <w:t>(104)</w:t>
            </w:r>
          </w:p>
        </w:tc>
        <w:tc>
          <w:tcPr>
            <w:tcW w:w="22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960" w:type="dxa"/>
            <w:vAlign w:val="bottom"/>
            <w:tcBorders>
              <w:top w:val="single" w:sz="8" w:color="auto"/>
            </w:tcBorders>
            <w:shd w:val="clear" w:color="auto" w:fill="CCEEFF"/>
          </w:tcPr>
          <w:p>
            <w:pPr>
              <w:jc w:val="right"/>
              <w:ind w:right="35"/>
              <w:spacing w:after="0" w:line="134" w:lineRule="exact"/>
              <w:rPr>
                <w:sz w:val="20"/>
                <w:szCs w:val="20"/>
                <w:color w:val="auto"/>
              </w:rPr>
            </w:pPr>
            <w:r>
              <w:rPr>
                <w:rFonts w:ascii="Arial" w:cs="Arial" w:eastAsia="Arial" w:hAnsi="Arial"/>
                <w:sz w:val="13"/>
                <w:szCs w:val="13"/>
                <w:color w:val="auto"/>
              </w:rPr>
              <w:t>(3)</w:t>
            </w:r>
          </w:p>
        </w:tc>
        <w:tc>
          <w:tcPr>
            <w:tcW w:w="22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1240" w:type="dxa"/>
            <w:vAlign w:val="bottom"/>
            <w:tcBorders>
              <w:top w:val="single" w:sz="8" w:color="auto"/>
            </w:tcBorders>
            <w:shd w:val="clear" w:color="auto" w:fill="CCEEFF"/>
          </w:tcPr>
          <w:p>
            <w:pPr>
              <w:jc w:val="right"/>
              <w:ind w:right="35"/>
              <w:spacing w:after="0" w:line="134" w:lineRule="exact"/>
              <w:rPr>
                <w:sz w:val="20"/>
                <w:szCs w:val="20"/>
                <w:color w:val="auto"/>
              </w:rPr>
            </w:pPr>
            <w:r>
              <w:rPr>
                <w:rFonts w:ascii="Arial" w:cs="Arial" w:eastAsia="Arial" w:hAnsi="Arial"/>
                <w:sz w:val="13"/>
                <w:szCs w:val="13"/>
                <w:color w:val="auto"/>
              </w:rPr>
              <w:t>(287)</w:t>
            </w:r>
          </w:p>
        </w:tc>
        <w:tc>
          <w:tcPr>
            <w:tcW w:w="300" w:type="dxa"/>
            <w:vAlign w:val="bottom"/>
            <w:tcBorders>
              <w:top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(394)</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5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5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OCI before reclassification</w:t>
            </w:r>
          </w:p>
        </w:tc>
        <w:tc>
          <w:tcPr>
            <w:tcW w:w="56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color w:val="auto"/>
              </w:rPr>
              <w:t>40</w:t>
            </w: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color w:val="auto"/>
              </w:rPr>
              <w:t>2</w:t>
            </w: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35"/>
              <w:spacing w:after="0" w:line="144" w:lineRule="exact"/>
              <w:rPr>
                <w:sz w:val="20"/>
                <w:szCs w:val="20"/>
                <w:color w:val="auto"/>
              </w:rPr>
            </w:pPr>
            <w:r>
              <w:rPr>
                <w:rFonts w:ascii="Arial" w:cs="Arial" w:eastAsia="Arial" w:hAnsi="Arial"/>
                <w:sz w:val="13"/>
                <w:szCs w:val="13"/>
                <w:color w:val="auto"/>
              </w:rPr>
              <w:t>(1)</w:t>
            </w: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tcPr>
          <w:p>
            <w:pPr>
              <w:spacing w:after="0" w:line="144" w:lineRule="exact"/>
              <w:rPr>
                <w:sz w:val="20"/>
                <w:szCs w:val="20"/>
                <w:color w:val="auto"/>
              </w:rPr>
            </w:pPr>
            <w:r>
              <w:rPr>
                <w:rFonts w:ascii="Arial" w:cs="Arial" w:eastAsia="Arial" w:hAnsi="Arial"/>
                <w:sz w:val="13"/>
                <w:szCs w:val="13"/>
                <w:color w:val="auto"/>
              </w:rPr>
              <w:t>Amortization of pension actuarial loss, net of tax</w:t>
            </w:r>
          </w:p>
        </w:tc>
        <w:tc>
          <w:tcPr>
            <w:tcW w:w="560" w:type="dxa"/>
            <w:vAlign w:val="bottom"/>
          </w:tcPr>
          <w:p>
            <w:pPr>
              <w:spacing w:after="0"/>
              <w:rPr>
                <w:sz w:val="12"/>
                <w:szCs w:val="12"/>
                <w:color w:val="auto"/>
              </w:rPr>
            </w:pPr>
          </w:p>
        </w:tc>
        <w:tc>
          <w:tcPr>
            <w:tcW w:w="1060" w:type="dxa"/>
            <w:vAlign w:val="bottom"/>
          </w:tcPr>
          <w:p>
            <w:pPr>
              <w:jc w:val="right"/>
              <w:ind w:right="75"/>
              <w:spacing w:after="0" w:line="144"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960" w:type="dxa"/>
            <w:vAlign w:val="bottom"/>
          </w:tcPr>
          <w:p>
            <w:pPr>
              <w:jc w:val="right"/>
              <w:ind w:right="75"/>
              <w:spacing w:after="0" w:line="144"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240" w:type="dxa"/>
            <w:vAlign w:val="bottom"/>
          </w:tcPr>
          <w:p>
            <w:pPr>
              <w:jc w:val="right"/>
              <w:ind w:right="75"/>
              <w:spacing w:after="0" w:line="144" w:lineRule="exact"/>
              <w:rPr>
                <w:sz w:val="20"/>
                <w:szCs w:val="20"/>
                <w:color w:val="auto"/>
              </w:rPr>
            </w:pPr>
            <w:r>
              <w:rPr>
                <w:rFonts w:ascii="Arial" w:cs="Arial" w:eastAsia="Arial" w:hAnsi="Arial"/>
                <w:sz w:val="13"/>
                <w:szCs w:val="13"/>
                <w:color w:val="auto"/>
              </w:rPr>
              <w:t>8</w:t>
            </w:r>
          </w:p>
        </w:tc>
        <w:tc>
          <w:tcPr>
            <w:tcW w:w="300" w:type="dxa"/>
            <w:vAlign w:val="bottom"/>
          </w:tcPr>
          <w:p>
            <w:pPr>
              <w:spacing w:after="0"/>
              <w:rPr>
                <w:sz w:val="12"/>
                <w:szCs w:val="12"/>
                <w:color w:val="auto"/>
              </w:rPr>
            </w:pPr>
          </w:p>
        </w:tc>
        <w:tc>
          <w:tcPr>
            <w:tcW w:w="800" w:type="dxa"/>
            <w:vAlign w:val="bottom"/>
          </w:tcPr>
          <w:p>
            <w:pPr>
              <w:jc w:val="right"/>
              <w:spacing w:after="0" w:line="144" w:lineRule="exact"/>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tcBorders>
              <w:bottom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rPr>
              <w:t>Pension remeasurement, net of tax</w:t>
            </w:r>
          </w:p>
        </w:tc>
        <w:tc>
          <w:tcPr>
            <w:tcW w:w="56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75"/>
              <w:spacing w:after="0" w:line="144"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ind w:right="75"/>
              <w:spacing w:after="0" w:line="144"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EEFF"/>
          </w:tcPr>
          <w:p>
            <w:pPr>
              <w:spacing w:after="0"/>
              <w:rPr>
                <w:sz w:val="12"/>
                <w:szCs w:val="12"/>
                <w:color w:val="auto"/>
              </w:rPr>
            </w:pPr>
          </w:p>
        </w:tc>
        <w:tc>
          <w:tcPr>
            <w:tcW w:w="1240" w:type="dxa"/>
            <w:vAlign w:val="bottom"/>
            <w:tcBorders>
              <w:bottom w:val="single" w:sz="8" w:color="auto"/>
            </w:tcBorders>
            <w:shd w:val="clear" w:color="auto" w:fill="CCEEFF"/>
          </w:tcPr>
          <w:p>
            <w:pPr>
              <w:jc w:val="right"/>
              <w:ind w:right="75"/>
              <w:spacing w:after="0" w:line="144" w:lineRule="exact"/>
              <w:rPr>
                <w:sz w:val="20"/>
                <w:szCs w:val="20"/>
                <w:color w:val="auto"/>
              </w:rPr>
            </w:pPr>
            <w:r>
              <w:rPr>
                <w:rFonts w:ascii="Arial" w:cs="Arial" w:eastAsia="Arial" w:hAnsi="Arial"/>
                <w:sz w:val="13"/>
                <w:szCs w:val="13"/>
                <w:color w:val="auto"/>
              </w:rPr>
              <w:t>14</w:t>
            </w:r>
          </w:p>
        </w:tc>
        <w:tc>
          <w:tcPr>
            <w:tcW w:w="3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tcBorders>
              <w:bottom w:val="single" w:sz="8" w:color="auto"/>
            </w:tcBorders>
          </w:tcPr>
          <w:p>
            <w:pPr>
              <w:spacing w:after="0" w:line="134" w:lineRule="exact"/>
              <w:rPr>
                <w:sz w:val="20"/>
                <w:szCs w:val="20"/>
                <w:color w:val="auto"/>
              </w:rPr>
            </w:pPr>
            <w:r>
              <w:rPr>
                <w:rFonts w:ascii="Arial" w:cs="Arial" w:eastAsia="Arial" w:hAnsi="Arial"/>
                <w:sz w:val="13"/>
                <w:szCs w:val="13"/>
                <w:color w:val="auto"/>
              </w:rPr>
              <w:t>Other comprehensive income</w:t>
            </w:r>
          </w:p>
        </w:tc>
        <w:tc>
          <w:tcPr>
            <w:tcW w:w="5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75"/>
              <w:spacing w:after="0" w:line="134" w:lineRule="exact"/>
              <w:rPr>
                <w:sz w:val="20"/>
                <w:szCs w:val="20"/>
                <w:color w:val="auto"/>
              </w:rPr>
            </w:pPr>
            <w:r>
              <w:rPr>
                <w:rFonts w:ascii="Arial" w:cs="Arial" w:eastAsia="Arial" w:hAnsi="Arial"/>
                <w:sz w:val="13"/>
                <w:szCs w:val="13"/>
                <w:color w:val="auto"/>
              </w:rPr>
              <w:t>40</w:t>
            </w:r>
          </w:p>
        </w:tc>
        <w:tc>
          <w:tcPr>
            <w:tcW w:w="2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75"/>
              <w:spacing w:after="0" w:line="134" w:lineRule="exact"/>
              <w:rPr>
                <w:sz w:val="20"/>
                <w:szCs w:val="20"/>
                <w:color w:val="auto"/>
              </w:rPr>
            </w:pPr>
            <w:r>
              <w:rPr>
                <w:rFonts w:ascii="Arial" w:cs="Arial" w:eastAsia="Arial" w:hAnsi="Arial"/>
                <w:sz w:val="13"/>
                <w:szCs w:val="13"/>
                <w:color w:val="auto"/>
              </w:rPr>
              <w:t>2</w:t>
            </w:r>
          </w:p>
        </w:tc>
        <w:tc>
          <w:tcPr>
            <w:tcW w:w="2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75"/>
              <w:spacing w:after="0" w:line="134" w:lineRule="exact"/>
              <w:rPr>
                <w:sz w:val="20"/>
                <w:szCs w:val="20"/>
                <w:color w:val="auto"/>
              </w:rPr>
            </w:pPr>
            <w:r>
              <w:rPr>
                <w:rFonts w:ascii="Arial" w:cs="Arial" w:eastAsia="Arial" w:hAnsi="Arial"/>
                <w:sz w:val="13"/>
                <w:szCs w:val="13"/>
                <w:color w:val="auto"/>
              </w:rPr>
              <w:t>21</w:t>
            </w:r>
          </w:p>
        </w:tc>
        <w:tc>
          <w:tcPr>
            <w:tcW w:w="3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63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tcBorders>
              <w:bottom w:val="single" w:sz="8" w:color="auto"/>
            </w:tcBorders>
            <w:shd w:val="clear" w:color="auto" w:fill="CCEEFF"/>
          </w:tcPr>
          <w:p>
            <w:pPr>
              <w:spacing w:after="0" w:line="134" w:lineRule="exact"/>
              <w:rPr>
                <w:sz w:val="20"/>
                <w:szCs w:val="20"/>
                <w:color w:val="auto"/>
              </w:rPr>
            </w:pPr>
            <w:r>
              <w:rPr>
                <w:rFonts w:ascii="Arial" w:cs="Arial" w:eastAsia="Arial" w:hAnsi="Arial"/>
                <w:sz w:val="13"/>
                <w:szCs w:val="13"/>
                <w:b w:val="1"/>
                <w:bCs w:val="1"/>
                <w:color w:val="auto"/>
              </w:rPr>
              <w:t>Balance as of January 30, 2021</w:t>
            </w:r>
          </w:p>
        </w:tc>
        <w:tc>
          <w:tcPr>
            <w:tcW w:w="56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w:t>
            </w:r>
          </w:p>
        </w:tc>
        <w:tc>
          <w:tcPr>
            <w:tcW w:w="1060" w:type="dxa"/>
            <w:vAlign w:val="bottom"/>
            <w:tcBorders>
              <w:bottom w:val="single" w:sz="8" w:color="auto"/>
            </w:tcBorders>
            <w:shd w:val="clear" w:color="auto" w:fill="CCEEFF"/>
          </w:tcPr>
          <w:p>
            <w:pPr>
              <w:jc w:val="right"/>
              <w:ind w:right="35"/>
              <w:spacing w:after="0" w:line="134" w:lineRule="exact"/>
              <w:rPr>
                <w:sz w:val="20"/>
                <w:szCs w:val="20"/>
                <w:color w:val="auto"/>
              </w:rPr>
            </w:pPr>
            <w:r>
              <w:rPr>
                <w:rFonts w:ascii="Arial" w:cs="Arial" w:eastAsia="Arial" w:hAnsi="Arial"/>
                <w:sz w:val="13"/>
                <w:szCs w:val="13"/>
                <w:b w:val="1"/>
                <w:bCs w:val="1"/>
                <w:color w:val="auto"/>
              </w:rPr>
              <w:t>(64)</w:t>
            </w:r>
          </w:p>
        </w:tc>
        <w:tc>
          <w:tcPr>
            <w:tcW w:w="22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w:t>
            </w:r>
          </w:p>
        </w:tc>
        <w:tc>
          <w:tcPr>
            <w:tcW w:w="960" w:type="dxa"/>
            <w:vAlign w:val="bottom"/>
            <w:tcBorders>
              <w:bottom w:val="single" w:sz="8" w:color="auto"/>
            </w:tcBorders>
            <w:shd w:val="clear" w:color="auto" w:fill="CCEEFF"/>
          </w:tcPr>
          <w:p>
            <w:pPr>
              <w:jc w:val="right"/>
              <w:ind w:right="35"/>
              <w:spacing w:after="0" w:line="134" w:lineRule="exact"/>
              <w:rPr>
                <w:sz w:val="20"/>
                <w:szCs w:val="20"/>
                <w:color w:val="auto"/>
              </w:rPr>
            </w:pPr>
            <w:r>
              <w:rPr>
                <w:rFonts w:ascii="Arial" w:cs="Arial" w:eastAsia="Arial" w:hAnsi="Arial"/>
                <w:sz w:val="13"/>
                <w:szCs w:val="13"/>
                <w:b w:val="1"/>
                <w:bCs w:val="1"/>
                <w:color w:val="auto"/>
              </w:rPr>
              <w:t>(1)</w:t>
            </w:r>
          </w:p>
        </w:tc>
        <w:tc>
          <w:tcPr>
            <w:tcW w:w="22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w:t>
            </w:r>
          </w:p>
        </w:tc>
        <w:tc>
          <w:tcPr>
            <w:tcW w:w="1240" w:type="dxa"/>
            <w:vAlign w:val="bottom"/>
            <w:tcBorders>
              <w:bottom w:val="single" w:sz="8" w:color="auto"/>
            </w:tcBorders>
            <w:shd w:val="clear" w:color="auto" w:fill="CCEEFF"/>
          </w:tcPr>
          <w:p>
            <w:pPr>
              <w:jc w:val="right"/>
              <w:ind w:right="35"/>
              <w:spacing w:after="0" w:line="134" w:lineRule="exact"/>
              <w:rPr>
                <w:sz w:val="20"/>
                <w:szCs w:val="20"/>
                <w:color w:val="auto"/>
              </w:rPr>
            </w:pPr>
            <w:r>
              <w:rPr>
                <w:rFonts w:ascii="Arial" w:cs="Arial" w:eastAsia="Arial" w:hAnsi="Arial"/>
                <w:sz w:val="13"/>
                <w:szCs w:val="13"/>
                <w:b w:val="1"/>
                <w:bCs w:val="1"/>
                <w:color w:val="auto"/>
              </w:rPr>
              <w:t>(266)</w:t>
            </w:r>
          </w:p>
        </w:tc>
        <w:tc>
          <w:tcPr>
            <w:tcW w:w="300" w:type="dxa"/>
            <w:vAlign w:val="bottom"/>
            <w:tcBorders>
              <w:bottom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(331)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Borders>
              <w:bottom w:val="single" w:sz="8" w:color="auto"/>
            </w:tcBorders>
            <w:gridSpan w:val="4"/>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5440" w:type="dxa"/>
            <w:vAlign w:val="bottom"/>
            <w:gridSpan w:val="5"/>
          </w:tcPr>
          <w:p>
            <w:pPr>
              <w:spacing w:after="0"/>
              <w:rPr>
                <w:sz w:val="20"/>
                <w:szCs w:val="20"/>
                <w:color w:val="auto"/>
              </w:rPr>
            </w:pPr>
            <w:r>
              <w:rPr>
                <w:rFonts w:ascii="Arial" w:cs="Arial" w:eastAsia="Arial" w:hAnsi="Arial"/>
                <w:sz w:val="13"/>
                <w:szCs w:val="13"/>
                <w:color w:val="auto"/>
              </w:rPr>
              <w:t>Reclassifications to income from AOCL for the year ended January 30, 2021 were as follows:</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 in millions)</w:t>
            </w:r>
          </w:p>
        </w:tc>
        <w:tc>
          <w:tcPr>
            <w:tcW w:w="5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tcPr>
          <w:p>
            <w:pPr>
              <w:spacing w:after="0" w:line="134" w:lineRule="exact"/>
              <w:rPr>
                <w:sz w:val="20"/>
                <w:szCs w:val="20"/>
                <w:color w:val="auto"/>
              </w:rPr>
            </w:pPr>
            <w:r>
              <w:rPr>
                <w:rFonts w:ascii="Arial" w:cs="Arial" w:eastAsia="Arial" w:hAnsi="Arial"/>
                <w:sz w:val="13"/>
                <w:szCs w:val="13"/>
                <w:color w:val="auto"/>
              </w:rPr>
              <w:t>Amortization of actuarial (gain) loss:</w:t>
            </w:r>
          </w:p>
        </w:tc>
        <w:tc>
          <w:tcPr>
            <w:tcW w:w="5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shd w:val="clear" w:color="auto" w:fill="CCEEFF"/>
          </w:tcPr>
          <w:p>
            <w:pPr>
              <w:ind w:left="80"/>
              <w:spacing w:after="0" w:line="144" w:lineRule="exact"/>
              <w:rPr>
                <w:sz w:val="20"/>
                <w:szCs w:val="20"/>
                <w:color w:val="auto"/>
              </w:rPr>
            </w:pPr>
            <w:r>
              <w:rPr>
                <w:rFonts w:ascii="Arial" w:cs="Arial" w:eastAsia="Arial" w:hAnsi="Arial"/>
                <w:sz w:val="13"/>
                <w:szCs w:val="13"/>
                <w:color w:val="auto"/>
              </w:rPr>
              <w:t>Pension benefits- amortization of actuarial loss</w:t>
            </w:r>
          </w:p>
        </w:tc>
        <w:tc>
          <w:tcPr>
            <w:tcW w:w="5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235"/>
              <w:spacing w:after="0" w:line="144" w:lineRule="exact"/>
              <w:rPr>
                <w:sz w:val="20"/>
                <w:szCs w:val="20"/>
                <w:color w:val="auto"/>
              </w:rPr>
            </w:pPr>
            <w:r>
              <w:rPr>
                <w:rFonts w:ascii="Arial" w:cs="Arial" w:eastAsia="Arial" w:hAnsi="Arial"/>
                <w:sz w:val="13"/>
                <w:szCs w:val="13"/>
                <w:b w:val="1"/>
                <w:bCs w:val="1"/>
                <w:color w:val="auto"/>
              </w:rPr>
              <w:t>$</w:t>
            </w:r>
          </w:p>
        </w:tc>
        <w:tc>
          <w:tcPr>
            <w:tcW w:w="3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12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tcBorders>
              <w:bottom w:val="single" w:sz="8" w:color="auto"/>
            </w:tcBorders>
          </w:tcPr>
          <w:p>
            <w:pPr>
              <w:ind w:left="80"/>
              <w:spacing w:after="0" w:line="144" w:lineRule="exact"/>
              <w:rPr>
                <w:sz w:val="20"/>
                <w:szCs w:val="20"/>
                <w:color w:val="auto"/>
              </w:rPr>
            </w:pPr>
            <w:r>
              <w:rPr>
                <w:rFonts w:ascii="Arial" w:cs="Arial" w:eastAsia="Arial" w:hAnsi="Arial"/>
                <w:sz w:val="13"/>
                <w:szCs w:val="13"/>
                <w:color w:val="auto"/>
              </w:rPr>
              <w:t>Postretirement benefits- amortization of actuarial gain</w:t>
            </w:r>
          </w:p>
        </w:tc>
        <w:tc>
          <w:tcPr>
            <w:tcW w:w="5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Net periodic benefit cost (see Note 19)</w:t>
            </w:r>
          </w:p>
        </w:tc>
        <w:tc>
          <w:tcPr>
            <w:tcW w:w="5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11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color w:val="auto"/>
              </w:rPr>
              <w:t>Income tax</w:t>
            </w:r>
          </w:p>
        </w:tc>
        <w:tc>
          <w:tcPr>
            <w:tcW w:w="5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b w:val="1"/>
                <w:bCs w:val="1"/>
                <w:color w:val="auto"/>
              </w:rPr>
              <w:t>(3)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80" w:type="dxa"/>
            <w:vAlign w:val="bottom"/>
            <w:tcBorders>
              <w:bottom w:val="single" w:sz="8" w:color="auto"/>
            </w:tcBorders>
            <w:shd w:val="clear" w:color="auto" w:fill="CCEEFF"/>
          </w:tcPr>
          <w:p>
            <w:pPr>
              <w:spacing w:after="0" w:line="134" w:lineRule="exact"/>
              <w:rPr>
                <w:sz w:val="20"/>
                <w:szCs w:val="20"/>
                <w:color w:val="auto"/>
              </w:rPr>
            </w:pPr>
            <w:r>
              <w:rPr>
                <w:rFonts w:ascii="Arial" w:cs="Arial" w:eastAsia="Arial" w:hAnsi="Arial"/>
                <w:sz w:val="13"/>
                <w:szCs w:val="13"/>
                <w:color w:val="auto"/>
              </w:rPr>
              <w:t>Total, net of tax</w:t>
            </w:r>
          </w:p>
        </w:tc>
        <w:tc>
          <w:tcPr>
            <w:tcW w:w="56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jc w:val="right"/>
              <w:ind w:right="235"/>
              <w:spacing w:after="0" w:line="134" w:lineRule="exact"/>
              <w:rPr>
                <w:sz w:val="20"/>
                <w:szCs w:val="20"/>
                <w:color w:val="auto"/>
              </w:rPr>
            </w:pPr>
            <w:r>
              <w:rPr>
                <w:rFonts w:ascii="Arial" w:cs="Arial" w:eastAsia="Arial" w:hAnsi="Arial"/>
                <w:sz w:val="13"/>
                <w:szCs w:val="13"/>
                <w:b w:val="1"/>
                <w:bCs w:val="1"/>
                <w:color w:val="auto"/>
              </w:rPr>
              <w:t>$</w:t>
            </w:r>
          </w:p>
        </w:tc>
        <w:tc>
          <w:tcPr>
            <w:tcW w:w="30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 w:lineRule="exact"/>
        <w:rPr>
          <w:sz w:val="20"/>
          <w:szCs w:val="20"/>
          <w:color w:val="auto"/>
        </w:rPr>
      </w:pPr>
    </w:p>
    <w:p>
      <w:pPr>
        <w:ind w:left="7520"/>
        <w:spacing w:after="0"/>
        <w:rPr>
          <w:sz w:val="20"/>
          <w:szCs w:val="20"/>
          <w:color w:val="auto"/>
        </w:rPr>
      </w:pPr>
      <w:r>
        <w:rPr>
          <w:rFonts w:ascii="Arial" w:cs="Arial" w:eastAsia="Arial" w:hAnsi="Arial"/>
          <w:sz w:val="12"/>
          <w:szCs w:val="12"/>
          <w:color w:val="auto"/>
        </w:rPr>
        <w:t>2020 Form 10-K Page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365125</wp:posOffset>
            </wp:positionV>
            <wp:extent cx="5680075" cy="133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80075" cy="13335"/>
                    </a:xfrm>
                    <a:prstGeom prst="rect">
                      <a:avLst/>
                    </a:prstGeom>
                    <a:noFill/>
                  </pic:spPr>
                </pic:pic>
              </a:graphicData>
            </a:graphic>
          </wp:anchor>
        </w:drawing>
      </w:r>
    </w:p>
    <w:p>
      <w:pPr>
        <w:sectPr>
          <w:pgSz w:w="11900" w:h="16838" w:orient="portrait"/>
          <w:cols w:equalWidth="0" w:num="1">
            <w:col w:w="9019"/>
          </w:cols>
          <w:pgMar w:left="1440" w:top="995" w:right="1440" w:bottom="1440" w:gutter="0" w:footer="0" w:header="0"/>
        </w:sectPr>
      </w:pPr>
    </w:p>
    <w:bookmarkStart w:id="60" w:name="page61"/>
    <w:bookmarkEnd w:id="60"/>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2992755</wp:posOffset>
            </wp:positionH>
            <wp:positionV relativeFrom="page">
              <wp:posOffset>375285</wp:posOffset>
            </wp:positionV>
            <wp:extent cx="1563370" cy="169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1563370" cy="169545"/>
                    </a:xfrm>
                    <a:prstGeom prst="rect">
                      <a:avLst/>
                    </a:prstGeom>
                    <a:noFill/>
                  </pic:spPr>
                </pic:pic>
              </a:graphicData>
            </a:graphic>
          </wp:anchor>
        </w:drawing>
        <w:t>NOTES TO CONSOLIDATED FINANCIAL STATEMENTS</w:t>
      </w:r>
    </w:p>
    <w:p>
      <w:pPr>
        <w:spacing w:after="0" w:line="28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16. Income Taxes</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3"/>
          <w:szCs w:val="13"/>
          <w:color w:val="auto"/>
        </w:rPr>
        <w:t>The domestic and international components of pre-tax income are as follows: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28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 in millions)</w:t>
            </w:r>
          </w:p>
        </w:tc>
        <w:tc>
          <w:tcPr>
            <w:tcW w:w="19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95"/>
              <w:spacing w:after="0"/>
              <w:rPr>
                <w:sz w:val="20"/>
                <w:szCs w:val="20"/>
                <w:color w:val="auto"/>
              </w:rPr>
            </w:pPr>
            <w:r>
              <w:rPr>
                <w:rFonts w:ascii="Arial" w:cs="Arial" w:eastAsia="Arial" w:hAnsi="Arial"/>
                <w:sz w:val="13"/>
                <w:szCs w:val="13"/>
                <w:b w:val="1"/>
                <w:bCs w:val="1"/>
                <w:color w:val="auto"/>
              </w:rPr>
              <w:t>2020</w:t>
            </w:r>
          </w:p>
        </w:tc>
        <w:tc>
          <w:tcPr>
            <w:tcW w:w="4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55"/>
              <w:spacing w:after="0"/>
              <w:rPr>
                <w:sz w:val="20"/>
                <w:szCs w:val="20"/>
                <w:color w:val="auto"/>
              </w:rPr>
            </w:pPr>
            <w:r>
              <w:rPr>
                <w:rFonts w:ascii="Arial" w:cs="Arial" w:eastAsia="Arial" w:hAnsi="Arial"/>
                <w:sz w:val="13"/>
                <w:szCs w:val="13"/>
                <w:color w:val="auto"/>
              </w:rPr>
              <w:t>2019</w:t>
            </w: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3"/>
                <w:szCs w:val="13"/>
                <w:color w:val="auto"/>
              </w:rPr>
              <w:t>2018</w:t>
            </w:r>
          </w:p>
        </w:tc>
      </w:tr>
      <w:tr>
        <w:trPr>
          <w:trHeight w:val="134"/>
        </w:trPr>
        <w:tc>
          <w:tcPr>
            <w:tcW w:w="280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Domestic</w:t>
            </w:r>
          </w:p>
        </w:tc>
        <w:tc>
          <w:tcPr>
            <w:tcW w:w="1920" w:type="dxa"/>
            <w:vAlign w:val="bottom"/>
            <w:shd w:val="clear" w:color="auto" w:fill="CCEEFF"/>
          </w:tcPr>
          <w:p>
            <w:pPr>
              <w:jc w:val="right"/>
              <w:ind w:right="155"/>
              <w:spacing w:after="0" w:line="134" w:lineRule="exact"/>
              <w:rPr>
                <w:sz w:val="20"/>
                <w:szCs w:val="20"/>
                <w:color w:val="auto"/>
              </w:rPr>
            </w:pPr>
            <w:r>
              <w:rPr>
                <w:rFonts w:ascii="Arial" w:cs="Arial" w:eastAsia="Arial" w:hAnsi="Arial"/>
                <w:sz w:val="13"/>
                <w:szCs w:val="13"/>
                <w:b w:val="1"/>
                <w:bCs w:val="1"/>
                <w:color w:val="auto"/>
              </w:rPr>
              <w:t>$</w:t>
            </w:r>
          </w:p>
        </w:tc>
        <w:tc>
          <w:tcPr>
            <w:tcW w:w="1180" w:type="dxa"/>
            <w:vAlign w:val="bottom"/>
            <w:shd w:val="clear" w:color="auto" w:fill="CCEEFF"/>
          </w:tcPr>
          <w:p>
            <w:pPr>
              <w:jc w:val="right"/>
              <w:ind w:right="95"/>
              <w:spacing w:after="0" w:line="134" w:lineRule="exact"/>
              <w:rPr>
                <w:sz w:val="20"/>
                <w:szCs w:val="20"/>
                <w:color w:val="auto"/>
              </w:rPr>
            </w:pPr>
            <w:r>
              <w:rPr>
                <w:rFonts w:ascii="Arial" w:cs="Arial" w:eastAsia="Arial" w:hAnsi="Arial"/>
                <w:sz w:val="13"/>
                <w:szCs w:val="13"/>
                <w:b w:val="1"/>
                <w:bCs w:val="1"/>
                <w:color w:val="auto"/>
              </w:rPr>
              <w:t>647</w:t>
            </w:r>
          </w:p>
        </w:tc>
        <w:tc>
          <w:tcPr>
            <w:tcW w:w="400" w:type="dxa"/>
            <w:vAlign w:val="bottom"/>
            <w:shd w:val="clear" w:color="auto" w:fill="CCEEFF"/>
          </w:tcPr>
          <w:p>
            <w:pPr>
              <w:jc w:val="right"/>
              <w:ind w:right="155"/>
              <w:spacing w:after="0" w:line="134" w:lineRule="exact"/>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ind w:right="55"/>
              <w:spacing w:after="0" w:line="134" w:lineRule="exact"/>
              <w:rPr>
                <w:sz w:val="20"/>
                <w:szCs w:val="20"/>
                <w:color w:val="auto"/>
              </w:rPr>
            </w:pPr>
            <w:r>
              <w:rPr>
                <w:rFonts w:ascii="Arial" w:cs="Arial" w:eastAsia="Arial" w:hAnsi="Arial"/>
                <w:sz w:val="13"/>
                <w:szCs w:val="13"/>
                <w:color w:val="auto"/>
              </w:rPr>
              <w:t>591</w:t>
            </w:r>
          </w:p>
        </w:tc>
        <w:tc>
          <w:tcPr>
            <w:tcW w:w="440" w:type="dxa"/>
            <w:vAlign w:val="bottom"/>
            <w:shd w:val="clear" w:color="auto" w:fill="CCEEFF"/>
          </w:tcPr>
          <w:p>
            <w:pPr>
              <w:jc w:val="right"/>
              <w:ind w:right="155"/>
              <w:spacing w:after="0" w:line="134" w:lineRule="exact"/>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629</w:t>
            </w:r>
          </w:p>
        </w:tc>
      </w:tr>
      <w:tr>
        <w:trPr>
          <w:trHeight w:val="144"/>
        </w:trPr>
        <w:tc>
          <w:tcPr>
            <w:tcW w:w="280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color w:val="auto"/>
              </w:rPr>
              <w:t>International</w:t>
            </w:r>
          </w:p>
        </w:tc>
        <w:tc>
          <w:tcPr>
            <w:tcW w:w="19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5"/>
              <w:spacing w:after="0" w:line="144" w:lineRule="exact"/>
              <w:rPr>
                <w:sz w:val="20"/>
                <w:szCs w:val="20"/>
                <w:color w:val="auto"/>
              </w:rPr>
            </w:pPr>
            <w:r>
              <w:rPr>
                <w:rFonts w:ascii="Arial" w:cs="Arial" w:eastAsia="Arial" w:hAnsi="Arial"/>
                <w:sz w:val="13"/>
                <w:szCs w:val="13"/>
                <w:b w:val="1"/>
                <w:bCs w:val="1"/>
                <w:color w:val="auto"/>
              </w:rPr>
              <w:t>(153)</w:t>
            </w:r>
          </w:p>
        </w:tc>
        <w:tc>
          <w:tcPr>
            <w:tcW w:w="4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5"/>
              <w:spacing w:after="0" w:line="144" w:lineRule="exact"/>
              <w:rPr>
                <w:sz w:val="20"/>
                <w:szCs w:val="20"/>
                <w:color w:val="auto"/>
              </w:rPr>
            </w:pPr>
            <w:r>
              <w:rPr>
                <w:rFonts w:ascii="Arial" w:cs="Arial" w:eastAsia="Arial" w:hAnsi="Arial"/>
                <w:sz w:val="13"/>
                <w:szCs w:val="13"/>
                <w:color w:val="auto"/>
              </w:rPr>
              <w:t>81</w:t>
            </w:r>
          </w:p>
        </w:tc>
        <w:tc>
          <w:tcPr>
            <w:tcW w:w="4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84</w:t>
            </w:r>
          </w:p>
        </w:tc>
      </w:tr>
      <w:tr>
        <w:trPr>
          <w:trHeight w:val="134"/>
        </w:trPr>
        <w:tc>
          <w:tcPr>
            <w:tcW w:w="2800" w:type="dxa"/>
            <w:vAlign w:val="bottom"/>
            <w:tcBorders>
              <w:bottom w:val="single" w:sz="8" w:color="auto"/>
            </w:tcBorders>
            <w:shd w:val="clear" w:color="auto" w:fill="CCEEFF"/>
          </w:tcPr>
          <w:p>
            <w:pPr>
              <w:spacing w:after="0" w:line="134" w:lineRule="exact"/>
              <w:rPr>
                <w:sz w:val="20"/>
                <w:szCs w:val="20"/>
                <w:color w:val="auto"/>
              </w:rPr>
            </w:pPr>
            <w:r>
              <w:rPr>
                <w:rFonts w:ascii="Arial" w:cs="Arial" w:eastAsia="Arial" w:hAnsi="Arial"/>
                <w:sz w:val="13"/>
                <w:szCs w:val="13"/>
                <w:color w:val="auto"/>
              </w:rPr>
              <w:t>Total pre-tax income</w:t>
            </w:r>
          </w:p>
        </w:tc>
        <w:tc>
          <w:tcPr>
            <w:tcW w:w="1920" w:type="dxa"/>
            <w:vAlign w:val="bottom"/>
            <w:tcBorders>
              <w:bottom w:val="single" w:sz="8" w:color="auto"/>
            </w:tcBorders>
            <w:shd w:val="clear" w:color="auto" w:fill="CCEEFF"/>
          </w:tcPr>
          <w:p>
            <w:pPr>
              <w:jc w:val="right"/>
              <w:ind w:right="155"/>
              <w:spacing w:after="0" w:line="134" w:lineRule="exact"/>
              <w:rPr>
                <w:sz w:val="20"/>
                <w:szCs w:val="20"/>
                <w:color w:val="auto"/>
              </w:rPr>
            </w:pPr>
            <w:r>
              <w:rPr>
                <w:rFonts w:ascii="Arial" w:cs="Arial" w:eastAsia="Arial" w:hAnsi="Arial"/>
                <w:sz w:val="13"/>
                <w:szCs w:val="13"/>
                <w:b w:val="1"/>
                <w:bCs w:val="1"/>
                <w:color w:val="auto"/>
              </w:rPr>
              <w:t>$</w:t>
            </w:r>
          </w:p>
        </w:tc>
        <w:tc>
          <w:tcPr>
            <w:tcW w:w="1180" w:type="dxa"/>
            <w:vAlign w:val="bottom"/>
            <w:tcBorders>
              <w:bottom w:val="single" w:sz="8" w:color="auto"/>
            </w:tcBorders>
            <w:shd w:val="clear" w:color="auto" w:fill="CCEEFF"/>
          </w:tcPr>
          <w:p>
            <w:pPr>
              <w:jc w:val="right"/>
              <w:ind w:right="95"/>
              <w:spacing w:after="0" w:line="134" w:lineRule="exact"/>
              <w:rPr>
                <w:sz w:val="20"/>
                <w:szCs w:val="20"/>
                <w:color w:val="auto"/>
              </w:rPr>
            </w:pPr>
            <w:r>
              <w:rPr>
                <w:rFonts w:ascii="Arial" w:cs="Arial" w:eastAsia="Arial" w:hAnsi="Arial"/>
                <w:sz w:val="13"/>
                <w:szCs w:val="13"/>
                <w:b w:val="1"/>
                <w:bCs w:val="1"/>
                <w:color w:val="auto"/>
              </w:rPr>
              <w:t>494</w:t>
            </w:r>
          </w:p>
        </w:tc>
        <w:tc>
          <w:tcPr>
            <w:tcW w:w="400" w:type="dxa"/>
            <w:vAlign w:val="bottom"/>
            <w:tcBorders>
              <w:bottom w:val="single" w:sz="8" w:color="auto"/>
            </w:tcBorders>
            <w:shd w:val="clear" w:color="auto" w:fill="CCEEFF"/>
          </w:tcPr>
          <w:p>
            <w:pPr>
              <w:jc w:val="right"/>
              <w:ind w:right="155"/>
              <w:spacing w:after="0" w:line="134" w:lineRule="exact"/>
              <w:rPr>
                <w:sz w:val="20"/>
                <w:szCs w:val="20"/>
                <w:color w:val="auto"/>
              </w:rPr>
            </w:pPr>
            <w:r>
              <w:rPr>
                <w:rFonts w:ascii="Arial" w:cs="Arial" w:eastAsia="Arial" w:hAnsi="Arial"/>
                <w:sz w:val="13"/>
                <w:szCs w:val="13"/>
                <w:color w:val="auto"/>
              </w:rPr>
              <w:t>$</w:t>
            </w:r>
          </w:p>
        </w:tc>
        <w:tc>
          <w:tcPr>
            <w:tcW w:w="1140" w:type="dxa"/>
            <w:vAlign w:val="bottom"/>
            <w:tcBorders>
              <w:bottom w:val="single" w:sz="8" w:color="auto"/>
            </w:tcBorders>
            <w:shd w:val="clear" w:color="auto" w:fill="CCEEFF"/>
          </w:tcPr>
          <w:p>
            <w:pPr>
              <w:jc w:val="right"/>
              <w:ind w:right="55"/>
              <w:spacing w:after="0" w:line="134" w:lineRule="exact"/>
              <w:rPr>
                <w:sz w:val="20"/>
                <w:szCs w:val="20"/>
                <w:color w:val="auto"/>
              </w:rPr>
            </w:pPr>
            <w:r>
              <w:rPr>
                <w:rFonts w:ascii="Arial" w:cs="Arial" w:eastAsia="Arial" w:hAnsi="Arial"/>
                <w:sz w:val="13"/>
                <w:szCs w:val="13"/>
                <w:color w:val="auto"/>
              </w:rPr>
              <w:t>672</w:t>
            </w:r>
          </w:p>
        </w:tc>
        <w:tc>
          <w:tcPr>
            <w:tcW w:w="440" w:type="dxa"/>
            <w:vAlign w:val="bottom"/>
            <w:tcBorders>
              <w:bottom w:val="single" w:sz="8" w:color="auto"/>
            </w:tcBorders>
            <w:shd w:val="clear" w:color="auto" w:fill="CCEEFF"/>
          </w:tcPr>
          <w:p>
            <w:pPr>
              <w:jc w:val="right"/>
              <w:ind w:right="155"/>
              <w:spacing w:after="0" w:line="134"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713</w:t>
            </w:r>
          </w:p>
        </w:tc>
      </w:tr>
      <w:tr>
        <w:trPr>
          <w:trHeight w:val="20"/>
        </w:trPr>
        <w:tc>
          <w:tcPr>
            <w:tcW w:w="28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72" w:lineRule="exact"/>
        <w:rPr>
          <w:sz w:val="20"/>
          <w:szCs w:val="20"/>
          <w:color w:val="auto"/>
        </w:rPr>
      </w:pPr>
    </w:p>
    <w:p>
      <w:pPr>
        <w:jc w:val="both"/>
        <w:ind w:left="20" w:right="39"/>
        <w:spacing w:after="0"/>
        <w:rPr>
          <w:sz w:val="20"/>
          <w:szCs w:val="20"/>
          <w:color w:val="auto"/>
        </w:rPr>
      </w:pPr>
      <w:r>
        <w:rPr>
          <w:rFonts w:ascii="Arial" w:cs="Arial" w:eastAsia="Arial" w:hAnsi="Arial"/>
          <w:sz w:val="13"/>
          <w:szCs w:val="13"/>
          <w:color w:val="auto"/>
        </w:rPr>
        <w:t>Domestic pre-tax income includes the results of non-U.S. businesses that are operated in branches owned directly by the U.S. which, therefore, are subject to U.S. income tax.</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3660" w:type="dxa"/>
            <w:vAlign w:val="bottom"/>
            <w:gridSpan w:val="2"/>
          </w:tcPr>
          <w:p>
            <w:pPr>
              <w:spacing w:after="0"/>
              <w:rPr>
                <w:sz w:val="20"/>
                <w:szCs w:val="20"/>
                <w:color w:val="auto"/>
              </w:rPr>
            </w:pPr>
            <w:r>
              <w:rPr>
                <w:rFonts w:ascii="Arial" w:cs="Arial" w:eastAsia="Arial" w:hAnsi="Arial"/>
                <w:sz w:val="13"/>
                <w:szCs w:val="13"/>
                <w:color w:val="auto"/>
              </w:rPr>
              <w:t>The income tax provision consists of the following:</w:t>
            </w: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80"/>
        </w:trPr>
        <w:tc>
          <w:tcPr>
            <w:tcW w:w="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 in millions)</w:t>
            </w:r>
          </w:p>
        </w:tc>
        <w:tc>
          <w:tcPr>
            <w:tcW w:w="10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95"/>
              <w:spacing w:after="0"/>
              <w:rPr>
                <w:sz w:val="20"/>
                <w:szCs w:val="20"/>
                <w:color w:val="auto"/>
              </w:rPr>
            </w:pPr>
            <w:r>
              <w:rPr>
                <w:rFonts w:ascii="Arial" w:cs="Arial" w:eastAsia="Arial" w:hAnsi="Arial"/>
                <w:sz w:val="13"/>
                <w:szCs w:val="13"/>
                <w:b w:val="1"/>
                <w:bCs w:val="1"/>
                <w:color w:val="auto"/>
              </w:rPr>
              <w:t>2020</w:t>
            </w:r>
          </w:p>
        </w:tc>
        <w:tc>
          <w:tcPr>
            <w:tcW w:w="4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75"/>
              <w:spacing w:after="0"/>
              <w:rPr>
                <w:sz w:val="20"/>
                <w:szCs w:val="20"/>
                <w:color w:val="auto"/>
              </w:rPr>
            </w:pPr>
            <w:r>
              <w:rPr>
                <w:rFonts w:ascii="Arial" w:cs="Arial" w:eastAsia="Arial" w:hAnsi="Arial"/>
                <w:sz w:val="13"/>
                <w:szCs w:val="13"/>
                <w:color w:val="auto"/>
              </w:rPr>
              <w:t>2019</w:t>
            </w:r>
          </w:p>
        </w:tc>
        <w:tc>
          <w:tcPr>
            <w:tcW w:w="4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3"/>
                <w:szCs w:val="13"/>
                <w:color w:val="auto"/>
              </w:rPr>
              <w:t>2018</w:t>
            </w:r>
          </w:p>
        </w:tc>
      </w:tr>
      <w:tr>
        <w:trPr>
          <w:trHeight w:val="134"/>
        </w:trPr>
        <w:tc>
          <w:tcPr>
            <w:tcW w:w="20" w:type="dxa"/>
            <w:vAlign w:val="bottom"/>
          </w:tcPr>
          <w:p>
            <w:pPr>
              <w:spacing w:after="0"/>
              <w:rPr>
                <w:sz w:val="11"/>
                <w:szCs w:val="11"/>
                <w:color w:val="auto"/>
              </w:rPr>
            </w:pPr>
          </w:p>
        </w:tc>
        <w:tc>
          <w:tcPr>
            <w:tcW w:w="3640" w:type="dxa"/>
            <w:vAlign w:val="bottom"/>
          </w:tcPr>
          <w:p>
            <w:pPr>
              <w:spacing w:after="0" w:line="134" w:lineRule="exact"/>
              <w:rPr>
                <w:sz w:val="20"/>
                <w:szCs w:val="20"/>
                <w:color w:val="auto"/>
              </w:rPr>
            </w:pPr>
            <w:r>
              <w:rPr>
                <w:rFonts w:ascii="Arial" w:cs="Arial" w:eastAsia="Arial" w:hAnsi="Arial"/>
                <w:sz w:val="13"/>
                <w:szCs w:val="13"/>
                <w:b w:val="1"/>
                <w:bCs w:val="1"/>
                <w:color w:val="auto"/>
              </w:rPr>
              <w:t>Current:</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3640" w:type="dxa"/>
            <w:vAlign w:val="bottom"/>
            <w:shd w:val="clear" w:color="auto" w:fill="CCEEFF"/>
          </w:tcPr>
          <w:p>
            <w:pPr>
              <w:ind w:left="80"/>
              <w:spacing w:after="0" w:line="144" w:lineRule="exact"/>
              <w:rPr>
                <w:sz w:val="20"/>
                <w:szCs w:val="20"/>
                <w:color w:val="auto"/>
              </w:rPr>
            </w:pPr>
            <w:r>
              <w:rPr>
                <w:rFonts w:ascii="Arial" w:cs="Arial" w:eastAsia="Arial" w:hAnsi="Arial"/>
                <w:sz w:val="13"/>
                <w:szCs w:val="13"/>
                <w:color w:val="auto"/>
              </w:rPr>
              <w:t>Federal</w:t>
            </w:r>
          </w:p>
        </w:tc>
        <w:tc>
          <w:tcPr>
            <w:tcW w:w="1080" w:type="dxa"/>
            <w:vAlign w:val="bottom"/>
            <w:shd w:val="clear" w:color="auto" w:fill="CCEEFF"/>
          </w:tcPr>
          <w:p>
            <w:pPr>
              <w:jc w:val="right"/>
              <w:ind w:right="155"/>
              <w:spacing w:after="0" w:line="144" w:lineRule="exact"/>
              <w:rPr>
                <w:sz w:val="20"/>
                <w:szCs w:val="20"/>
                <w:color w:val="auto"/>
              </w:rPr>
            </w:pPr>
            <w:r>
              <w:rPr>
                <w:rFonts w:ascii="Arial" w:cs="Arial" w:eastAsia="Arial" w:hAnsi="Arial"/>
                <w:sz w:val="13"/>
                <w:szCs w:val="13"/>
                <w:b w:val="1"/>
                <w:bCs w:val="1"/>
                <w:color w:val="auto"/>
              </w:rPr>
              <w:t>$</w:t>
            </w:r>
          </w:p>
        </w:tc>
        <w:tc>
          <w:tcPr>
            <w:tcW w:w="1180" w:type="dxa"/>
            <w:vAlign w:val="bottom"/>
            <w:shd w:val="clear" w:color="auto" w:fill="CCEEFF"/>
          </w:tcPr>
          <w:p>
            <w:pPr>
              <w:jc w:val="right"/>
              <w:ind w:right="95"/>
              <w:spacing w:after="0" w:line="144" w:lineRule="exact"/>
              <w:rPr>
                <w:sz w:val="20"/>
                <w:szCs w:val="20"/>
                <w:color w:val="auto"/>
              </w:rPr>
            </w:pPr>
            <w:r>
              <w:rPr>
                <w:rFonts w:ascii="Arial" w:cs="Arial" w:eastAsia="Arial" w:hAnsi="Arial"/>
                <w:sz w:val="13"/>
                <w:szCs w:val="13"/>
                <w:b w:val="1"/>
                <w:bCs w:val="1"/>
                <w:color w:val="auto"/>
              </w:rPr>
              <w:t>114</w:t>
            </w:r>
          </w:p>
        </w:tc>
        <w:tc>
          <w:tcPr>
            <w:tcW w:w="400" w:type="dxa"/>
            <w:vAlign w:val="bottom"/>
            <w:shd w:val="clear" w:color="auto" w:fill="CCEEFF"/>
          </w:tcPr>
          <w:p>
            <w:pPr>
              <w:jc w:val="right"/>
              <w:ind w:right="155"/>
              <w:spacing w:after="0" w:line="144"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color w:val="auto"/>
              </w:rPr>
              <w:t>106</w:t>
            </w:r>
          </w:p>
        </w:tc>
        <w:tc>
          <w:tcPr>
            <w:tcW w:w="420" w:type="dxa"/>
            <w:vAlign w:val="bottom"/>
            <w:shd w:val="clear" w:color="auto" w:fill="CCEEFF"/>
          </w:tcPr>
          <w:p>
            <w:pPr>
              <w:jc w:val="right"/>
              <w:ind w:right="155"/>
              <w:spacing w:after="0" w:line="144" w:lineRule="exact"/>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91</w:t>
            </w:r>
          </w:p>
        </w:tc>
      </w:tr>
      <w:tr>
        <w:trPr>
          <w:trHeight w:val="144"/>
        </w:trPr>
        <w:tc>
          <w:tcPr>
            <w:tcW w:w="20" w:type="dxa"/>
            <w:vAlign w:val="bottom"/>
          </w:tcPr>
          <w:p>
            <w:pPr>
              <w:spacing w:after="0"/>
              <w:rPr>
                <w:sz w:val="12"/>
                <w:szCs w:val="12"/>
                <w:color w:val="auto"/>
              </w:rPr>
            </w:pPr>
          </w:p>
        </w:tc>
        <w:tc>
          <w:tcPr>
            <w:tcW w:w="3640" w:type="dxa"/>
            <w:vAlign w:val="bottom"/>
          </w:tcPr>
          <w:p>
            <w:pPr>
              <w:ind w:left="80"/>
              <w:spacing w:after="0" w:line="144" w:lineRule="exact"/>
              <w:rPr>
                <w:sz w:val="20"/>
                <w:szCs w:val="20"/>
                <w:color w:val="auto"/>
              </w:rPr>
            </w:pPr>
            <w:r>
              <w:rPr>
                <w:rFonts w:ascii="Arial" w:cs="Arial" w:eastAsia="Arial" w:hAnsi="Arial"/>
                <w:sz w:val="13"/>
                <w:szCs w:val="13"/>
                <w:color w:val="auto"/>
              </w:rPr>
              <w:t>State and local</w:t>
            </w:r>
          </w:p>
        </w:tc>
        <w:tc>
          <w:tcPr>
            <w:tcW w:w="1080" w:type="dxa"/>
            <w:vAlign w:val="bottom"/>
          </w:tcPr>
          <w:p>
            <w:pPr>
              <w:spacing w:after="0"/>
              <w:rPr>
                <w:sz w:val="12"/>
                <w:szCs w:val="12"/>
                <w:color w:val="auto"/>
              </w:rPr>
            </w:pPr>
          </w:p>
        </w:tc>
        <w:tc>
          <w:tcPr>
            <w:tcW w:w="1180" w:type="dxa"/>
            <w:vAlign w:val="bottom"/>
          </w:tcPr>
          <w:p>
            <w:pPr>
              <w:jc w:val="right"/>
              <w:ind w:right="95"/>
              <w:spacing w:after="0" w:line="144" w:lineRule="exact"/>
              <w:rPr>
                <w:sz w:val="20"/>
                <w:szCs w:val="20"/>
                <w:color w:val="auto"/>
              </w:rPr>
            </w:pPr>
            <w:r>
              <w:rPr>
                <w:rFonts w:ascii="Arial" w:cs="Arial" w:eastAsia="Arial" w:hAnsi="Arial"/>
                <w:sz w:val="13"/>
                <w:szCs w:val="13"/>
                <w:b w:val="1"/>
                <w:bCs w:val="1"/>
                <w:color w:val="auto"/>
              </w:rPr>
              <w:t>43</w:t>
            </w:r>
          </w:p>
        </w:tc>
        <w:tc>
          <w:tcPr>
            <w:tcW w:w="400" w:type="dxa"/>
            <w:vAlign w:val="bottom"/>
          </w:tcPr>
          <w:p>
            <w:pPr>
              <w:spacing w:after="0"/>
              <w:rPr>
                <w:sz w:val="12"/>
                <w:szCs w:val="12"/>
                <w:color w:val="auto"/>
              </w:rPr>
            </w:pPr>
          </w:p>
        </w:tc>
        <w:tc>
          <w:tcPr>
            <w:tcW w:w="1160" w:type="dxa"/>
            <w:vAlign w:val="bottom"/>
          </w:tcPr>
          <w:p>
            <w:pPr>
              <w:jc w:val="right"/>
              <w:ind w:right="75"/>
              <w:spacing w:after="0" w:line="144" w:lineRule="exact"/>
              <w:rPr>
                <w:sz w:val="20"/>
                <w:szCs w:val="20"/>
                <w:color w:val="auto"/>
              </w:rPr>
            </w:pPr>
            <w:r>
              <w:rPr>
                <w:rFonts w:ascii="Arial" w:cs="Arial" w:eastAsia="Arial" w:hAnsi="Arial"/>
                <w:sz w:val="13"/>
                <w:szCs w:val="13"/>
                <w:color w:val="auto"/>
              </w:rPr>
              <w:t>39</w:t>
            </w:r>
          </w:p>
        </w:tc>
        <w:tc>
          <w:tcPr>
            <w:tcW w:w="420" w:type="dxa"/>
            <w:vAlign w:val="bottom"/>
          </w:tcPr>
          <w:p>
            <w:pPr>
              <w:spacing w:after="0"/>
              <w:rPr>
                <w:sz w:val="12"/>
                <w:szCs w:val="12"/>
                <w:color w:val="auto"/>
              </w:rPr>
            </w:pPr>
          </w:p>
        </w:tc>
        <w:tc>
          <w:tcPr>
            <w:tcW w:w="1060" w:type="dxa"/>
            <w:vAlign w:val="bottom"/>
          </w:tcPr>
          <w:p>
            <w:pPr>
              <w:jc w:val="right"/>
              <w:spacing w:after="0" w:line="144" w:lineRule="exact"/>
              <w:rPr>
                <w:sz w:val="20"/>
                <w:szCs w:val="20"/>
                <w:color w:val="auto"/>
              </w:rPr>
            </w:pPr>
            <w:r>
              <w:rPr>
                <w:rFonts w:ascii="Arial" w:cs="Arial" w:eastAsia="Arial" w:hAnsi="Arial"/>
                <w:sz w:val="13"/>
                <w:szCs w:val="13"/>
                <w:color w:val="auto"/>
              </w:rPr>
              <w:t>42</w:t>
            </w:r>
          </w:p>
        </w:tc>
      </w:tr>
      <w:tr>
        <w:trPr>
          <w:trHeight w:val="144"/>
        </w:trPr>
        <w:tc>
          <w:tcPr>
            <w:tcW w:w="20" w:type="dxa"/>
            <w:vAlign w:val="bottom"/>
          </w:tcPr>
          <w:p>
            <w:pPr>
              <w:spacing w:after="0"/>
              <w:rPr>
                <w:sz w:val="12"/>
                <w:szCs w:val="12"/>
                <w:color w:val="auto"/>
              </w:rPr>
            </w:pPr>
          </w:p>
        </w:tc>
        <w:tc>
          <w:tcPr>
            <w:tcW w:w="3640" w:type="dxa"/>
            <w:vAlign w:val="bottom"/>
            <w:tcBorders>
              <w:bottom w:val="single" w:sz="8" w:color="auto"/>
            </w:tcBorders>
            <w:shd w:val="clear" w:color="auto" w:fill="CCEEFF"/>
          </w:tcPr>
          <w:p>
            <w:pPr>
              <w:ind w:left="80"/>
              <w:spacing w:after="0" w:line="144" w:lineRule="exact"/>
              <w:rPr>
                <w:sz w:val="20"/>
                <w:szCs w:val="20"/>
                <w:color w:val="auto"/>
              </w:rPr>
            </w:pPr>
            <w:r>
              <w:rPr>
                <w:rFonts w:ascii="Arial" w:cs="Arial" w:eastAsia="Arial" w:hAnsi="Arial"/>
                <w:sz w:val="13"/>
                <w:szCs w:val="13"/>
                <w:color w:val="auto"/>
              </w:rPr>
              <w:t>International</w:t>
            </w:r>
          </w:p>
        </w:tc>
        <w:tc>
          <w:tcPr>
            <w:tcW w:w="108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ind w:right="95"/>
              <w:spacing w:after="0" w:line="144" w:lineRule="exact"/>
              <w:rPr>
                <w:sz w:val="20"/>
                <w:szCs w:val="20"/>
                <w:color w:val="auto"/>
              </w:rPr>
            </w:pPr>
            <w:r>
              <w:rPr>
                <w:rFonts w:ascii="Arial" w:cs="Arial" w:eastAsia="Arial" w:hAnsi="Arial"/>
                <w:sz w:val="13"/>
                <w:szCs w:val="13"/>
                <w:b w:val="1"/>
                <w:bCs w:val="1"/>
                <w:color w:val="auto"/>
              </w:rPr>
              <w:t>23</w:t>
            </w:r>
          </w:p>
        </w:tc>
        <w:tc>
          <w:tcPr>
            <w:tcW w:w="4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ind w:right="75"/>
              <w:spacing w:after="0" w:line="144" w:lineRule="exact"/>
              <w:rPr>
                <w:sz w:val="20"/>
                <w:szCs w:val="20"/>
                <w:color w:val="auto"/>
              </w:rPr>
            </w:pPr>
            <w:r>
              <w:rPr>
                <w:rFonts w:ascii="Arial" w:cs="Arial" w:eastAsia="Arial" w:hAnsi="Arial"/>
                <w:sz w:val="13"/>
                <w:szCs w:val="13"/>
                <w:color w:val="auto"/>
              </w:rPr>
              <w:t>31</w:t>
            </w:r>
          </w:p>
        </w:tc>
        <w:tc>
          <w:tcPr>
            <w:tcW w:w="4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30</w:t>
            </w:r>
          </w:p>
        </w:tc>
      </w:tr>
      <w:tr>
        <w:trPr>
          <w:trHeight w:val="134"/>
        </w:trPr>
        <w:tc>
          <w:tcPr>
            <w:tcW w:w="20" w:type="dxa"/>
            <w:vAlign w:val="bottom"/>
          </w:tcPr>
          <w:p>
            <w:pPr>
              <w:spacing w:after="0"/>
              <w:rPr>
                <w:sz w:val="11"/>
                <w:szCs w:val="11"/>
                <w:color w:val="auto"/>
              </w:rPr>
            </w:pPr>
          </w:p>
        </w:tc>
        <w:tc>
          <w:tcPr>
            <w:tcW w:w="3640" w:type="dxa"/>
            <w:vAlign w:val="bottom"/>
            <w:tcBorders>
              <w:bottom w:val="single" w:sz="8" w:color="auto"/>
            </w:tcBorders>
          </w:tcPr>
          <w:p>
            <w:pPr>
              <w:spacing w:after="0" w:line="134" w:lineRule="exact"/>
              <w:rPr>
                <w:sz w:val="20"/>
                <w:szCs w:val="20"/>
                <w:color w:val="auto"/>
              </w:rPr>
            </w:pPr>
            <w:r>
              <w:rPr>
                <w:rFonts w:ascii="Arial" w:cs="Arial" w:eastAsia="Arial" w:hAnsi="Arial"/>
                <w:sz w:val="13"/>
                <w:szCs w:val="13"/>
                <w:color w:val="auto"/>
              </w:rPr>
              <w:t>Total current tax provision</w:t>
            </w:r>
          </w:p>
        </w:tc>
        <w:tc>
          <w:tcPr>
            <w:tcW w:w="10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95"/>
              <w:spacing w:after="0" w:line="134" w:lineRule="exact"/>
              <w:rPr>
                <w:sz w:val="20"/>
                <w:szCs w:val="20"/>
                <w:color w:val="auto"/>
              </w:rPr>
            </w:pPr>
            <w:r>
              <w:rPr>
                <w:rFonts w:ascii="Arial" w:cs="Arial" w:eastAsia="Arial" w:hAnsi="Arial"/>
                <w:sz w:val="13"/>
                <w:szCs w:val="13"/>
                <w:b w:val="1"/>
                <w:bCs w:val="1"/>
                <w:color w:val="auto"/>
              </w:rPr>
              <w:t>180</w:t>
            </w:r>
          </w:p>
        </w:tc>
        <w:tc>
          <w:tcPr>
            <w:tcW w:w="4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75"/>
              <w:spacing w:after="0" w:line="134" w:lineRule="exact"/>
              <w:rPr>
                <w:sz w:val="20"/>
                <w:szCs w:val="20"/>
                <w:color w:val="auto"/>
              </w:rPr>
            </w:pPr>
            <w:r>
              <w:rPr>
                <w:rFonts w:ascii="Arial" w:cs="Arial" w:eastAsia="Arial" w:hAnsi="Arial"/>
                <w:sz w:val="13"/>
                <w:szCs w:val="13"/>
                <w:color w:val="auto"/>
              </w:rPr>
              <w:t>176</w:t>
            </w:r>
          </w:p>
        </w:tc>
        <w:tc>
          <w:tcPr>
            <w:tcW w:w="4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163</w:t>
            </w:r>
          </w:p>
        </w:tc>
      </w:tr>
      <w:tr>
        <w:trPr>
          <w:trHeight w:val="134"/>
        </w:trPr>
        <w:tc>
          <w:tcPr>
            <w:tcW w:w="20" w:type="dxa"/>
            <w:vAlign w:val="bottom"/>
          </w:tcPr>
          <w:p>
            <w:pPr>
              <w:spacing w:after="0"/>
              <w:rPr>
                <w:sz w:val="11"/>
                <w:szCs w:val="11"/>
                <w:color w:val="auto"/>
              </w:rPr>
            </w:pPr>
          </w:p>
        </w:tc>
        <w:tc>
          <w:tcPr>
            <w:tcW w:w="3640" w:type="dxa"/>
            <w:vAlign w:val="bottom"/>
            <w:shd w:val="clear" w:color="auto" w:fill="CCEEFF"/>
          </w:tcPr>
          <w:p>
            <w:pPr>
              <w:spacing w:after="0" w:line="134" w:lineRule="exact"/>
              <w:rPr>
                <w:sz w:val="20"/>
                <w:szCs w:val="20"/>
                <w:color w:val="auto"/>
              </w:rPr>
            </w:pPr>
            <w:r>
              <w:rPr>
                <w:rFonts w:ascii="Arial" w:cs="Arial" w:eastAsia="Arial" w:hAnsi="Arial"/>
                <w:sz w:val="13"/>
                <w:szCs w:val="13"/>
                <w:b w:val="1"/>
                <w:bCs w:val="1"/>
                <w:color w:val="auto"/>
              </w:rPr>
              <w:t>Deferred:</w:t>
            </w:r>
          </w:p>
        </w:tc>
        <w:tc>
          <w:tcPr>
            <w:tcW w:w="10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3640" w:type="dxa"/>
            <w:vAlign w:val="bottom"/>
          </w:tcPr>
          <w:p>
            <w:pPr>
              <w:ind w:left="80"/>
              <w:spacing w:after="0" w:line="144" w:lineRule="exact"/>
              <w:rPr>
                <w:sz w:val="20"/>
                <w:szCs w:val="20"/>
                <w:color w:val="auto"/>
              </w:rPr>
            </w:pPr>
            <w:r>
              <w:rPr>
                <w:rFonts w:ascii="Arial" w:cs="Arial" w:eastAsia="Arial" w:hAnsi="Arial"/>
                <w:sz w:val="13"/>
                <w:szCs w:val="13"/>
                <w:color w:val="auto"/>
              </w:rPr>
              <w:t>Federal</w:t>
            </w:r>
          </w:p>
        </w:tc>
        <w:tc>
          <w:tcPr>
            <w:tcW w:w="1080" w:type="dxa"/>
            <w:vAlign w:val="bottom"/>
          </w:tcPr>
          <w:p>
            <w:pPr>
              <w:spacing w:after="0"/>
              <w:rPr>
                <w:sz w:val="12"/>
                <w:szCs w:val="12"/>
                <w:color w:val="auto"/>
              </w:rPr>
            </w:pPr>
          </w:p>
        </w:tc>
        <w:tc>
          <w:tcPr>
            <w:tcW w:w="1180" w:type="dxa"/>
            <w:vAlign w:val="bottom"/>
          </w:tcPr>
          <w:p>
            <w:pPr>
              <w:jc w:val="right"/>
              <w:ind w:right="95"/>
              <w:spacing w:after="0" w:line="144" w:lineRule="exact"/>
              <w:rPr>
                <w:sz w:val="20"/>
                <w:szCs w:val="20"/>
                <w:color w:val="auto"/>
              </w:rPr>
            </w:pPr>
            <w:r>
              <w:rPr>
                <w:rFonts w:ascii="Arial" w:cs="Arial" w:eastAsia="Arial" w:hAnsi="Arial"/>
                <w:sz w:val="13"/>
                <w:szCs w:val="13"/>
                <w:b w:val="1"/>
                <w:bCs w:val="1"/>
                <w:color w:val="auto"/>
              </w:rPr>
              <w:t>6</w:t>
            </w:r>
          </w:p>
        </w:tc>
        <w:tc>
          <w:tcPr>
            <w:tcW w:w="400" w:type="dxa"/>
            <w:vAlign w:val="bottom"/>
          </w:tcPr>
          <w:p>
            <w:pPr>
              <w:spacing w:after="0"/>
              <w:rPr>
                <w:sz w:val="12"/>
                <w:szCs w:val="12"/>
                <w:color w:val="auto"/>
              </w:rPr>
            </w:pPr>
          </w:p>
        </w:tc>
        <w:tc>
          <w:tcPr>
            <w:tcW w:w="1160" w:type="dxa"/>
            <w:vAlign w:val="bottom"/>
          </w:tcPr>
          <w:p>
            <w:pPr>
              <w:jc w:val="right"/>
              <w:ind w:right="35"/>
              <w:spacing w:after="0" w:line="144" w:lineRule="exact"/>
              <w:rPr>
                <w:sz w:val="20"/>
                <w:szCs w:val="20"/>
                <w:color w:val="auto"/>
              </w:rPr>
            </w:pPr>
            <w:r>
              <w:rPr>
                <w:rFonts w:ascii="Arial" w:cs="Arial" w:eastAsia="Arial" w:hAnsi="Arial"/>
                <w:sz w:val="13"/>
                <w:szCs w:val="13"/>
                <w:color w:val="auto"/>
              </w:rPr>
              <w:t>(1)</w:t>
            </w:r>
          </w:p>
        </w:tc>
        <w:tc>
          <w:tcPr>
            <w:tcW w:w="420" w:type="dxa"/>
            <w:vAlign w:val="bottom"/>
          </w:tcPr>
          <w:p>
            <w:pPr>
              <w:spacing w:after="0"/>
              <w:rPr>
                <w:sz w:val="12"/>
                <w:szCs w:val="12"/>
                <w:color w:val="auto"/>
              </w:rPr>
            </w:pPr>
          </w:p>
        </w:tc>
        <w:tc>
          <w:tcPr>
            <w:tcW w:w="1060" w:type="dxa"/>
            <w:vAlign w:val="bottom"/>
          </w:tcPr>
          <w:p>
            <w:pPr>
              <w:jc w:val="right"/>
              <w:spacing w:after="0" w:line="144" w:lineRule="exact"/>
              <w:rPr>
                <w:sz w:val="20"/>
                <w:szCs w:val="20"/>
                <w:color w:val="auto"/>
              </w:rPr>
            </w:pPr>
            <w:r>
              <w:rPr>
                <w:rFonts w:ascii="Arial" w:cs="Arial" w:eastAsia="Arial" w:hAnsi="Arial"/>
                <w:sz w:val="13"/>
                <w:szCs w:val="13"/>
                <w:color w:val="auto"/>
              </w:rPr>
              <w:t>(4)</w:t>
            </w:r>
          </w:p>
        </w:tc>
      </w:tr>
      <w:tr>
        <w:trPr>
          <w:trHeight w:val="144"/>
        </w:trPr>
        <w:tc>
          <w:tcPr>
            <w:tcW w:w="20" w:type="dxa"/>
            <w:vAlign w:val="bottom"/>
          </w:tcPr>
          <w:p>
            <w:pPr>
              <w:spacing w:after="0"/>
              <w:rPr>
                <w:sz w:val="12"/>
                <w:szCs w:val="12"/>
                <w:color w:val="auto"/>
              </w:rPr>
            </w:pPr>
          </w:p>
        </w:tc>
        <w:tc>
          <w:tcPr>
            <w:tcW w:w="3640" w:type="dxa"/>
            <w:vAlign w:val="bottom"/>
            <w:shd w:val="clear" w:color="auto" w:fill="CCEEFF"/>
          </w:tcPr>
          <w:p>
            <w:pPr>
              <w:ind w:left="80"/>
              <w:spacing w:after="0" w:line="144" w:lineRule="exact"/>
              <w:rPr>
                <w:sz w:val="20"/>
                <w:szCs w:val="20"/>
                <w:color w:val="auto"/>
              </w:rPr>
            </w:pPr>
            <w:r>
              <w:rPr>
                <w:rFonts w:ascii="Arial" w:cs="Arial" w:eastAsia="Arial" w:hAnsi="Arial"/>
                <w:sz w:val="13"/>
                <w:szCs w:val="13"/>
                <w:color w:val="auto"/>
              </w:rPr>
              <w:t>State and local</w:t>
            </w:r>
          </w:p>
        </w:tc>
        <w:tc>
          <w:tcPr>
            <w:tcW w:w="108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b w:val="1"/>
                <w:bCs w:val="1"/>
                <w:color w:val="auto"/>
              </w:rPr>
              <w:t>(2)</w:t>
            </w:r>
          </w:p>
        </w:tc>
        <w:tc>
          <w:tcPr>
            <w:tcW w:w="40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w:t>
            </w:r>
          </w:p>
        </w:tc>
      </w:tr>
      <w:tr>
        <w:trPr>
          <w:trHeight w:val="144"/>
        </w:trPr>
        <w:tc>
          <w:tcPr>
            <w:tcW w:w="20" w:type="dxa"/>
            <w:vAlign w:val="bottom"/>
          </w:tcPr>
          <w:p>
            <w:pPr>
              <w:spacing w:after="0"/>
              <w:rPr>
                <w:sz w:val="12"/>
                <w:szCs w:val="12"/>
                <w:color w:val="auto"/>
              </w:rPr>
            </w:pPr>
          </w:p>
        </w:tc>
        <w:tc>
          <w:tcPr>
            <w:tcW w:w="3640" w:type="dxa"/>
            <w:vAlign w:val="bottom"/>
            <w:tcBorders>
              <w:bottom w:val="single" w:sz="8" w:color="auto"/>
            </w:tcBorders>
          </w:tcPr>
          <w:p>
            <w:pPr>
              <w:ind w:left="80"/>
              <w:spacing w:after="0" w:line="144" w:lineRule="exact"/>
              <w:rPr>
                <w:sz w:val="20"/>
                <w:szCs w:val="20"/>
                <w:color w:val="auto"/>
              </w:rPr>
            </w:pPr>
            <w:r>
              <w:rPr>
                <w:rFonts w:ascii="Arial" w:cs="Arial" w:eastAsia="Arial" w:hAnsi="Arial"/>
                <w:sz w:val="13"/>
                <w:szCs w:val="13"/>
                <w:color w:val="auto"/>
              </w:rPr>
              <w:t>International</w:t>
            </w:r>
          </w:p>
        </w:tc>
        <w:tc>
          <w:tcPr>
            <w:tcW w:w="10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5"/>
              <w:spacing w:after="0" w:line="144" w:lineRule="exact"/>
              <w:rPr>
                <w:sz w:val="20"/>
                <w:szCs w:val="20"/>
                <w:color w:val="auto"/>
              </w:rPr>
            </w:pPr>
            <w:r>
              <w:rPr>
                <w:rFonts w:ascii="Arial" w:cs="Arial" w:eastAsia="Arial" w:hAnsi="Arial"/>
                <w:sz w:val="13"/>
                <w:szCs w:val="13"/>
                <w:b w:val="1"/>
                <w:bCs w:val="1"/>
                <w:color w:val="auto"/>
              </w:rPr>
              <w:t>(13)</w:t>
            </w:r>
          </w:p>
        </w:tc>
        <w:tc>
          <w:tcPr>
            <w:tcW w:w="4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75"/>
              <w:spacing w:after="0" w:line="144" w:lineRule="exact"/>
              <w:rPr>
                <w:sz w:val="20"/>
                <w:szCs w:val="20"/>
                <w:color w:val="auto"/>
              </w:rPr>
            </w:pPr>
            <w:r>
              <w:rPr>
                <w:rFonts w:ascii="Arial" w:cs="Arial" w:eastAsia="Arial" w:hAnsi="Arial"/>
                <w:sz w:val="13"/>
                <w:szCs w:val="13"/>
                <w:color w:val="auto"/>
              </w:rPr>
              <w:t>6</w:t>
            </w:r>
          </w:p>
        </w:tc>
        <w:tc>
          <w:tcPr>
            <w:tcW w:w="4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12</w:t>
            </w:r>
          </w:p>
        </w:tc>
      </w:tr>
      <w:tr>
        <w:trPr>
          <w:trHeight w:val="134"/>
        </w:trPr>
        <w:tc>
          <w:tcPr>
            <w:tcW w:w="20" w:type="dxa"/>
            <w:vAlign w:val="bottom"/>
          </w:tcPr>
          <w:p>
            <w:pPr>
              <w:spacing w:after="0"/>
              <w:rPr>
                <w:sz w:val="11"/>
                <w:szCs w:val="11"/>
                <w:color w:val="auto"/>
              </w:rPr>
            </w:pPr>
          </w:p>
        </w:tc>
        <w:tc>
          <w:tcPr>
            <w:tcW w:w="3640" w:type="dxa"/>
            <w:vAlign w:val="bottom"/>
            <w:tcBorders>
              <w:bottom w:val="single" w:sz="8" w:color="auto"/>
            </w:tcBorders>
            <w:shd w:val="clear" w:color="auto" w:fill="CCEEFF"/>
          </w:tcPr>
          <w:p>
            <w:pPr>
              <w:spacing w:after="0" w:line="134" w:lineRule="exact"/>
              <w:rPr>
                <w:sz w:val="20"/>
                <w:szCs w:val="20"/>
                <w:color w:val="auto"/>
              </w:rPr>
            </w:pPr>
            <w:r>
              <w:rPr>
                <w:rFonts w:ascii="Arial" w:cs="Arial" w:eastAsia="Arial" w:hAnsi="Arial"/>
                <w:sz w:val="13"/>
                <w:szCs w:val="13"/>
                <w:color w:val="auto"/>
              </w:rPr>
              <w:t>Total deferred tax (benefit) provision</w:t>
            </w:r>
          </w:p>
        </w:tc>
        <w:tc>
          <w:tcPr>
            <w:tcW w:w="108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ind w:right="55"/>
              <w:spacing w:after="0" w:line="134" w:lineRule="exact"/>
              <w:rPr>
                <w:sz w:val="20"/>
                <w:szCs w:val="20"/>
                <w:color w:val="auto"/>
              </w:rPr>
            </w:pPr>
            <w:r>
              <w:rPr>
                <w:rFonts w:ascii="Arial" w:cs="Arial" w:eastAsia="Arial" w:hAnsi="Arial"/>
                <w:sz w:val="13"/>
                <w:szCs w:val="13"/>
                <w:b w:val="1"/>
                <w:bCs w:val="1"/>
                <w:color w:val="auto"/>
              </w:rPr>
              <w:t>(9)</w:t>
            </w:r>
          </w:p>
        </w:tc>
        <w:tc>
          <w:tcPr>
            <w:tcW w:w="40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color w:val="auto"/>
              </w:rPr>
              <w:t>5</w:t>
            </w:r>
          </w:p>
        </w:tc>
        <w:tc>
          <w:tcPr>
            <w:tcW w:w="42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9</w:t>
            </w:r>
          </w:p>
        </w:tc>
      </w:tr>
      <w:tr>
        <w:trPr>
          <w:trHeight w:val="134"/>
        </w:trPr>
        <w:tc>
          <w:tcPr>
            <w:tcW w:w="20" w:type="dxa"/>
            <w:vAlign w:val="bottom"/>
            <w:tcBorders>
              <w:bottom w:val="single" w:sz="8" w:color="auto"/>
            </w:tcBorders>
          </w:tcPr>
          <w:p>
            <w:pPr>
              <w:spacing w:after="0"/>
              <w:rPr>
                <w:sz w:val="11"/>
                <w:szCs w:val="11"/>
                <w:color w:val="auto"/>
              </w:rPr>
            </w:pPr>
          </w:p>
        </w:tc>
        <w:tc>
          <w:tcPr>
            <w:tcW w:w="3640" w:type="dxa"/>
            <w:vAlign w:val="bottom"/>
            <w:tcBorders>
              <w:bottom w:val="single" w:sz="8" w:color="auto"/>
            </w:tcBorders>
          </w:tcPr>
          <w:p>
            <w:pPr>
              <w:spacing w:after="0" w:line="134" w:lineRule="exact"/>
              <w:rPr>
                <w:sz w:val="20"/>
                <w:szCs w:val="20"/>
                <w:color w:val="auto"/>
              </w:rPr>
            </w:pPr>
            <w:r>
              <w:rPr>
                <w:rFonts w:ascii="Arial" w:cs="Arial" w:eastAsia="Arial" w:hAnsi="Arial"/>
                <w:sz w:val="13"/>
                <w:szCs w:val="13"/>
                <w:b w:val="1"/>
                <w:bCs w:val="1"/>
                <w:color w:val="auto"/>
              </w:rPr>
              <w:t>Total income tax provision</w:t>
            </w:r>
          </w:p>
        </w:tc>
        <w:tc>
          <w:tcPr>
            <w:tcW w:w="1080" w:type="dxa"/>
            <w:vAlign w:val="bottom"/>
            <w:tcBorders>
              <w:bottom w:val="single" w:sz="8" w:color="auto"/>
            </w:tcBorders>
          </w:tcPr>
          <w:p>
            <w:pPr>
              <w:jc w:val="right"/>
              <w:ind w:right="155"/>
              <w:spacing w:after="0" w:line="134" w:lineRule="exact"/>
              <w:rPr>
                <w:sz w:val="20"/>
                <w:szCs w:val="20"/>
                <w:color w:val="auto"/>
              </w:rPr>
            </w:pPr>
            <w:r>
              <w:rPr>
                <w:rFonts w:ascii="Arial" w:cs="Arial" w:eastAsia="Arial" w:hAnsi="Arial"/>
                <w:sz w:val="13"/>
                <w:szCs w:val="13"/>
                <w:b w:val="1"/>
                <w:bCs w:val="1"/>
                <w:color w:val="auto"/>
              </w:rPr>
              <w:t>$</w:t>
            </w:r>
          </w:p>
        </w:tc>
        <w:tc>
          <w:tcPr>
            <w:tcW w:w="1180" w:type="dxa"/>
            <w:vAlign w:val="bottom"/>
            <w:tcBorders>
              <w:bottom w:val="single" w:sz="8" w:color="auto"/>
            </w:tcBorders>
          </w:tcPr>
          <w:p>
            <w:pPr>
              <w:jc w:val="right"/>
              <w:ind w:right="95"/>
              <w:spacing w:after="0" w:line="134" w:lineRule="exact"/>
              <w:rPr>
                <w:sz w:val="20"/>
                <w:szCs w:val="20"/>
                <w:color w:val="auto"/>
              </w:rPr>
            </w:pPr>
            <w:r>
              <w:rPr>
                <w:rFonts w:ascii="Arial" w:cs="Arial" w:eastAsia="Arial" w:hAnsi="Arial"/>
                <w:sz w:val="13"/>
                <w:szCs w:val="13"/>
                <w:b w:val="1"/>
                <w:bCs w:val="1"/>
                <w:color w:val="auto"/>
              </w:rPr>
              <w:t>171</w:t>
            </w:r>
          </w:p>
        </w:tc>
        <w:tc>
          <w:tcPr>
            <w:tcW w:w="400" w:type="dxa"/>
            <w:vAlign w:val="bottom"/>
            <w:tcBorders>
              <w:bottom w:val="single" w:sz="8" w:color="auto"/>
            </w:tcBorders>
          </w:tcPr>
          <w:p>
            <w:pPr>
              <w:jc w:val="right"/>
              <w:ind w:right="155"/>
              <w:spacing w:after="0" w:line="134" w:lineRule="exact"/>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tcPr>
          <w:p>
            <w:pPr>
              <w:jc w:val="right"/>
              <w:ind w:right="75"/>
              <w:spacing w:after="0" w:line="134" w:lineRule="exact"/>
              <w:rPr>
                <w:sz w:val="20"/>
                <w:szCs w:val="20"/>
                <w:color w:val="auto"/>
              </w:rPr>
            </w:pPr>
            <w:r>
              <w:rPr>
                <w:rFonts w:ascii="Arial" w:cs="Arial" w:eastAsia="Arial" w:hAnsi="Arial"/>
                <w:sz w:val="13"/>
                <w:szCs w:val="13"/>
                <w:color w:val="auto"/>
              </w:rPr>
              <w:t>181</w:t>
            </w:r>
          </w:p>
        </w:tc>
        <w:tc>
          <w:tcPr>
            <w:tcW w:w="420" w:type="dxa"/>
            <w:vAlign w:val="bottom"/>
            <w:tcBorders>
              <w:bottom w:val="single" w:sz="8" w:color="auto"/>
            </w:tcBorders>
          </w:tcPr>
          <w:p>
            <w:pPr>
              <w:jc w:val="right"/>
              <w:ind w:right="155"/>
              <w:spacing w:after="0" w:line="134"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172</w:t>
            </w:r>
          </w:p>
        </w:tc>
      </w:tr>
      <w:tr>
        <w:trPr>
          <w:trHeight w:val="20"/>
        </w:trPr>
        <w:tc>
          <w:tcPr>
            <w:tcW w:w="20" w:type="dxa"/>
            <w:vAlign w:val="bottom"/>
          </w:tcPr>
          <w:p>
            <w:pPr>
              <w:spacing w:after="0" w:line="20" w:lineRule="exact"/>
              <w:rPr>
                <w:sz w:val="1"/>
                <w:szCs w:val="1"/>
                <w:color w:val="auto"/>
              </w:rPr>
            </w:pPr>
          </w:p>
        </w:tc>
        <w:tc>
          <w:tcPr>
            <w:tcW w:w="36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left="20" w:right="39"/>
        <w:spacing w:after="0" w:line="236" w:lineRule="auto"/>
        <w:rPr>
          <w:sz w:val="20"/>
          <w:szCs w:val="20"/>
          <w:color w:val="auto"/>
        </w:rPr>
      </w:pPr>
      <w:r>
        <w:rPr>
          <w:rFonts w:ascii="Arial" w:cs="Arial" w:eastAsia="Arial" w:hAnsi="Arial"/>
          <w:sz w:val="13"/>
          <w:szCs w:val="13"/>
          <w:color w:val="auto"/>
        </w:rPr>
        <w:t>Following the enactment of Public Law 115-97 (“Tax Act”) and the one-time transition tax, our historical foreign earnings are not subject to additional U.S. federal tax upon repatriation. Further, no additional U.S. federal tax will be due upon repatriation of current foreign earnings because they are either exempt or subject to U.S. tax as earned.</w:t>
      </w:r>
    </w:p>
    <w:p>
      <w:pPr>
        <w:spacing w:after="0" w:line="133" w:lineRule="exact"/>
        <w:rPr>
          <w:sz w:val="20"/>
          <w:szCs w:val="20"/>
          <w:color w:val="auto"/>
        </w:rPr>
      </w:pPr>
    </w:p>
    <w:p>
      <w:pPr>
        <w:jc w:val="both"/>
        <w:ind w:left="20" w:right="39"/>
        <w:spacing w:after="0" w:line="235" w:lineRule="auto"/>
        <w:rPr>
          <w:sz w:val="20"/>
          <w:szCs w:val="20"/>
          <w:color w:val="auto"/>
        </w:rPr>
      </w:pPr>
      <w:r>
        <w:rPr>
          <w:rFonts w:ascii="Arial" w:cs="Arial" w:eastAsia="Arial" w:hAnsi="Arial"/>
          <w:sz w:val="13"/>
          <w:szCs w:val="13"/>
          <w:color w:val="auto"/>
        </w:rPr>
        <w:t>At January 30, 2021, we had accumulated undistributed foreign earnings of approximately $631 million. This amount consists of historical earnings that were previously taxed under the Tax Act and post-Tax Act earnings. Investments in our foreign subsidiaries, including working capital, will continue to be permanently reinvested. Cash balances in excess of working capital needs are considered to be available for repatriation to the United States and foreign withholding taxes will be accrued as necessary on these amounts.</w:t>
      </w:r>
    </w:p>
    <w:p>
      <w:pPr>
        <w:spacing w:after="0" w:line="133" w:lineRule="exact"/>
        <w:rPr>
          <w:sz w:val="20"/>
          <w:szCs w:val="20"/>
          <w:color w:val="auto"/>
        </w:rPr>
      </w:pPr>
    </w:p>
    <w:p>
      <w:pPr>
        <w:jc w:val="both"/>
        <w:ind w:left="20" w:right="39"/>
        <w:spacing w:after="0" w:line="236" w:lineRule="auto"/>
        <w:rPr>
          <w:sz w:val="20"/>
          <w:szCs w:val="20"/>
          <w:color w:val="auto"/>
        </w:rPr>
      </w:pPr>
      <w:r>
        <w:rPr>
          <w:rFonts w:ascii="Arial" w:cs="Arial" w:eastAsia="Arial" w:hAnsi="Arial"/>
          <w:sz w:val="13"/>
          <w:szCs w:val="13"/>
          <w:color w:val="auto"/>
        </w:rPr>
        <w:t>We have not recorded a deferred tax liability for the difference between the financial statement carrying amount and the tax basis of our investments in foreign subsidiaries. The determination of any unrecorded deferred tax liability on this amount is not practicable due to the uncertainty of how these investments would be recovered.</w:t>
      </w:r>
    </w:p>
    <w:p>
      <w:pPr>
        <w:spacing w:after="0" w:line="133" w:lineRule="exact"/>
        <w:rPr>
          <w:sz w:val="20"/>
          <w:szCs w:val="20"/>
          <w:color w:val="auto"/>
        </w:rPr>
      </w:pPr>
    </w:p>
    <w:p>
      <w:pPr>
        <w:ind w:left="20"/>
        <w:spacing w:after="0"/>
        <w:rPr>
          <w:sz w:val="20"/>
          <w:szCs w:val="20"/>
          <w:color w:val="auto"/>
        </w:rPr>
      </w:pPr>
      <w:r>
        <w:rPr>
          <w:rFonts w:ascii="Arial" w:cs="Arial" w:eastAsia="Arial" w:hAnsi="Arial"/>
          <w:sz w:val="13"/>
          <w:szCs w:val="13"/>
          <w:color w:val="auto"/>
        </w:rPr>
        <w:t>A reconciliation of the significant differences between the federal statutory income tax rate and the effective income tax rate on pre-tax income is as follows:</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544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2020</w:t>
            </w:r>
          </w:p>
        </w:tc>
        <w:tc>
          <w:tcPr>
            <w:tcW w:w="1440" w:type="dxa"/>
            <w:vAlign w:val="bottom"/>
          </w:tcPr>
          <w:p>
            <w:pPr>
              <w:jc w:val="right"/>
              <w:ind w:right="15"/>
              <w:spacing w:after="0"/>
              <w:rPr>
                <w:sz w:val="20"/>
                <w:szCs w:val="20"/>
                <w:color w:val="auto"/>
              </w:rPr>
            </w:pPr>
            <w:r>
              <w:rPr>
                <w:rFonts w:ascii="Arial" w:cs="Arial" w:eastAsia="Arial" w:hAnsi="Arial"/>
                <w:sz w:val="13"/>
                <w:szCs w:val="13"/>
                <w:color w:val="auto"/>
              </w:rPr>
              <w:t>2019</w:t>
            </w:r>
          </w:p>
        </w:tc>
        <w:tc>
          <w:tcPr>
            <w:tcW w:w="780" w:type="dxa"/>
            <w:vAlign w:val="bottom"/>
          </w:tcPr>
          <w:p>
            <w:pPr>
              <w:spacing w:after="0"/>
              <w:rPr>
                <w:sz w:val="12"/>
                <w:szCs w:val="12"/>
                <w:color w:val="auto"/>
              </w:rPr>
            </w:pPr>
          </w:p>
        </w:tc>
        <w:tc>
          <w:tcPr>
            <w:tcW w:w="1280" w:type="dxa"/>
            <w:vAlign w:val="bottom"/>
          </w:tcPr>
          <w:p>
            <w:pPr>
              <w:jc w:val="right"/>
              <w:ind w:right="635"/>
              <w:spacing w:after="0"/>
              <w:rPr>
                <w:sz w:val="20"/>
                <w:szCs w:val="20"/>
                <w:color w:val="auto"/>
              </w:rPr>
            </w:pPr>
            <w:r>
              <w:rPr>
                <w:rFonts w:ascii="Arial" w:cs="Arial" w:eastAsia="Arial" w:hAnsi="Arial"/>
                <w:sz w:val="13"/>
                <w:szCs w:val="13"/>
                <w:color w:val="auto"/>
              </w:rPr>
              <w:t>2018</w:t>
            </w:r>
          </w:p>
        </w:tc>
      </w:tr>
      <w:tr>
        <w:trPr>
          <w:trHeight w:val="134"/>
        </w:trPr>
        <w:tc>
          <w:tcPr>
            <w:tcW w:w="20" w:type="dxa"/>
            <w:vAlign w:val="bottom"/>
          </w:tcPr>
          <w:p>
            <w:pPr>
              <w:spacing w:after="0"/>
              <w:rPr>
                <w:sz w:val="11"/>
                <w:szCs w:val="11"/>
                <w:color w:val="auto"/>
              </w:rPr>
            </w:pPr>
          </w:p>
        </w:tc>
        <w:tc>
          <w:tcPr>
            <w:tcW w:w="5420" w:type="dxa"/>
            <w:vAlign w:val="bottom"/>
            <w:tcBorders>
              <w:top w:val="single" w:sz="8" w:color="auto"/>
            </w:tcBorders>
            <w:shd w:val="clear" w:color="auto" w:fill="CCEEFF"/>
          </w:tcPr>
          <w:p>
            <w:pPr>
              <w:spacing w:after="0" w:line="134" w:lineRule="exact"/>
              <w:rPr>
                <w:sz w:val="20"/>
                <w:szCs w:val="20"/>
                <w:color w:val="auto"/>
              </w:rPr>
            </w:pPr>
            <w:r>
              <w:rPr>
                <w:rFonts w:ascii="Arial" w:cs="Arial" w:eastAsia="Arial" w:hAnsi="Arial"/>
                <w:sz w:val="13"/>
                <w:szCs w:val="13"/>
                <w:color w:val="auto"/>
              </w:rPr>
              <w:t>Federal statutory income tax rate</w:t>
            </w:r>
          </w:p>
        </w:tc>
        <w:tc>
          <w:tcPr>
            <w:tcW w:w="1440" w:type="dxa"/>
            <w:vAlign w:val="bottom"/>
            <w:tcBorders>
              <w:top w:val="single" w:sz="8" w:color="auto"/>
            </w:tcBorders>
            <w:shd w:val="clear" w:color="auto" w:fill="CCEEFF"/>
          </w:tcPr>
          <w:p>
            <w:pPr>
              <w:jc w:val="right"/>
              <w:ind w:right="875"/>
              <w:spacing w:after="0" w:line="134" w:lineRule="exact"/>
              <w:rPr>
                <w:sz w:val="20"/>
                <w:szCs w:val="20"/>
                <w:color w:val="auto"/>
              </w:rPr>
            </w:pPr>
            <w:r>
              <w:rPr>
                <w:rFonts w:ascii="Arial" w:cs="Arial" w:eastAsia="Arial" w:hAnsi="Arial"/>
                <w:sz w:val="13"/>
                <w:szCs w:val="13"/>
                <w:b w:val="1"/>
                <w:bCs w:val="1"/>
                <w:color w:val="auto"/>
              </w:rPr>
              <w:t>21.0 %</w:t>
            </w:r>
          </w:p>
        </w:tc>
        <w:tc>
          <w:tcPr>
            <w:tcW w:w="780" w:type="dxa"/>
            <w:vAlign w:val="bottom"/>
            <w:tcBorders>
              <w:top w:val="single" w:sz="8" w:color="auto"/>
            </w:tcBorders>
            <w:shd w:val="clear" w:color="auto" w:fill="CCEEFF"/>
          </w:tcPr>
          <w:p>
            <w:pPr>
              <w:jc w:val="right"/>
              <w:ind w:right="235"/>
              <w:spacing w:after="0" w:line="134" w:lineRule="exact"/>
              <w:rPr>
                <w:sz w:val="20"/>
                <w:szCs w:val="20"/>
                <w:color w:val="auto"/>
              </w:rPr>
            </w:pPr>
            <w:r>
              <w:rPr>
                <w:rFonts w:ascii="Arial" w:cs="Arial" w:eastAsia="Arial" w:hAnsi="Arial"/>
                <w:sz w:val="13"/>
                <w:szCs w:val="13"/>
                <w:color w:val="auto"/>
              </w:rPr>
              <w:t>21.0 %</w:t>
            </w:r>
          </w:p>
        </w:tc>
        <w:tc>
          <w:tcPr>
            <w:tcW w:w="1280" w:type="dxa"/>
            <w:vAlign w:val="bottom"/>
            <w:tcBorders>
              <w:top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color w:val="auto"/>
              </w:rPr>
              <w:t>21.0 %</w:t>
            </w:r>
          </w:p>
        </w:tc>
      </w:tr>
      <w:tr>
        <w:trPr>
          <w:trHeight w:val="144"/>
        </w:trPr>
        <w:tc>
          <w:tcPr>
            <w:tcW w:w="20" w:type="dxa"/>
            <w:vAlign w:val="bottom"/>
          </w:tcPr>
          <w:p>
            <w:pPr>
              <w:spacing w:after="0"/>
              <w:rPr>
                <w:sz w:val="12"/>
                <w:szCs w:val="12"/>
                <w:color w:val="auto"/>
              </w:rPr>
            </w:pPr>
          </w:p>
        </w:tc>
        <w:tc>
          <w:tcPr>
            <w:tcW w:w="5420" w:type="dxa"/>
            <w:vAlign w:val="bottom"/>
          </w:tcPr>
          <w:p>
            <w:pPr>
              <w:spacing w:after="0" w:line="144" w:lineRule="exact"/>
              <w:rPr>
                <w:sz w:val="20"/>
                <w:szCs w:val="20"/>
                <w:color w:val="auto"/>
              </w:rPr>
            </w:pPr>
            <w:r>
              <w:rPr>
                <w:rFonts w:ascii="Arial" w:cs="Arial" w:eastAsia="Arial" w:hAnsi="Arial"/>
                <w:sz w:val="13"/>
                <w:szCs w:val="13"/>
                <w:color w:val="auto"/>
              </w:rPr>
              <w:t>Deemed repatriation tax</w:t>
            </w:r>
          </w:p>
        </w:tc>
        <w:tc>
          <w:tcPr>
            <w:tcW w:w="1440" w:type="dxa"/>
            <w:vAlign w:val="bottom"/>
          </w:tcPr>
          <w:p>
            <w:pPr>
              <w:jc w:val="right"/>
              <w:ind w:right="1035"/>
              <w:spacing w:after="0" w:line="144" w:lineRule="exact"/>
              <w:rPr>
                <w:sz w:val="20"/>
                <w:szCs w:val="20"/>
                <w:color w:val="auto"/>
              </w:rPr>
            </w:pPr>
            <w:r>
              <w:rPr>
                <w:rFonts w:ascii="Arial" w:cs="Arial" w:eastAsia="Arial" w:hAnsi="Arial"/>
                <w:sz w:val="13"/>
                <w:szCs w:val="13"/>
                <w:b w:val="1"/>
                <w:bCs w:val="1"/>
                <w:color w:val="auto"/>
              </w:rPr>
              <w:t>—</w:t>
            </w:r>
          </w:p>
        </w:tc>
        <w:tc>
          <w:tcPr>
            <w:tcW w:w="780" w:type="dxa"/>
            <w:vAlign w:val="bottom"/>
          </w:tcPr>
          <w:p>
            <w:pPr>
              <w:jc w:val="right"/>
              <w:ind w:right="375"/>
              <w:spacing w:after="0" w:line="144" w:lineRule="exact"/>
              <w:rPr>
                <w:sz w:val="20"/>
                <w:szCs w:val="20"/>
                <w:color w:val="auto"/>
              </w:rPr>
            </w:pPr>
            <w:r>
              <w:rPr>
                <w:rFonts w:ascii="Arial" w:cs="Arial" w:eastAsia="Arial" w:hAnsi="Arial"/>
                <w:sz w:val="13"/>
                <w:szCs w:val="13"/>
                <w:color w:val="auto"/>
              </w:rPr>
              <w:t>—</w:t>
            </w:r>
          </w:p>
        </w:tc>
        <w:tc>
          <w:tcPr>
            <w:tcW w:w="1280" w:type="dxa"/>
            <w:vAlign w:val="bottom"/>
          </w:tcPr>
          <w:p>
            <w:pPr>
              <w:jc w:val="right"/>
              <w:ind w:right="175"/>
              <w:spacing w:after="0" w:line="144" w:lineRule="exact"/>
              <w:rPr>
                <w:sz w:val="20"/>
                <w:szCs w:val="20"/>
                <w:color w:val="auto"/>
              </w:rPr>
            </w:pPr>
            <w:r>
              <w:rPr>
                <w:rFonts w:ascii="Arial" w:cs="Arial" w:eastAsia="Arial" w:hAnsi="Arial"/>
                <w:sz w:val="13"/>
                <w:szCs w:val="13"/>
                <w:color w:val="auto"/>
              </w:rPr>
              <w:t>(2.7)</w:t>
            </w:r>
          </w:p>
        </w:tc>
      </w:tr>
      <w:tr>
        <w:trPr>
          <w:trHeight w:val="144"/>
        </w:trPr>
        <w:tc>
          <w:tcPr>
            <w:tcW w:w="20" w:type="dxa"/>
            <w:vAlign w:val="bottom"/>
          </w:tcPr>
          <w:p>
            <w:pPr>
              <w:spacing w:after="0"/>
              <w:rPr>
                <w:sz w:val="12"/>
                <w:szCs w:val="12"/>
                <w:color w:val="auto"/>
              </w:rPr>
            </w:pPr>
          </w:p>
        </w:tc>
        <w:tc>
          <w:tcPr>
            <w:tcW w:w="54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Increase in valuation allowance</w:t>
            </w:r>
          </w:p>
        </w:tc>
        <w:tc>
          <w:tcPr>
            <w:tcW w:w="1440" w:type="dxa"/>
            <w:vAlign w:val="bottom"/>
            <w:shd w:val="clear" w:color="auto" w:fill="CCEEFF"/>
          </w:tcPr>
          <w:p>
            <w:pPr>
              <w:jc w:val="right"/>
              <w:ind w:right="1035"/>
              <w:spacing w:after="0" w:line="144" w:lineRule="exact"/>
              <w:rPr>
                <w:sz w:val="20"/>
                <w:szCs w:val="20"/>
                <w:color w:val="auto"/>
              </w:rPr>
            </w:pPr>
            <w:r>
              <w:rPr>
                <w:rFonts w:ascii="Arial" w:cs="Arial" w:eastAsia="Arial" w:hAnsi="Arial"/>
                <w:sz w:val="13"/>
                <w:szCs w:val="13"/>
                <w:b w:val="1"/>
                <w:bCs w:val="1"/>
                <w:color w:val="auto"/>
              </w:rPr>
              <w:t>6.3</w:t>
            </w:r>
          </w:p>
        </w:tc>
        <w:tc>
          <w:tcPr>
            <w:tcW w:w="780" w:type="dxa"/>
            <w:vAlign w:val="bottom"/>
            <w:shd w:val="clear" w:color="auto" w:fill="CCEEFF"/>
          </w:tcPr>
          <w:p>
            <w:pPr>
              <w:jc w:val="right"/>
              <w:ind w:right="375"/>
              <w:spacing w:after="0" w:line="144" w:lineRule="exact"/>
              <w:rPr>
                <w:sz w:val="20"/>
                <w:szCs w:val="20"/>
                <w:color w:val="auto"/>
              </w:rPr>
            </w:pPr>
            <w:r>
              <w:rPr>
                <w:rFonts w:ascii="Arial" w:cs="Arial" w:eastAsia="Arial" w:hAnsi="Arial"/>
                <w:sz w:val="13"/>
                <w:szCs w:val="13"/>
                <w:color w:val="auto"/>
              </w:rPr>
              <w:t>1.0</w:t>
            </w:r>
          </w:p>
        </w:tc>
        <w:tc>
          <w:tcPr>
            <w:tcW w:w="1280" w:type="dxa"/>
            <w:vAlign w:val="bottom"/>
            <w:shd w:val="clear" w:color="auto" w:fill="CCEEFF"/>
          </w:tcPr>
          <w:p>
            <w:pPr>
              <w:jc w:val="right"/>
              <w:ind w:right="235"/>
              <w:spacing w:after="0" w:line="144" w:lineRule="exact"/>
              <w:rPr>
                <w:sz w:val="20"/>
                <w:szCs w:val="20"/>
                <w:color w:val="auto"/>
              </w:rPr>
            </w:pPr>
            <w:r>
              <w:rPr>
                <w:rFonts w:ascii="Arial" w:cs="Arial" w:eastAsia="Arial" w:hAnsi="Arial"/>
                <w:sz w:val="13"/>
                <w:szCs w:val="13"/>
                <w:color w:val="auto"/>
              </w:rPr>
              <w:t>2.4</w:t>
            </w:r>
          </w:p>
        </w:tc>
      </w:tr>
      <w:tr>
        <w:trPr>
          <w:trHeight w:val="144"/>
        </w:trPr>
        <w:tc>
          <w:tcPr>
            <w:tcW w:w="20" w:type="dxa"/>
            <w:vAlign w:val="bottom"/>
          </w:tcPr>
          <w:p>
            <w:pPr>
              <w:spacing w:after="0"/>
              <w:rPr>
                <w:sz w:val="12"/>
                <w:szCs w:val="12"/>
                <w:color w:val="auto"/>
              </w:rPr>
            </w:pPr>
          </w:p>
        </w:tc>
        <w:tc>
          <w:tcPr>
            <w:tcW w:w="5420" w:type="dxa"/>
            <w:vAlign w:val="bottom"/>
          </w:tcPr>
          <w:p>
            <w:pPr>
              <w:spacing w:after="0" w:line="144" w:lineRule="exact"/>
              <w:rPr>
                <w:sz w:val="20"/>
                <w:szCs w:val="20"/>
                <w:color w:val="auto"/>
              </w:rPr>
            </w:pPr>
            <w:r>
              <w:rPr>
                <w:rFonts w:ascii="Arial" w:cs="Arial" w:eastAsia="Arial" w:hAnsi="Arial"/>
                <w:sz w:val="13"/>
                <w:szCs w:val="13"/>
                <w:color w:val="auto"/>
              </w:rPr>
              <w:t>State and local income taxes, net of federal tax benefit</w:t>
            </w:r>
          </w:p>
        </w:tc>
        <w:tc>
          <w:tcPr>
            <w:tcW w:w="1440" w:type="dxa"/>
            <w:vAlign w:val="bottom"/>
          </w:tcPr>
          <w:p>
            <w:pPr>
              <w:jc w:val="right"/>
              <w:ind w:right="1035"/>
              <w:spacing w:after="0" w:line="144" w:lineRule="exact"/>
              <w:rPr>
                <w:sz w:val="20"/>
                <w:szCs w:val="20"/>
                <w:color w:val="auto"/>
              </w:rPr>
            </w:pPr>
            <w:r>
              <w:rPr>
                <w:rFonts w:ascii="Arial" w:cs="Arial" w:eastAsia="Arial" w:hAnsi="Arial"/>
                <w:sz w:val="13"/>
                <w:szCs w:val="13"/>
                <w:b w:val="1"/>
                <w:bCs w:val="1"/>
                <w:color w:val="auto"/>
              </w:rPr>
              <w:t>6.6</w:t>
            </w:r>
          </w:p>
        </w:tc>
        <w:tc>
          <w:tcPr>
            <w:tcW w:w="780" w:type="dxa"/>
            <w:vAlign w:val="bottom"/>
          </w:tcPr>
          <w:p>
            <w:pPr>
              <w:jc w:val="right"/>
              <w:ind w:right="375"/>
              <w:spacing w:after="0" w:line="144" w:lineRule="exact"/>
              <w:rPr>
                <w:sz w:val="20"/>
                <w:szCs w:val="20"/>
                <w:color w:val="auto"/>
              </w:rPr>
            </w:pPr>
            <w:r>
              <w:rPr>
                <w:rFonts w:ascii="Arial" w:cs="Arial" w:eastAsia="Arial" w:hAnsi="Arial"/>
                <w:sz w:val="13"/>
                <w:szCs w:val="13"/>
                <w:color w:val="auto"/>
              </w:rPr>
              <w:t>4.5</w:t>
            </w:r>
          </w:p>
        </w:tc>
        <w:tc>
          <w:tcPr>
            <w:tcW w:w="1280" w:type="dxa"/>
            <w:vAlign w:val="bottom"/>
          </w:tcPr>
          <w:p>
            <w:pPr>
              <w:jc w:val="right"/>
              <w:ind w:right="235"/>
              <w:spacing w:after="0" w:line="144" w:lineRule="exact"/>
              <w:rPr>
                <w:sz w:val="20"/>
                <w:szCs w:val="20"/>
                <w:color w:val="auto"/>
              </w:rPr>
            </w:pPr>
            <w:r>
              <w:rPr>
                <w:rFonts w:ascii="Arial" w:cs="Arial" w:eastAsia="Arial" w:hAnsi="Arial"/>
                <w:sz w:val="13"/>
                <w:szCs w:val="13"/>
                <w:color w:val="auto"/>
              </w:rPr>
              <w:t>4.7</w:t>
            </w:r>
          </w:p>
        </w:tc>
      </w:tr>
      <w:tr>
        <w:trPr>
          <w:trHeight w:val="144"/>
        </w:trPr>
        <w:tc>
          <w:tcPr>
            <w:tcW w:w="20" w:type="dxa"/>
            <w:vAlign w:val="bottom"/>
          </w:tcPr>
          <w:p>
            <w:pPr>
              <w:spacing w:after="0"/>
              <w:rPr>
                <w:sz w:val="12"/>
                <w:szCs w:val="12"/>
                <w:color w:val="auto"/>
              </w:rPr>
            </w:pPr>
          </w:p>
        </w:tc>
        <w:tc>
          <w:tcPr>
            <w:tcW w:w="54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International income taxed at varying rates</w:t>
            </w:r>
          </w:p>
        </w:tc>
        <w:tc>
          <w:tcPr>
            <w:tcW w:w="1440" w:type="dxa"/>
            <w:vAlign w:val="bottom"/>
            <w:shd w:val="clear" w:color="auto" w:fill="CCEEFF"/>
          </w:tcPr>
          <w:p>
            <w:pPr>
              <w:jc w:val="right"/>
              <w:ind w:right="1035"/>
              <w:spacing w:after="0" w:line="144" w:lineRule="exact"/>
              <w:rPr>
                <w:sz w:val="20"/>
                <w:szCs w:val="20"/>
                <w:color w:val="auto"/>
              </w:rPr>
            </w:pPr>
            <w:r>
              <w:rPr>
                <w:rFonts w:ascii="Arial" w:cs="Arial" w:eastAsia="Arial" w:hAnsi="Arial"/>
                <w:sz w:val="13"/>
                <w:szCs w:val="13"/>
                <w:b w:val="1"/>
                <w:bCs w:val="1"/>
                <w:color w:val="auto"/>
              </w:rPr>
              <w:t>4.3</w:t>
            </w:r>
          </w:p>
        </w:tc>
        <w:tc>
          <w:tcPr>
            <w:tcW w:w="780" w:type="dxa"/>
            <w:vAlign w:val="bottom"/>
            <w:shd w:val="clear" w:color="auto" w:fill="CCEEFF"/>
          </w:tcPr>
          <w:p>
            <w:pPr>
              <w:jc w:val="right"/>
              <w:ind w:right="375"/>
              <w:spacing w:after="0" w:line="144" w:lineRule="exact"/>
              <w:rPr>
                <w:sz w:val="20"/>
                <w:szCs w:val="20"/>
                <w:color w:val="auto"/>
              </w:rPr>
            </w:pPr>
            <w:r>
              <w:rPr>
                <w:rFonts w:ascii="Arial" w:cs="Arial" w:eastAsia="Arial" w:hAnsi="Arial"/>
                <w:sz w:val="13"/>
                <w:szCs w:val="13"/>
                <w:color w:val="auto"/>
              </w:rPr>
              <w:t>1.9</w:t>
            </w:r>
          </w:p>
        </w:tc>
        <w:tc>
          <w:tcPr>
            <w:tcW w:w="1280" w:type="dxa"/>
            <w:vAlign w:val="bottom"/>
            <w:shd w:val="clear" w:color="auto" w:fill="CCEEFF"/>
          </w:tcPr>
          <w:p>
            <w:pPr>
              <w:jc w:val="right"/>
              <w:ind w:right="235"/>
              <w:spacing w:after="0" w:line="144" w:lineRule="exact"/>
              <w:rPr>
                <w:sz w:val="20"/>
                <w:szCs w:val="20"/>
                <w:color w:val="auto"/>
              </w:rPr>
            </w:pPr>
            <w:r>
              <w:rPr>
                <w:rFonts w:ascii="Arial" w:cs="Arial" w:eastAsia="Arial" w:hAnsi="Arial"/>
                <w:sz w:val="13"/>
                <w:szCs w:val="13"/>
                <w:color w:val="auto"/>
              </w:rPr>
              <w:t>1.6</w:t>
            </w:r>
          </w:p>
        </w:tc>
      </w:tr>
      <w:tr>
        <w:trPr>
          <w:trHeight w:val="144"/>
        </w:trPr>
        <w:tc>
          <w:tcPr>
            <w:tcW w:w="20" w:type="dxa"/>
            <w:vAlign w:val="bottom"/>
          </w:tcPr>
          <w:p>
            <w:pPr>
              <w:spacing w:after="0"/>
              <w:rPr>
                <w:sz w:val="12"/>
                <w:szCs w:val="12"/>
                <w:color w:val="auto"/>
              </w:rPr>
            </w:pPr>
          </w:p>
        </w:tc>
        <w:tc>
          <w:tcPr>
            <w:tcW w:w="5420" w:type="dxa"/>
            <w:vAlign w:val="bottom"/>
          </w:tcPr>
          <w:p>
            <w:pPr>
              <w:spacing w:after="0" w:line="144" w:lineRule="exact"/>
              <w:rPr>
                <w:sz w:val="20"/>
                <w:szCs w:val="20"/>
                <w:color w:val="auto"/>
              </w:rPr>
            </w:pPr>
            <w:r>
              <w:rPr>
                <w:rFonts w:ascii="Arial" w:cs="Arial" w:eastAsia="Arial" w:hAnsi="Arial"/>
                <w:sz w:val="13"/>
                <w:szCs w:val="13"/>
                <w:color w:val="auto"/>
              </w:rPr>
              <w:t>Foreign tax credits</w:t>
            </w:r>
          </w:p>
        </w:tc>
        <w:tc>
          <w:tcPr>
            <w:tcW w:w="1440" w:type="dxa"/>
            <w:vAlign w:val="bottom"/>
          </w:tcPr>
          <w:p>
            <w:pPr>
              <w:jc w:val="right"/>
              <w:ind w:right="995"/>
              <w:spacing w:after="0" w:line="144" w:lineRule="exact"/>
              <w:rPr>
                <w:sz w:val="20"/>
                <w:szCs w:val="20"/>
                <w:color w:val="auto"/>
              </w:rPr>
            </w:pPr>
            <w:r>
              <w:rPr>
                <w:rFonts w:ascii="Arial" w:cs="Arial" w:eastAsia="Arial" w:hAnsi="Arial"/>
                <w:sz w:val="13"/>
                <w:szCs w:val="13"/>
                <w:b w:val="1"/>
                <w:bCs w:val="1"/>
                <w:color w:val="auto"/>
              </w:rPr>
              <w:t>(2.4)</w:t>
            </w:r>
          </w:p>
        </w:tc>
        <w:tc>
          <w:tcPr>
            <w:tcW w:w="780" w:type="dxa"/>
            <w:vAlign w:val="bottom"/>
          </w:tcPr>
          <w:p>
            <w:pPr>
              <w:jc w:val="right"/>
              <w:ind w:right="335"/>
              <w:spacing w:after="0" w:line="144" w:lineRule="exact"/>
              <w:rPr>
                <w:sz w:val="20"/>
                <w:szCs w:val="20"/>
                <w:color w:val="auto"/>
              </w:rPr>
            </w:pPr>
            <w:r>
              <w:rPr>
                <w:rFonts w:ascii="Arial" w:cs="Arial" w:eastAsia="Arial" w:hAnsi="Arial"/>
                <w:sz w:val="13"/>
                <w:szCs w:val="13"/>
                <w:color w:val="auto"/>
              </w:rPr>
              <w:t>(2.0)</w:t>
            </w:r>
          </w:p>
        </w:tc>
        <w:tc>
          <w:tcPr>
            <w:tcW w:w="1280" w:type="dxa"/>
            <w:vAlign w:val="bottom"/>
          </w:tcPr>
          <w:p>
            <w:pPr>
              <w:jc w:val="right"/>
              <w:ind w:right="175"/>
              <w:spacing w:after="0" w:line="144" w:lineRule="exact"/>
              <w:rPr>
                <w:sz w:val="20"/>
                <w:szCs w:val="20"/>
                <w:color w:val="auto"/>
              </w:rPr>
            </w:pPr>
            <w:r>
              <w:rPr>
                <w:rFonts w:ascii="Arial" w:cs="Arial" w:eastAsia="Arial" w:hAnsi="Arial"/>
                <w:sz w:val="13"/>
                <w:szCs w:val="13"/>
                <w:color w:val="auto"/>
              </w:rPr>
              <w:t>(2.1)</w:t>
            </w:r>
          </w:p>
        </w:tc>
      </w:tr>
      <w:tr>
        <w:trPr>
          <w:trHeight w:val="144"/>
        </w:trPr>
        <w:tc>
          <w:tcPr>
            <w:tcW w:w="20" w:type="dxa"/>
            <w:vAlign w:val="bottom"/>
          </w:tcPr>
          <w:p>
            <w:pPr>
              <w:spacing w:after="0"/>
              <w:rPr>
                <w:sz w:val="12"/>
                <w:szCs w:val="12"/>
                <w:color w:val="auto"/>
              </w:rPr>
            </w:pPr>
          </w:p>
        </w:tc>
        <w:tc>
          <w:tcPr>
            <w:tcW w:w="54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Domestic/foreign tax settlements</w:t>
            </w:r>
          </w:p>
        </w:tc>
        <w:tc>
          <w:tcPr>
            <w:tcW w:w="1440" w:type="dxa"/>
            <w:vAlign w:val="bottom"/>
            <w:shd w:val="clear" w:color="auto" w:fill="CCEEFF"/>
          </w:tcPr>
          <w:p>
            <w:pPr>
              <w:jc w:val="right"/>
              <w:ind w:right="995"/>
              <w:spacing w:after="0" w:line="144" w:lineRule="exact"/>
              <w:rPr>
                <w:sz w:val="20"/>
                <w:szCs w:val="20"/>
                <w:color w:val="auto"/>
              </w:rPr>
            </w:pPr>
            <w:r>
              <w:rPr>
                <w:rFonts w:ascii="Arial" w:cs="Arial" w:eastAsia="Arial" w:hAnsi="Arial"/>
                <w:sz w:val="13"/>
                <w:szCs w:val="13"/>
                <w:b w:val="1"/>
                <w:bCs w:val="1"/>
                <w:color w:val="auto"/>
              </w:rPr>
              <w:t>(0.5)</w:t>
            </w:r>
          </w:p>
        </w:tc>
        <w:tc>
          <w:tcPr>
            <w:tcW w:w="780" w:type="dxa"/>
            <w:vAlign w:val="bottom"/>
            <w:shd w:val="clear" w:color="auto" w:fill="CCEEFF"/>
          </w:tcPr>
          <w:p>
            <w:pPr>
              <w:jc w:val="right"/>
              <w:ind w:right="375"/>
              <w:spacing w:after="0" w:line="144" w:lineRule="exact"/>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ind w:right="175"/>
              <w:spacing w:after="0" w:line="144" w:lineRule="exact"/>
              <w:rPr>
                <w:sz w:val="20"/>
                <w:szCs w:val="20"/>
                <w:color w:val="auto"/>
              </w:rPr>
            </w:pPr>
            <w:r>
              <w:rPr>
                <w:rFonts w:ascii="Arial" w:cs="Arial" w:eastAsia="Arial" w:hAnsi="Arial"/>
                <w:sz w:val="13"/>
                <w:szCs w:val="13"/>
                <w:color w:val="auto"/>
              </w:rPr>
              <w:t>(0.7)</w:t>
            </w:r>
          </w:p>
        </w:tc>
      </w:tr>
      <w:tr>
        <w:trPr>
          <w:trHeight w:val="144"/>
        </w:trPr>
        <w:tc>
          <w:tcPr>
            <w:tcW w:w="20" w:type="dxa"/>
            <w:vAlign w:val="bottom"/>
          </w:tcPr>
          <w:p>
            <w:pPr>
              <w:spacing w:after="0"/>
              <w:rPr>
                <w:sz w:val="12"/>
                <w:szCs w:val="12"/>
                <w:color w:val="auto"/>
              </w:rPr>
            </w:pPr>
          </w:p>
        </w:tc>
        <w:tc>
          <w:tcPr>
            <w:tcW w:w="5420" w:type="dxa"/>
            <w:vAlign w:val="bottom"/>
          </w:tcPr>
          <w:p>
            <w:pPr>
              <w:spacing w:after="0" w:line="144" w:lineRule="exact"/>
              <w:rPr>
                <w:sz w:val="20"/>
                <w:szCs w:val="20"/>
                <w:color w:val="auto"/>
              </w:rPr>
            </w:pPr>
            <w:r>
              <w:rPr>
                <w:rFonts w:ascii="Arial" w:cs="Arial" w:eastAsia="Arial" w:hAnsi="Arial"/>
                <w:sz w:val="13"/>
                <w:szCs w:val="13"/>
                <w:color w:val="auto"/>
              </w:rPr>
              <w:t>Federal tax credits</w:t>
            </w:r>
          </w:p>
        </w:tc>
        <w:tc>
          <w:tcPr>
            <w:tcW w:w="1440" w:type="dxa"/>
            <w:vAlign w:val="bottom"/>
          </w:tcPr>
          <w:p>
            <w:pPr>
              <w:jc w:val="right"/>
              <w:ind w:right="995"/>
              <w:spacing w:after="0" w:line="144" w:lineRule="exact"/>
              <w:rPr>
                <w:sz w:val="20"/>
                <w:szCs w:val="20"/>
                <w:color w:val="auto"/>
              </w:rPr>
            </w:pPr>
            <w:r>
              <w:rPr>
                <w:rFonts w:ascii="Arial" w:cs="Arial" w:eastAsia="Arial" w:hAnsi="Arial"/>
                <w:sz w:val="13"/>
                <w:szCs w:val="13"/>
                <w:b w:val="1"/>
                <w:bCs w:val="1"/>
                <w:color w:val="auto"/>
              </w:rPr>
              <w:t>(0.4)</w:t>
            </w:r>
          </w:p>
        </w:tc>
        <w:tc>
          <w:tcPr>
            <w:tcW w:w="780" w:type="dxa"/>
            <w:vAlign w:val="bottom"/>
          </w:tcPr>
          <w:p>
            <w:pPr>
              <w:jc w:val="right"/>
              <w:ind w:right="335"/>
              <w:spacing w:after="0" w:line="144" w:lineRule="exact"/>
              <w:rPr>
                <w:sz w:val="20"/>
                <w:szCs w:val="20"/>
                <w:color w:val="auto"/>
              </w:rPr>
            </w:pPr>
            <w:r>
              <w:rPr>
                <w:rFonts w:ascii="Arial" w:cs="Arial" w:eastAsia="Arial" w:hAnsi="Arial"/>
                <w:sz w:val="13"/>
                <w:szCs w:val="13"/>
                <w:color w:val="auto"/>
              </w:rPr>
              <w:t>(0.2)</w:t>
            </w:r>
          </w:p>
        </w:tc>
        <w:tc>
          <w:tcPr>
            <w:tcW w:w="1280" w:type="dxa"/>
            <w:vAlign w:val="bottom"/>
          </w:tcPr>
          <w:p>
            <w:pPr>
              <w:jc w:val="right"/>
              <w:ind w:right="175"/>
              <w:spacing w:after="0" w:line="144" w:lineRule="exact"/>
              <w:rPr>
                <w:sz w:val="20"/>
                <w:szCs w:val="20"/>
                <w:color w:val="auto"/>
              </w:rPr>
            </w:pPr>
            <w:r>
              <w:rPr>
                <w:rFonts w:ascii="Arial" w:cs="Arial" w:eastAsia="Arial" w:hAnsi="Arial"/>
                <w:sz w:val="13"/>
                <w:szCs w:val="13"/>
                <w:color w:val="auto"/>
              </w:rPr>
              <w:t>(0.2)</w:t>
            </w:r>
          </w:p>
        </w:tc>
      </w:tr>
      <w:tr>
        <w:trPr>
          <w:trHeight w:val="144"/>
        </w:trPr>
        <w:tc>
          <w:tcPr>
            <w:tcW w:w="20" w:type="dxa"/>
            <w:vAlign w:val="bottom"/>
          </w:tcPr>
          <w:p>
            <w:pPr>
              <w:spacing w:after="0"/>
              <w:rPr>
                <w:sz w:val="12"/>
                <w:szCs w:val="12"/>
                <w:color w:val="auto"/>
              </w:rPr>
            </w:pPr>
          </w:p>
        </w:tc>
        <w:tc>
          <w:tcPr>
            <w:tcW w:w="5420" w:type="dxa"/>
            <w:vAlign w:val="bottom"/>
            <w:tcBorders>
              <w:bottom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rPr>
              <w:t>Other, net</w:t>
            </w:r>
          </w:p>
        </w:tc>
        <w:tc>
          <w:tcPr>
            <w:tcW w:w="1440" w:type="dxa"/>
            <w:vAlign w:val="bottom"/>
            <w:tcBorders>
              <w:bottom w:val="single" w:sz="8" w:color="auto"/>
            </w:tcBorders>
            <w:shd w:val="clear" w:color="auto" w:fill="CCEEFF"/>
          </w:tcPr>
          <w:p>
            <w:pPr>
              <w:jc w:val="right"/>
              <w:ind w:right="995"/>
              <w:spacing w:after="0" w:line="144" w:lineRule="exact"/>
              <w:rPr>
                <w:sz w:val="20"/>
                <w:szCs w:val="20"/>
                <w:color w:val="auto"/>
              </w:rPr>
            </w:pPr>
            <w:r>
              <w:rPr>
                <w:rFonts w:ascii="Arial" w:cs="Arial" w:eastAsia="Arial" w:hAnsi="Arial"/>
                <w:sz w:val="13"/>
                <w:szCs w:val="13"/>
                <w:b w:val="1"/>
                <w:bCs w:val="1"/>
                <w:color w:val="auto"/>
              </w:rPr>
              <w:t>(0.4)</w:t>
            </w:r>
          </w:p>
        </w:tc>
        <w:tc>
          <w:tcPr>
            <w:tcW w:w="780" w:type="dxa"/>
            <w:vAlign w:val="bottom"/>
            <w:tcBorders>
              <w:bottom w:val="single" w:sz="8" w:color="auto"/>
            </w:tcBorders>
            <w:shd w:val="clear" w:color="auto" w:fill="CCEEFF"/>
          </w:tcPr>
          <w:p>
            <w:pPr>
              <w:jc w:val="right"/>
              <w:ind w:right="375"/>
              <w:spacing w:after="0" w:line="144" w:lineRule="exact"/>
              <w:rPr>
                <w:sz w:val="20"/>
                <w:szCs w:val="20"/>
                <w:color w:val="auto"/>
              </w:rPr>
            </w:pPr>
            <w:r>
              <w:rPr>
                <w:rFonts w:ascii="Arial" w:cs="Arial" w:eastAsia="Arial" w:hAnsi="Arial"/>
                <w:sz w:val="13"/>
                <w:szCs w:val="13"/>
                <w:color w:val="auto"/>
              </w:rPr>
              <w:t>0.8</w:t>
            </w:r>
          </w:p>
        </w:tc>
        <w:tc>
          <w:tcPr>
            <w:tcW w:w="1280" w:type="dxa"/>
            <w:vAlign w:val="bottom"/>
            <w:tcBorders>
              <w:bottom w:val="single" w:sz="8" w:color="auto"/>
            </w:tcBorders>
            <w:shd w:val="clear" w:color="auto" w:fill="CCEEFF"/>
          </w:tcPr>
          <w:p>
            <w:pPr>
              <w:jc w:val="right"/>
              <w:ind w:right="235"/>
              <w:spacing w:after="0" w:line="144" w:lineRule="exact"/>
              <w:rPr>
                <w:sz w:val="20"/>
                <w:szCs w:val="20"/>
                <w:color w:val="auto"/>
              </w:rPr>
            </w:pPr>
            <w:r>
              <w:rPr>
                <w:rFonts w:ascii="Arial" w:cs="Arial" w:eastAsia="Arial" w:hAnsi="Arial"/>
                <w:sz w:val="13"/>
                <w:szCs w:val="13"/>
                <w:color w:val="auto"/>
              </w:rPr>
              <w:t>0.1</w:t>
            </w:r>
          </w:p>
        </w:tc>
      </w:tr>
      <w:tr>
        <w:trPr>
          <w:trHeight w:val="134"/>
        </w:trPr>
        <w:tc>
          <w:tcPr>
            <w:tcW w:w="20" w:type="dxa"/>
            <w:vAlign w:val="bottom"/>
            <w:tcBorders>
              <w:bottom w:val="single" w:sz="8" w:color="auto"/>
            </w:tcBorders>
          </w:tcPr>
          <w:p>
            <w:pPr>
              <w:spacing w:after="0"/>
              <w:rPr>
                <w:sz w:val="11"/>
                <w:szCs w:val="11"/>
                <w:color w:val="auto"/>
              </w:rPr>
            </w:pPr>
          </w:p>
        </w:tc>
        <w:tc>
          <w:tcPr>
            <w:tcW w:w="5420" w:type="dxa"/>
            <w:vAlign w:val="bottom"/>
            <w:tcBorders>
              <w:bottom w:val="single" w:sz="8" w:color="auto"/>
            </w:tcBorders>
          </w:tcPr>
          <w:p>
            <w:pPr>
              <w:spacing w:after="0" w:line="134" w:lineRule="exact"/>
              <w:rPr>
                <w:sz w:val="20"/>
                <w:szCs w:val="20"/>
                <w:color w:val="auto"/>
              </w:rPr>
            </w:pPr>
            <w:r>
              <w:rPr>
                <w:rFonts w:ascii="Arial" w:cs="Arial" w:eastAsia="Arial" w:hAnsi="Arial"/>
                <w:sz w:val="13"/>
                <w:szCs w:val="13"/>
                <w:color w:val="auto"/>
              </w:rPr>
              <w:t>Effective income tax rate</w:t>
            </w:r>
          </w:p>
        </w:tc>
        <w:tc>
          <w:tcPr>
            <w:tcW w:w="1440" w:type="dxa"/>
            <w:vAlign w:val="bottom"/>
            <w:tcBorders>
              <w:bottom w:val="single" w:sz="8" w:color="auto"/>
            </w:tcBorders>
          </w:tcPr>
          <w:p>
            <w:pPr>
              <w:jc w:val="right"/>
              <w:ind w:right="875"/>
              <w:spacing w:after="0" w:line="134" w:lineRule="exact"/>
              <w:rPr>
                <w:sz w:val="20"/>
                <w:szCs w:val="20"/>
                <w:color w:val="auto"/>
              </w:rPr>
            </w:pPr>
            <w:r>
              <w:rPr>
                <w:rFonts w:ascii="Arial" w:cs="Arial" w:eastAsia="Arial" w:hAnsi="Arial"/>
                <w:sz w:val="13"/>
                <w:szCs w:val="13"/>
                <w:b w:val="1"/>
                <w:bCs w:val="1"/>
                <w:color w:val="auto"/>
              </w:rPr>
              <w:t>34.5 %</w:t>
            </w:r>
          </w:p>
        </w:tc>
        <w:tc>
          <w:tcPr>
            <w:tcW w:w="780" w:type="dxa"/>
            <w:vAlign w:val="bottom"/>
            <w:tcBorders>
              <w:bottom w:val="single" w:sz="8" w:color="auto"/>
            </w:tcBorders>
          </w:tcPr>
          <w:p>
            <w:pPr>
              <w:jc w:val="right"/>
              <w:ind w:right="235"/>
              <w:spacing w:after="0" w:line="134" w:lineRule="exact"/>
              <w:rPr>
                <w:sz w:val="20"/>
                <w:szCs w:val="20"/>
                <w:color w:val="auto"/>
              </w:rPr>
            </w:pPr>
            <w:r>
              <w:rPr>
                <w:rFonts w:ascii="Arial" w:cs="Arial" w:eastAsia="Arial" w:hAnsi="Arial"/>
                <w:sz w:val="13"/>
                <w:szCs w:val="13"/>
                <w:color w:val="auto"/>
              </w:rPr>
              <w:t>27.0 %</w:t>
            </w:r>
          </w:p>
        </w:tc>
        <w:tc>
          <w:tcPr>
            <w:tcW w:w="1280" w:type="dxa"/>
            <w:vAlign w:val="bottom"/>
            <w:tcBorders>
              <w:bottom w:val="single" w:sz="8" w:color="auto"/>
            </w:tcBorders>
          </w:tcPr>
          <w:p>
            <w:pPr>
              <w:jc w:val="right"/>
              <w:ind w:right="75"/>
              <w:spacing w:after="0" w:line="134" w:lineRule="exact"/>
              <w:rPr>
                <w:sz w:val="20"/>
                <w:szCs w:val="20"/>
                <w:color w:val="auto"/>
              </w:rPr>
            </w:pPr>
            <w:r>
              <w:rPr>
                <w:rFonts w:ascii="Arial" w:cs="Arial" w:eastAsia="Arial" w:hAnsi="Arial"/>
                <w:sz w:val="13"/>
                <w:szCs w:val="13"/>
                <w:color w:val="auto"/>
              </w:rPr>
              <w:t>24.1 %</w:t>
            </w:r>
          </w:p>
        </w:tc>
      </w:tr>
      <w:tr>
        <w:trPr>
          <w:trHeight w:val="20"/>
        </w:trPr>
        <w:tc>
          <w:tcPr>
            <w:tcW w:w="20" w:type="dxa"/>
            <w:vAlign w:val="bottom"/>
          </w:tcPr>
          <w:p>
            <w:pPr>
              <w:spacing w:after="0" w:line="20" w:lineRule="exact"/>
              <w:rPr>
                <w:sz w:val="1"/>
                <w:szCs w:val="1"/>
                <w:color w:val="auto"/>
              </w:rPr>
            </w:pPr>
          </w:p>
        </w:tc>
        <w:tc>
          <w:tcPr>
            <w:tcW w:w="5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6" w:lineRule="exact"/>
        <w:rPr>
          <w:sz w:val="20"/>
          <w:szCs w:val="20"/>
          <w:color w:val="auto"/>
        </w:rPr>
      </w:pPr>
    </w:p>
    <w:p>
      <w:pPr>
        <w:ind w:left="7520"/>
        <w:spacing w:after="0"/>
        <w:rPr>
          <w:sz w:val="20"/>
          <w:szCs w:val="20"/>
          <w:color w:val="auto"/>
        </w:rPr>
      </w:pPr>
      <w:r>
        <w:rPr>
          <w:rFonts w:ascii="Arial" w:cs="Arial" w:eastAsia="Arial" w:hAnsi="Arial"/>
          <w:sz w:val="12"/>
          <w:szCs w:val="12"/>
          <w:color w:val="auto"/>
        </w:rPr>
        <w:t>2020 Form 10-K Page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365125</wp:posOffset>
            </wp:positionV>
            <wp:extent cx="5680075" cy="196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80075" cy="19685"/>
                    </a:xfrm>
                    <a:prstGeom prst="rect">
                      <a:avLst/>
                    </a:prstGeom>
                    <a:noFill/>
                  </pic:spPr>
                </pic:pic>
              </a:graphicData>
            </a:graphic>
          </wp:anchor>
        </w:drawing>
      </w:r>
    </w:p>
    <w:p>
      <w:pPr>
        <w:sectPr>
          <w:pgSz w:w="11900" w:h="16838" w:orient="portrait"/>
          <w:cols w:equalWidth="0" w:num="1">
            <w:col w:w="9019"/>
          </w:cols>
          <w:pgMar w:left="1440" w:top="995" w:right="1440" w:bottom="1440" w:gutter="0" w:footer="0" w:header="0"/>
        </w:sectPr>
      </w:pPr>
    </w:p>
    <w:bookmarkStart w:id="61" w:name="page62"/>
    <w:bookmarkEnd w:id="61"/>
    <w:p>
      <w:pPr>
        <w:jc w:val="center"/>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2992755</wp:posOffset>
            </wp:positionH>
            <wp:positionV relativeFrom="page">
              <wp:posOffset>375285</wp:posOffset>
            </wp:positionV>
            <wp:extent cx="1563370" cy="169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1563370" cy="169545"/>
                    </a:xfrm>
                    <a:prstGeom prst="rect">
                      <a:avLst/>
                    </a:prstGeom>
                    <a:noFill/>
                  </pic:spPr>
                </pic:pic>
              </a:graphicData>
            </a:graphic>
          </wp:anchor>
        </w:drawing>
        <w:t>NOTES TO CONSOLIDATED FINANCIAL STATEMENTS</w:t>
      </w:r>
    </w:p>
    <w:p>
      <w:pPr>
        <w:spacing w:after="0" w:line="200" w:lineRule="exact"/>
        <w:rPr>
          <w:sz w:val="20"/>
          <w:szCs w:val="20"/>
          <w:color w:val="auto"/>
        </w:rPr>
      </w:pPr>
    </w:p>
    <w:p>
      <w:pPr>
        <w:spacing w:after="0" w:line="360" w:lineRule="exact"/>
        <w:rPr>
          <w:sz w:val="20"/>
          <w:szCs w:val="20"/>
          <w:color w:val="auto"/>
        </w:rPr>
      </w:pPr>
    </w:p>
    <w:p>
      <w:pPr>
        <w:jc w:val="right"/>
        <w:ind w:right="39"/>
        <w:spacing w:after="0"/>
        <w:rPr>
          <w:sz w:val="20"/>
          <w:szCs w:val="20"/>
          <w:color w:val="auto"/>
        </w:rPr>
      </w:pPr>
      <w:r>
        <w:rPr>
          <w:rFonts w:ascii="Arial" w:cs="Arial" w:eastAsia="Arial" w:hAnsi="Arial"/>
          <w:sz w:val="13"/>
          <w:szCs w:val="13"/>
          <w:color w:val="auto"/>
        </w:rPr>
        <w:t>2020 Form 10-K Page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357505</wp:posOffset>
            </wp:positionV>
            <wp:extent cx="5680075" cy="196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80075" cy="19685"/>
                    </a:xfrm>
                    <a:prstGeom prst="rect">
                      <a:avLst/>
                    </a:prstGeom>
                    <a:noFill/>
                  </pic:spPr>
                </pic:pic>
              </a:graphicData>
            </a:graphic>
          </wp:anchor>
        </w:drawing>
      </w:r>
    </w:p>
    <w:p>
      <w:pPr>
        <w:sectPr>
          <w:pgSz w:w="11900" w:h="16838" w:orient="portrait"/>
          <w:cols w:equalWidth="0" w:num="1">
            <w:col w:w="9019"/>
          </w:cols>
          <w:pgMar w:left="1440" w:top="995" w:right="1440" w:bottom="1440" w:gutter="0" w:footer="0" w:header="0"/>
        </w:sectPr>
      </w:pPr>
    </w:p>
    <w:bookmarkStart w:id="62" w:name="page63"/>
    <w:bookmarkEnd w:id="62"/>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2992755</wp:posOffset>
            </wp:positionH>
            <wp:positionV relativeFrom="page">
              <wp:posOffset>375285</wp:posOffset>
            </wp:positionV>
            <wp:extent cx="1563370" cy="169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1563370" cy="169545"/>
                    </a:xfrm>
                    <a:prstGeom prst="rect">
                      <a:avLst/>
                    </a:prstGeom>
                    <a:noFill/>
                  </pic:spPr>
                </pic:pic>
              </a:graphicData>
            </a:graphic>
          </wp:anchor>
        </w:drawing>
        <w:t>NOTES TO CONSOLIDATED FINANCIAL STATEMENTS</w:t>
      </w:r>
    </w:p>
    <w:p>
      <w:pPr>
        <w:spacing w:after="0" w:line="159" w:lineRule="exact"/>
        <w:rPr>
          <w:sz w:val="20"/>
          <w:szCs w:val="20"/>
          <w:color w:val="auto"/>
        </w:rPr>
      </w:pPr>
    </w:p>
    <w:p>
      <w:pPr>
        <w:jc w:val="both"/>
        <w:ind w:left="20" w:right="39"/>
        <w:spacing w:after="0" w:line="236" w:lineRule="auto"/>
        <w:rPr>
          <w:sz w:val="20"/>
          <w:szCs w:val="20"/>
          <w:color w:val="auto"/>
        </w:rPr>
      </w:pPr>
      <w:r>
        <w:rPr>
          <w:rFonts w:ascii="Arial" w:cs="Arial" w:eastAsia="Arial" w:hAnsi="Arial"/>
          <w:sz w:val="13"/>
          <w:szCs w:val="13"/>
          <w:color w:val="auto"/>
        </w:rPr>
        <w:t>Deferred income taxes are provided for the effects of temporary differences between the amounts of assets and liabilities recognized for financial reporting purposes and the amounts recognized for income tax purposes. Items that give rise to significant portions of our deferred tax assets and liabilities are as follows:</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44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 in millions)</w:t>
            </w:r>
          </w:p>
        </w:tc>
        <w:tc>
          <w:tcPr>
            <w:tcW w:w="20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15"/>
              <w:spacing w:after="0"/>
              <w:rPr>
                <w:sz w:val="20"/>
                <w:szCs w:val="20"/>
                <w:color w:val="auto"/>
              </w:rPr>
            </w:pPr>
            <w:r>
              <w:rPr>
                <w:rFonts w:ascii="Arial" w:cs="Arial" w:eastAsia="Arial" w:hAnsi="Arial"/>
                <w:sz w:val="13"/>
                <w:szCs w:val="13"/>
                <w:b w:val="1"/>
                <w:bCs w:val="1"/>
                <w:color w:val="auto"/>
              </w:rPr>
              <w:t>2020</w:t>
            </w:r>
          </w:p>
        </w:tc>
        <w:tc>
          <w:tcPr>
            <w:tcW w:w="4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3"/>
                <w:szCs w:val="13"/>
                <w:color w:val="auto"/>
              </w:rPr>
              <w:t>2019</w:t>
            </w:r>
          </w:p>
        </w:tc>
      </w:tr>
      <w:tr>
        <w:trPr>
          <w:trHeight w:val="134"/>
        </w:trPr>
        <w:tc>
          <w:tcPr>
            <w:tcW w:w="4440" w:type="dxa"/>
            <w:vAlign w:val="bottom"/>
          </w:tcPr>
          <w:p>
            <w:pPr>
              <w:ind w:left="20"/>
              <w:spacing w:after="0" w:line="134" w:lineRule="exact"/>
              <w:rPr>
                <w:sz w:val="20"/>
                <w:szCs w:val="20"/>
                <w:color w:val="auto"/>
              </w:rPr>
            </w:pPr>
            <w:r>
              <w:rPr>
                <w:rFonts w:ascii="Arial" w:cs="Arial" w:eastAsia="Arial" w:hAnsi="Arial"/>
                <w:sz w:val="13"/>
                <w:szCs w:val="13"/>
                <w:b w:val="1"/>
                <w:bCs w:val="1"/>
                <w:color w:val="auto"/>
              </w:rPr>
              <w:t>Deferred tax assets:</w:t>
            </w:r>
          </w:p>
        </w:tc>
        <w:tc>
          <w:tcPr>
            <w:tcW w:w="2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44"/>
        </w:trPr>
        <w:tc>
          <w:tcPr>
            <w:tcW w:w="4440" w:type="dxa"/>
            <w:vAlign w:val="bottom"/>
            <w:shd w:val="clear" w:color="auto" w:fill="CCEEFF"/>
          </w:tcPr>
          <w:p>
            <w:pPr>
              <w:ind w:left="80"/>
              <w:spacing w:after="0" w:line="144" w:lineRule="exact"/>
              <w:rPr>
                <w:sz w:val="20"/>
                <w:szCs w:val="20"/>
                <w:color w:val="auto"/>
              </w:rPr>
            </w:pPr>
            <w:r>
              <w:rPr>
                <w:rFonts w:ascii="Arial" w:cs="Arial" w:eastAsia="Arial" w:hAnsi="Arial"/>
                <w:sz w:val="13"/>
                <w:szCs w:val="13"/>
                <w:color w:val="auto"/>
              </w:rPr>
              <w:t>Tax loss/credit carryforwards and capital loss</w:t>
            </w:r>
          </w:p>
        </w:tc>
        <w:tc>
          <w:tcPr>
            <w:tcW w:w="2060" w:type="dxa"/>
            <w:vAlign w:val="bottom"/>
            <w:shd w:val="clear" w:color="auto" w:fill="CCEEFF"/>
          </w:tcPr>
          <w:p>
            <w:pPr>
              <w:jc w:val="right"/>
              <w:ind w:right="135"/>
              <w:spacing w:after="0" w:line="144" w:lineRule="exact"/>
              <w:rPr>
                <w:sz w:val="20"/>
                <w:szCs w:val="20"/>
                <w:color w:val="auto"/>
              </w:rPr>
            </w:pPr>
            <w:r>
              <w:rPr>
                <w:rFonts w:ascii="Arial" w:cs="Arial" w:eastAsia="Arial" w:hAnsi="Arial"/>
                <w:sz w:val="13"/>
                <w:szCs w:val="13"/>
                <w:b w:val="1"/>
                <w:bCs w:val="1"/>
                <w:color w:val="auto"/>
              </w:rPr>
              <w:t>$</w:t>
            </w:r>
          </w:p>
        </w:tc>
        <w:tc>
          <w:tcPr>
            <w:tcW w:w="106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b w:val="1"/>
                <w:bCs w:val="1"/>
                <w:color w:val="auto"/>
              </w:rPr>
              <w:t>120</w:t>
            </w:r>
          </w:p>
        </w:tc>
        <w:tc>
          <w:tcPr>
            <w:tcW w:w="400" w:type="dxa"/>
            <w:vAlign w:val="bottom"/>
            <w:shd w:val="clear" w:color="auto" w:fill="CCEEFF"/>
          </w:tcPr>
          <w:p>
            <w:pPr>
              <w:jc w:val="right"/>
              <w:ind w:right="155"/>
              <w:spacing w:after="0" w:line="144"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54</w:t>
            </w:r>
          </w:p>
        </w:tc>
      </w:tr>
      <w:tr>
        <w:trPr>
          <w:trHeight w:val="144"/>
        </w:trPr>
        <w:tc>
          <w:tcPr>
            <w:tcW w:w="4440" w:type="dxa"/>
            <w:vAlign w:val="bottom"/>
          </w:tcPr>
          <w:p>
            <w:pPr>
              <w:ind w:left="80"/>
              <w:spacing w:after="0" w:line="144" w:lineRule="exact"/>
              <w:rPr>
                <w:sz w:val="20"/>
                <w:szCs w:val="20"/>
                <w:color w:val="auto"/>
              </w:rPr>
            </w:pPr>
            <w:r>
              <w:rPr>
                <w:rFonts w:ascii="Arial" w:cs="Arial" w:eastAsia="Arial" w:hAnsi="Arial"/>
                <w:sz w:val="13"/>
                <w:szCs w:val="13"/>
                <w:color w:val="auto"/>
              </w:rPr>
              <w:t>Employee benefits</w:t>
            </w:r>
          </w:p>
        </w:tc>
        <w:tc>
          <w:tcPr>
            <w:tcW w:w="2060" w:type="dxa"/>
            <w:vAlign w:val="bottom"/>
          </w:tcPr>
          <w:p>
            <w:pPr>
              <w:spacing w:after="0"/>
              <w:rPr>
                <w:sz w:val="12"/>
                <w:szCs w:val="12"/>
                <w:color w:val="auto"/>
              </w:rPr>
            </w:pPr>
          </w:p>
        </w:tc>
        <w:tc>
          <w:tcPr>
            <w:tcW w:w="1060" w:type="dxa"/>
            <w:vAlign w:val="bottom"/>
          </w:tcPr>
          <w:p>
            <w:pPr>
              <w:jc w:val="right"/>
              <w:ind w:right="75"/>
              <w:spacing w:after="0" w:line="144" w:lineRule="exact"/>
              <w:rPr>
                <w:sz w:val="20"/>
                <w:szCs w:val="20"/>
                <w:color w:val="auto"/>
              </w:rPr>
            </w:pPr>
            <w:r>
              <w:rPr>
                <w:rFonts w:ascii="Arial" w:cs="Arial" w:eastAsia="Arial" w:hAnsi="Arial"/>
                <w:sz w:val="13"/>
                <w:szCs w:val="13"/>
                <w:b w:val="1"/>
                <w:bCs w:val="1"/>
                <w:color w:val="auto"/>
              </w:rPr>
              <w:t>52</w:t>
            </w:r>
          </w:p>
        </w:tc>
        <w:tc>
          <w:tcPr>
            <w:tcW w:w="400" w:type="dxa"/>
            <w:vAlign w:val="bottom"/>
          </w:tcPr>
          <w:p>
            <w:pPr>
              <w:spacing w:after="0"/>
              <w:rPr>
                <w:sz w:val="12"/>
                <w:szCs w:val="12"/>
                <w:color w:val="auto"/>
              </w:rPr>
            </w:pPr>
          </w:p>
        </w:tc>
        <w:tc>
          <w:tcPr>
            <w:tcW w:w="980" w:type="dxa"/>
            <w:vAlign w:val="bottom"/>
          </w:tcPr>
          <w:p>
            <w:pPr>
              <w:jc w:val="right"/>
              <w:spacing w:after="0" w:line="144" w:lineRule="exact"/>
              <w:rPr>
                <w:sz w:val="20"/>
                <w:szCs w:val="20"/>
                <w:color w:val="auto"/>
              </w:rPr>
            </w:pPr>
            <w:r>
              <w:rPr>
                <w:rFonts w:ascii="Arial" w:cs="Arial" w:eastAsia="Arial" w:hAnsi="Arial"/>
                <w:sz w:val="13"/>
                <w:szCs w:val="13"/>
                <w:color w:val="auto"/>
              </w:rPr>
              <w:t>40</w:t>
            </w:r>
          </w:p>
        </w:tc>
      </w:tr>
      <w:tr>
        <w:trPr>
          <w:trHeight w:val="144"/>
        </w:trPr>
        <w:tc>
          <w:tcPr>
            <w:tcW w:w="4440" w:type="dxa"/>
            <w:vAlign w:val="bottom"/>
            <w:shd w:val="clear" w:color="auto" w:fill="CCEEFF"/>
          </w:tcPr>
          <w:p>
            <w:pPr>
              <w:ind w:left="80"/>
              <w:spacing w:after="0" w:line="144" w:lineRule="exact"/>
              <w:rPr>
                <w:sz w:val="20"/>
                <w:szCs w:val="20"/>
                <w:color w:val="auto"/>
              </w:rPr>
            </w:pPr>
            <w:r>
              <w:rPr>
                <w:rFonts w:ascii="Arial" w:cs="Arial" w:eastAsia="Arial" w:hAnsi="Arial"/>
                <w:sz w:val="13"/>
                <w:szCs w:val="13"/>
                <w:color w:val="auto"/>
              </w:rPr>
              <w:t>Property and equipment</w:t>
            </w:r>
          </w:p>
        </w:tc>
        <w:tc>
          <w:tcPr>
            <w:tcW w:w="206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b w:val="1"/>
                <w:bCs w:val="1"/>
                <w:color w:val="auto"/>
              </w:rPr>
              <w:t>13</w:t>
            </w:r>
          </w:p>
        </w:tc>
        <w:tc>
          <w:tcPr>
            <w:tcW w:w="4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30</w:t>
            </w:r>
          </w:p>
        </w:tc>
      </w:tr>
      <w:tr>
        <w:trPr>
          <w:trHeight w:val="144"/>
        </w:trPr>
        <w:tc>
          <w:tcPr>
            <w:tcW w:w="4440" w:type="dxa"/>
            <w:vAlign w:val="bottom"/>
          </w:tcPr>
          <w:p>
            <w:pPr>
              <w:ind w:left="80"/>
              <w:spacing w:after="0" w:line="144" w:lineRule="exact"/>
              <w:rPr>
                <w:sz w:val="20"/>
                <w:szCs w:val="20"/>
                <w:color w:val="auto"/>
              </w:rPr>
            </w:pPr>
            <w:r>
              <w:rPr>
                <w:rFonts w:ascii="Arial" w:cs="Arial" w:eastAsia="Arial" w:hAnsi="Arial"/>
                <w:sz w:val="13"/>
                <w:szCs w:val="13"/>
                <w:color w:val="auto"/>
              </w:rPr>
              <w:t>Goodwill and other intangible assets</w:t>
            </w:r>
          </w:p>
        </w:tc>
        <w:tc>
          <w:tcPr>
            <w:tcW w:w="2060" w:type="dxa"/>
            <w:vAlign w:val="bottom"/>
          </w:tcPr>
          <w:p>
            <w:pPr>
              <w:spacing w:after="0"/>
              <w:rPr>
                <w:sz w:val="12"/>
                <w:szCs w:val="12"/>
                <w:color w:val="auto"/>
              </w:rPr>
            </w:pPr>
          </w:p>
        </w:tc>
        <w:tc>
          <w:tcPr>
            <w:tcW w:w="1060" w:type="dxa"/>
            <w:vAlign w:val="bottom"/>
          </w:tcPr>
          <w:p>
            <w:pPr>
              <w:jc w:val="right"/>
              <w:ind w:right="75"/>
              <w:spacing w:after="0" w:line="144" w:lineRule="exact"/>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2"/>
                <w:szCs w:val="12"/>
                <w:color w:val="auto"/>
              </w:rPr>
            </w:pPr>
          </w:p>
        </w:tc>
        <w:tc>
          <w:tcPr>
            <w:tcW w:w="980" w:type="dxa"/>
            <w:vAlign w:val="bottom"/>
          </w:tcPr>
          <w:p>
            <w:pPr>
              <w:jc w:val="right"/>
              <w:spacing w:after="0" w:line="144" w:lineRule="exact"/>
              <w:rPr>
                <w:sz w:val="20"/>
                <w:szCs w:val="20"/>
                <w:color w:val="auto"/>
              </w:rPr>
            </w:pPr>
            <w:r>
              <w:rPr>
                <w:rFonts w:ascii="Arial" w:cs="Arial" w:eastAsia="Arial" w:hAnsi="Arial"/>
                <w:sz w:val="13"/>
                <w:szCs w:val="13"/>
                <w:color w:val="auto"/>
              </w:rPr>
              <w:t>14</w:t>
            </w:r>
          </w:p>
        </w:tc>
      </w:tr>
      <w:tr>
        <w:trPr>
          <w:trHeight w:val="144"/>
        </w:trPr>
        <w:tc>
          <w:tcPr>
            <w:tcW w:w="4440" w:type="dxa"/>
            <w:vAlign w:val="bottom"/>
            <w:shd w:val="clear" w:color="auto" w:fill="CCEEFF"/>
          </w:tcPr>
          <w:p>
            <w:pPr>
              <w:ind w:left="80"/>
              <w:spacing w:after="0" w:line="144" w:lineRule="exact"/>
              <w:rPr>
                <w:sz w:val="20"/>
                <w:szCs w:val="20"/>
                <w:color w:val="auto"/>
              </w:rPr>
            </w:pPr>
            <w:r>
              <w:rPr>
                <w:rFonts w:ascii="Arial" w:cs="Arial" w:eastAsia="Arial" w:hAnsi="Arial"/>
                <w:sz w:val="13"/>
                <w:szCs w:val="13"/>
                <w:color w:val="auto"/>
              </w:rPr>
              <w:t>Operating leases - liabilities</w:t>
            </w:r>
          </w:p>
        </w:tc>
        <w:tc>
          <w:tcPr>
            <w:tcW w:w="206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b w:val="1"/>
                <w:bCs w:val="1"/>
                <w:color w:val="auto"/>
              </w:rPr>
              <w:t>811</w:t>
            </w:r>
          </w:p>
        </w:tc>
        <w:tc>
          <w:tcPr>
            <w:tcW w:w="4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844</w:t>
            </w:r>
          </w:p>
        </w:tc>
      </w:tr>
      <w:tr>
        <w:trPr>
          <w:trHeight w:val="144"/>
        </w:trPr>
        <w:tc>
          <w:tcPr>
            <w:tcW w:w="4440" w:type="dxa"/>
            <w:vAlign w:val="bottom"/>
            <w:tcBorders>
              <w:bottom w:val="single" w:sz="8" w:color="auto"/>
            </w:tcBorders>
          </w:tcPr>
          <w:p>
            <w:pPr>
              <w:ind w:left="80"/>
              <w:spacing w:after="0" w:line="144" w:lineRule="exact"/>
              <w:rPr>
                <w:sz w:val="20"/>
                <w:szCs w:val="20"/>
                <w:color w:val="auto"/>
              </w:rPr>
            </w:pPr>
            <w:r>
              <w:rPr>
                <w:rFonts w:ascii="Arial" w:cs="Arial" w:eastAsia="Arial" w:hAnsi="Arial"/>
                <w:sz w:val="13"/>
                <w:szCs w:val="13"/>
                <w:color w:val="auto"/>
              </w:rPr>
              <w:t>Other</w:t>
            </w:r>
          </w:p>
        </w:tc>
        <w:tc>
          <w:tcPr>
            <w:tcW w:w="20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75"/>
              <w:spacing w:after="0" w:line="144" w:lineRule="exact"/>
              <w:rPr>
                <w:sz w:val="20"/>
                <w:szCs w:val="20"/>
                <w:color w:val="auto"/>
              </w:rPr>
            </w:pPr>
            <w:r>
              <w:rPr>
                <w:rFonts w:ascii="Arial" w:cs="Arial" w:eastAsia="Arial" w:hAnsi="Arial"/>
                <w:sz w:val="13"/>
                <w:szCs w:val="13"/>
                <w:b w:val="1"/>
                <w:bCs w:val="1"/>
                <w:color w:val="auto"/>
              </w:rPr>
              <w:t>39</w:t>
            </w:r>
          </w:p>
        </w:tc>
        <w:tc>
          <w:tcPr>
            <w:tcW w:w="4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29</w:t>
            </w:r>
          </w:p>
        </w:tc>
      </w:tr>
      <w:tr>
        <w:trPr>
          <w:trHeight w:val="134"/>
        </w:trPr>
        <w:tc>
          <w:tcPr>
            <w:tcW w:w="444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Total deferred tax assets</w:t>
            </w:r>
          </w:p>
        </w:tc>
        <w:tc>
          <w:tcPr>
            <w:tcW w:w="2060" w:type="dxa"/>
            <w:vAlign w:val="bottom"/>
            <w:shd w:val="clear" w:color="auto" w:fill="CCEEFF"/>
          </w:tcPr>
          <w:p>
            <w:pPr>
              <w:jc w:val="right"/>
              <w:ind w:right="135"/>
              <w:spacing w:after="0" w:line="134" w:lineRule="exact"/>
              <w:rPr>
                <w:sz w:val="20"/>
                <w:szCs w:val="20"/>
                <w:color w:val="auto"/>
              </w:rPr>
            </w:pPr>
            <w:r>
              <w:rPr>
                <w:rFonts w:ascii="Arial" w:cs="Arial" w:eastAsia="Arial" w:hAnsi="Arial"/>
                <w:sz w:val="13"/>
                <w:szCs w:val="13"/>
                <w:b w:val="1"/>
                <w:bCs w:val="1"/>
                <w:color w:val="auto"/>
              </w:rPr>
              <w:t>$</w:t>
            </w:r>
          </w:p>
        </w:tc>
        <w:tc>
          <w:tcPr>
            <w:tcW w:w="1060" w:type="dxa"/>
            <w:vAlign w:val="bottom"/>
            <w:shd w:val="clear" w:color="auto" w:fill="CCEEFF"/>
          </w:tcPr>
          <w:p>
            <w:pPr>
              <w:jc w:val="right"/>
              <w:ind w:right="75"/>
              <w:spacing w:after="0" w:line="134" w:lineRule="exact"/>
              <w:rPr>
                <w:sz w:val="20"/>
                <w:szCs w:val="20"/>
                <w:color w:val="auto"/>
              </w:rPr>
            </w:pPr>
            <w:r>
              <w:rPr>
                <w:rFonts w:ascii="Arial" w:cs="Arial" w:eastAsia="Arial" w:hAnsi="Arial"/>
                <w:sz w:val="13"/>
                <w:szCs w:val="13"/>
                <w:b w:val="1"/>
                <w:bCs w:val="1"/>
                <w:color w:val="auto"/>
              </w:rPr>
              <w:t>1,035</w:t>
            </w:r>
          </w:p>
        </w:tc>
        <w:tc>
          <w:tcPr>
            <w:tcW w:w="400" w:type="dxa"/>
            <w:vAlign w:val="bottom"/>
            <w:shd w:val="clear" w:color="auto" w:fill="CCEEFF"/>
          </w:tcPr>
          <w:p>
            <w:pPr>
              <w:jc w:val="right"/>
              <w:ind w:right="155"/>
              <w:spacing w:after="0" w:line="134"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1,011</w:t>
            </w:r>
          </w:p>
        </w:tc>
      </w:tr>
      <w:tr>
        <w:trPr>
          <w:trHeight w:val="144"/>
        </w:trPr>
        <w:tc>
          <w:tcPr>
            <w:tcW w:w="444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color w:val="auto"/>
              </w:rPr>
              <w:t>Valuation allowance</w:t>
            </w:r>
          </w:p>
        </w:tc>
        <w:tc>
          <w:tcPr>
            <w:tcW w:w="20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5"/>
              <w:spacing w:after="0" w:line="144" w:lineRule="exact"/>
              <w:rPr>
                <w:sz w:val="20"/>
                <w:szCs w:val="20"/>
                <w:color w:val="auto"/>
              </w:rPr>
            </w:pPr>
            <w:r>
              <w:rPr>
                <w:rFonts w:ascii="Arial" w:cs="Arial" w:eastAsia="Arial" w:hAnsi="Arial"/>
                <w:sz w:val="13"/>
                <w:szCs w:val="13"/>
                <w:b w:val="1"/>
                <w:bCs w:val="1"/>
                <w:color w:val="auto"/>
              </w:rPr>
              <w:t>(76)</w:t>
            </w:r>
          </w:p>
        </w:tc>
        <w:tc>
          <w:tcPr>
            <w:tcW w:w="4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(39)</w:t>
            </w:r>
          </w:p>
        </w:tc>
      </w:tr>
      <w:tr>
        <w:trPr>
          <w:trHeight w:val="134"/>
        </w:trPr>
        <w:tc>
          <w:tcPr>
            <w:tcW w:w="4440" w:type="dxa"/>
            <w:vAlign w:val="bottom"/>
            <w:tcBorders>
              <w:bottom w:val="single" w:sz="8" w:color="auto"/>
            </w:tcBorders>
            <w:shd w:val="clear" w:color="auto" w:fill="CCEEFF"/>
          </w:tcPr>
          <w:p>
            <w:pPr>
              <w:ind w:left="160"/>
              <w:spacing w:after="0" w:line="134" w:lineRule="exact"/>
              <w:rPr>
                <w:sz w:val="20"/>
                <w:szCs w:val="20"/>
                <w:color w:val="auto"/>
              </w:rPr>
            </w:pPr>
            <w:r>
              <w:rPr>
                <w:rFonts w:ascii="Arial" w:cs="Arial" w:eastAsia="Arial" w:hAnsi="Arial"/>
                <w:sz w:val="13"/>
                <w:szCs w:val="13"/>
                <w:color w:val="auto"/>
              </w:rPr>
              <w:t>Total deferred tax assets, net</w:t>
            </w:r>
          </w:p>
        </w:tc>
        <w:tc>
          <w:tcPr>
            <w:tcW w:w="2060" w:type="dxa"/>
            <w:vAlign w:val="bottom"/>
            <w:tcBorders>
              <w:bottom w:val="single" w:sz="8" w:color="auto"/>
            </w:tcBorders>
            <w:shd w:val="clear" w:color="auto" w:fill="CCEEFF"/>
          </w:tcPr>
          <w:p>
            <w:pPr>
              <w:jc w:val="right"/>
              <w:ind w:right="135"/>
              <w:spacing w:after="0" w:line="134" w:lineRule="exact"/>
              <w:rPr>
                <w:sz w:val="20"/>
                <w:szCs w:val="20"/>
                <w:color w:val="auto"/>
              </w:rPr>
            </w:pPr>
            <w:r>
              <w:rPr>
                <w:rFonts w:ascii="Arial" w:cs="Arial" w:eastAsia="Arial" w:hAnsi="Arial"/>
                <w:sz w:val="13"/>
                <w:szCs w:val="13"/>
                <w:b w:val="1"/>
                <w:bCs w:val="1"/>
                <w:color w:val="auto"/>
              </w:rPr>
              <w:t>$</w:t>
            </w:r>
          </w:p>
        </w:tc>
        <w:tc>
          <w:tcPr>
            <w:tcW w:w="1060" w:type="dxa"/>
            <w:vAlign w:val="bottom"/>
            <w:tcBorders>
              <w:bottom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b w:val="1"/>
                <w:bCs w:val="1"/>
                <w:color w:val="auto"/>
              </w:rPr>
              <w:t>959</w:t>
            </w:r>
          </w:p>
        </w:tc>
        <w:tc>
          <w:tcPr>
            <w:tcW w:w="400" w:type="dxa"/>
            <w:vAlign w:val="bottom"/>
            <w:tcBorders>
              <w:bottom w:val="single" w:sz="8" w:color="auto"/>
            </w:tcBorders>
            <w:shd w:val="clear" w:color="auto" w:fill="CCEEFF"/>
          </w:tcPr>
          <w:p>
            <w:pPr>
              <w:jc w:val="right"/>
              <w:ind w:right="155"/>
              <w:spacing w:after="0" w:line="134" w:lineRule="exact"/>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972</w:t>
            </w:r>
          </w:p>
        </w:tc>
      </w:tr>
      <w:tr>
        <w:trPr>
          <w:trHeight w:val="134"/>
        </w:trPr>
        <w:tc>
          <w:tcPr>
            <w:tcW w:w="4440" w:type="dxa"/>
            <w:vAlign w:val="bottom"/>
          </w:tcPr>
          <w:p>
            <w:pPr>
              <w:spacing w:after="0" w:line="134" w:lineRule="exact"/>
              <w:rPr>
                <w:sz w:val="20"/>
                <w:szCs w:val="20"/>
                <w:color w:val="auto"/>
              </w:rPr>
            </w:pPr>
            <w:r>
              <w:rPr>
                <w:rFonts w:ascii="Arial" w:cs="Arial" w:eastAsia="Arial" w:hAnsi="Arial"/>
                <w:sz w:val="13"/>
                <w:szCs w:val="13"/>
                <w:b w:val="1"/>
                <w:bCs w:val="1"/>
                <w:color w:val="auto"/>
              </w:rPr>
              <w:t>Deferred tax liabilities:</w:t>
            </w:r>
          </w:p>
        </w:tc>
        <w:tc>
          <w:tcPr>
            <w:tcW w:w="2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44"/>
        </w:trPr>
        <w:tc>
          <w:tcPr>
            <w:tcW w:w="4440" w:type="dxa"/>
            <w:vAlign w:val="bottom"/>
            <w:shd w:val="clear" w:color="auto" w:fill="CCEEFF"/>
          </w:tcPr>
          <w:p>
            <w:pPr>
              <w:ind w:left="80"/>
              <w:spacing w:after="0" w:line="144" w:lineRule="exact"/>
              <w:rPr>
                <w:sz w:val="20"/>
                <w:szCs w:val="20"/>
                <w:color w:val="auto"/>
              </w:rPr>
            </w:pPr>
            <w:r>
              <w:rPr>
                <w:rFonts w:ascii="Arial" w:cs="Arial" w:eastAsia="Arial" w:hAnsi="Arial"/>
                <w:sz w:val="13"/>
                <w:szCs w:val="13"/>
                <w:color w:val="auto"/>
              </w:rPr>
              <w:t>Merchandise inventories</w:t>
            </w:r>
          </w:p>
        </w:tc>
        <w:tc>
          <w:tcPr>
            <w:tcW w:w="2060" w:type="dxa"/>
            <w:vAlign w:val="bottom"/>
            <w:shd w:val="clear" w:color="auto" w:fill="CCEEFF"/>
          </w:tcPr>
          <w:p>
            <w:pPr>
              <w:jc w:val="right"/>
              <w:ind w:right="135"/>
              <w:spacing w:after="0" w:line="144" w:lineRule="exact"/>
              <w:rPr>
                <w:sz w:val="20"/>
                <w:szCs w:val="20"/>
                <w:color w:val="auto"/>
              </w:rPr>
            </w:pPr>
            <w:r>
              <w:rPr>
                <w:rFonts w:ascii="Arial" w:cs="Arial" w:eastAsia="Arial" w:hAnsi="Arial"/>
                <w:sz w:val="13"/>
                <w:szCs w:val="13"/>
                <w:b w:val="1"/>
                <w:bCs w:val="1"/>
                <w:color w:val="auto"/>
              </w:rPr>
              <w:t>$</w:t>
            </w:r>
          </w:p>
        </w:tc>
        <w:tc>
          <w:tcPr>
            <w:tcW w:w="106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b w:val="1"/>
                <w:bCs w:val="1"/>
                <w:color w:val="auto"/>
              </w:rPr>
              <w:t>62</w:t>
            </w:r>
          </w:p>
        </w:tc>
        <w:tc>
          <w:tcPr>
            <w:tcW w:w="400" w:type="dxa"/>
            <w:vAlign w:val="bottom"/>
            <w:shd w:val="clear" w:color="auto" w:fill="CCEEFF"/>
          </w:tcPr>
          <w:p>
            <w:pPr>
              <w:jc w:val="right"/>
              <w:ind w:right="155"/>
              <w:spacing w:after="0" w:line="144"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86</w:t>
            </w:r>
          </w:p>
        </w:tc>
      </w:tr>
      <w:tr>
        <w:trPr>
          <w:trHeight w:val="144"/>
        </w:trPr>
        <w:tc>
          <w:tcPr>
            <w:tcW w:w="4440" w:type="dxa"/>
            <w:vAlign w:val="bottom"/>
          </w:tcPr>
          <w:p>
            <w:pPr>
              <w:ind w:left="80"/>
              <w:spacing w:after="0" w:line="144" w:lineRule="exact"/>
              <w:rPr>
                <w:sz w:val="20"/>
                <w:szCs w:val="20"/>
                <w:color w:val="auto"/>
              </w:rPr>
            </w:pPr>
            <w:r>
              <w:rPr>
                <w:rFonts w:ascii="Arial" w:cs="Arial" w:eastAsia="Arial" w:hAnsi="Arial"/>
                <w:sz w:val="13"/>
                <w:szCs w:val="13"/>
                <w:color w:val="auto"/>
              </w:rPr>
              <w:t>Operating leases - assets</w:t>
            </w:r>
          </w:p>
        </w:tc>
        <w:tc>
          <w:tcPr>
            <w:tcW w:w="2060" w:type="dxa"/>
            <w:vAlign w:val="bottom"/>
          </w:tcPr>
          <w:p>
            <w:pPr>
              <w:spacing w:after="0"/>
              <w:rPr>
                <w:sz w:val="12"/>
                <w:szCs w:val="12"/>
                <w:color w:val="auto"/>
              </w:rPr>
            </w:pPr>
          </w:p>
        </w:tc>
        <w:tc>
          <w:tcPr>
            <w:tcW w:w="1060" w:type="dxa"/>
            <w:vAlign w:val="bottom"/>
          </w:tcPr>
          <w:p>
            <w:pPr>
              <w:jc w:val="right"/>
              <w:ind w:right="75"/>
              <w:spacing w:after="0" w:line="144" w:lineRule="exact"/>
              <w:rPr>
                <w:sz w:val="20"/>
                <w:szCs w:val="20"/>
                <w:color w:val="auto"/>
              </w:rPr>
            </w:pPr>
            <w:r>
              <w:rPr>
                <w:rFonts w:ascii="Arial" w:cs="Arial" w:eastAsia="Arial" w:hAnsi="Arial"/>
                <w:sz w:val="13"/>
                <w:szCs w:val="13"/>
                <w:b w:val="1"/>
                <w:bCs w:val="1"/>
                <w:color w:val="auto"/>
              </w:rPr>
              <w:t>746</w:t>
            </w:r>
          </w:p>
        </w:tc>
        <w:tc>
          <w:tcPr>
            <w:tcW w:w="400" w:type="dxa"/>
            <w:vAlign w:val="bottom"/>
          </w:tcPr>
          <w:p>
            <w:pPr>
              <w:spacing w:after="0"/>
              <w:rPr>
                <w:sz w:val="12"/>
                <w:szCs w:val="12"/>
                <w:color w:val="auto"/>
              </w:rPr>
            </w:pPr>
          </w:p>
        </w:tc>
        <w:tc>
          <w:tcPr>
            <w:tcW w:w="980" w:type="dxa"/>
            <w:vAlign w:val="bottom"/>
          </w:tcPr>
          <w:p>
            <w:pPr>
              <w:jc w:val="right"/>
              <w:spacing w:after="0" w:line="144" w:lineRule="exact"/>
              <w:rPr>
                <w:sz w:val="20"/>
                <w:szCs w:val="20"/>
                <w:color w:val="auto"/>
              </w:rPr>
            </w:pPr>
            <w:r>
              <w:rPr>
                <w:rFonts w:ascii="Arial" w:cs="Arial" w:eastAsia="Arial" w:hAnsi="Arial"/>
                <w:sz w:val="13"/>
                <w:szCs w:val="13"/>
                <w:color w:val="auto"/>
              </w:rPr>
              <w:t>794</w:t>
            </w:r>
          </w:p>
        </w:tc>
      </w:tr>
      <w:tr>
        <w:trPr>
          <w:trHeight w:val="144"/>
        </w:trPr>
        <w:tc>
          <w:tcPr>
            <w:tcW w:w="4440" w:type="dxa"/>
            <w:vAlign w:val="bottom"/>
            <w:shd w:val="clear" w:color="auto" w:fill="CCEEFF"/>
          </w:tcPr>
          <w:p>
            <w:pPr>
              <w:ind w:left="80"/>
              <w:spacing w:after="0" w:line="144" w:lineRule="exact"/>
              <w:rPr>
                <w:sz w:val="20"/>
                <w:szCs w:val="20"/>
                <w:color w:val="auto"/>
              </w:rPr>
            </w:pPr>
            <w:r>
              <w:rPr>
                <w:rFonts w:ascii="Arial" w:cs="Arial" w:eastAsia="Arial" w:hAnsi="Arial"/>
                <w:sz w:val="13"/>
                <w:szCs w:val="13"/>
                <w:color w:val="auto"/>
              </w:rPr>
              <w:t>Goodwill and other intangible assets</w:t>
            </w:r>
          </w:p>
        </w:tc>
        <w:tc>
          <w:tcPr>
            <w:tcW w:w="206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b w:val="1"/>
                <w:bCs w:val="1"/>
                <w:color w:val="auto"/>
              </w:rPr>
              <w:t>13</w:t>
            </w:r>
          </w:p>
        </w:tc>
        <w:tc>
          <w:tcPr>
            <w:tcW w:w="4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r>
      <w:tr>
        <w:trPr>
          <w:trHeight w:val="144"/>
        </w:trPr>
        <w:tc>
          <w:tcPr>
            <w:tcW w:w="4440" w:type="dxa"/>
            <w:vAlign w:val="bottom"/>
          </w:tcPr>
          <w:p>
            <w:pPr>
              <w:ind w:left="80"/>
              <w:spacing w:after="0" w:line="144" w:lineRule="exact"/>
              <w:rPr>
                <w:sz w:val="20"/>
                <w:szCs w:val="20"/>
                <w:color w:val="auto"/>
              </w:rPr>
            </w:pPr>
            <w:r>
              <w:rPr>
                <w:rFonts w:ascii="Arial" w:cs="Arial" w:eastAsia="Arial" w:hAnsi="Arial"/>
                <w:sz w:val="13"/>
                <w:szCs w:val="13"/>
                <w:color w:val="auto"/>
              </w:rPr>
              <w:t>Net investment gains</w:t>
            </w:r>
          </w:p>
        </w:tc>
        <w:tc>
          <w:tcPr>
            <w:tcW w:w="2060" w:type="dxa"/>
            <w:vAlign w:val="bottom"/>
          </w:tcPr>
          <w:p>
            <w:pPr>
              <w:spacing w:after="0"/>
              <w:rPr>
                <w:sz w:val="12"/>
                <w:szCs w:val="12"/>
                <w:color w:val="auto"/>
              </w:rPr>
            </w:pPr>
          </w:p>
        </w:tc>
        <w:tc>
          <w:tcPr>
            <w:tcW w:w="1060" w:type="dxa"/>
            <w:vAlign w:val="bottom"/>
          </w:tcPr>
          <w:p>
            <w:pPr>
              <w:jc w:val="right"/>
              <w:ind w:right="75"/>
              <w:spacing w:after="0" w:line="144" w:lineRule="exact"/>
              <w:rPr>
                <w:sz w:val="20"/>
                <w:szCs w:val="20"/>
                <w:color w:val="auto"/>
              </w:rPr>
            </w:pPr>
            <w:r>
              <w:rPr>
                <w:rFonts w:ascii="Arial" w:cs="Arial" w:eastAsia="Arial" w:hAnsi="Arial"/>
                <w:sz w:val="13"/>
                <w:szCs w:val="13"/>
                <w:b w:val="1"/>
                <w:bCs w:val="1"/>
                <w:color w:val="auto"/>
              </w:rPr>
              <w:t>46</w:t>
            </w:r>
          </w:p>
        </w:tc>
        <w:tc>
          <w:tcPr>
            <w:tcW w:w="400" w:type="dxa"/>
            <w:vAlign w:val="bottom"/>
          </w:tcPr>
          <w:p>
            <w:pPr>
              <w:spacing w:after="0"/>
              <w:rPr>
                <w:sz w:val="12"/>
                <w:szCs w:val="12"/>
                <w:color w:val="auto"/>
              </w:rPr>
            </w:pPr>
          </w:p>
        </w:tc>
        <w:tc>
          <w:tcPr>
            <w:tcW w:w="98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r>
      <w:tr>
        <w:trPr>
          <w:trHeight w:val="144"/>
        </w:trPr>
        <w:tc>
          <w:tcPr>
            <w:tcW w:w="4440" w:type="dxa"/>
            <w:vAlign w:val="bottom"/>
            <w:tcBorders>
              <w:bottom w:val="single" w:sz="8" w:color="auto"/>
            </w:tcBorders>
            <w:shd w:val="clear" w:color="auto" w:fill="CCEEFF"/>
          </w:tcPr>
          <w:p>
            <w:pPr>
              <w:ind w:left="80"/>
              <w:spacing w:after="0" w:line="144" w:lineRule="exact"/>
              <w:rPr>
                <w:sz w:val="20"/>
                <w:szCs w:val="20"/>
                <w:color w:val="auto"/>
              </w:rPr>
            </w:pPr>
            <w:r>
              <w:rPr>
                <w:rFonts w:ascii="Arial" w:cs="Arial" w:eastAsia="Arial" w:hAnsi="Arial"/>
                <w:sz w:val="13"/>
                <w:szCs w:val="13"/>
                <w:color w:val="auto"/>
              </w:rPr>
              <w:t>Other</w:t>
            </w:r>
          </w:p>
        </w:tc>
        <w:tc>
          <w:tcPr>
            <w:tcW w:w="206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ind w:right="75"/>
              <w:spacing w:after="0" w:line="144" w:lineRule="exact"/>
              <w:rPr>
                <w:sz w:val="20"/>
                <w:szCs w:val="20"/>
                <w:color w:val="auto"/>
              </w:rPr>
            </w:pPr>
            <w:r>
              <w:rPr>
                <w:rFonts w:ascii="Arial" w:cs="Arial" w:eastAsia="Arial" w:hAnsi="Arial"/>
                <w:sz w:val="13"/>
                <w:szCs w:val="13"/>
                <w:b w:val="1"/>
                <w:bCs w:val="1"/>
                <w:color w:val="auto"/>
              </w:rPr>
              <w:t>9</w:t>
            </w:r>
          </w:p>
        </w:tc>
        <w:tc>
          <w:tcPr>
            <w:tcW w:w="40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13</w:t>
            </w:r>
          </w:p>
        </w:tc>
      </w:tr>
      <w:tr>
        <w:trPr>
          <w:trHeight w:val="134"/>
        </w:trPr>
        <w:tc>
          <w:tcPr>
            <w:tcW w:w="4440" w:type="dxa"/>
            <w:vAlign w:val="bottom"/>
            <w:tcBorders>
              <w:bottom w:val="single" w:sz="8" w:color="auto"/>
            </w:tcBorders>
          </w:tcPr>
          <w:p>
            <w:pPr>
              <w:ind w:left="160"/>
              <w:spacing w:after="0" w:line="134" w:lineRule="exact"/>
              <w:rPr>
                <w:sz w:val="20"/>
                <w:szCs w:val="20"/>
                <w:color w:val="auto"/>
              </w:rPr>
            </w:pPr>
            <w:r>
              <w:rPr>
                <w:rFonts w:ascii="Arial" w:cs="Arial" w:eastAsia="Arial" w:hAnsi="Arial"/>
                <w:sz w:val="13"/>
                <w:szCs w:val="13"/>
                <w:color w:val="auto"/>
              </w:rPr>
              <w:t>Total deferred tax liabilities</w:t>
            </w:r>
          </w:p>
        </w:tc>
        <w:tc>
          <w:tcPr>
            <w:tcW w:w="2060" w:type="dxa"/>
            <w:vAlign w:val="bottom"/>
            <w:tcBorders>
              <w:bottom w:val="single" w:sz="8" w:color="auto"/>
            </w:tcBorders>
          </w:tcPr>
          <w:p>
            <w:pPr>
              <w:jc w:val="right"/>
              <w:ind w:right="135"/>
              <w:spacing w:after="0" w:line="134" w:lineRule="exact"/>
              <w:rPr>
                <w:sz w:val="20"/>
                <w:szCs w:val="20"/>
                <w:color w:val="auto"/>
              </w:rPr>
            </w:pPr>
            <w:r>
              <w:rPr>
                <w:rFonts w:ascii="Arial" w:cs="Arial" w:eastAsia="Arial" w:hAnsi="Arial"/>
                <w:sz w:val="13"/>
                <w:szCs w:val="13"/>
                <w:b w:val="1"/>
                <w:bCs w:val="1"/>
                <w:color w:val="auto"/>
              </w:rPr>
              <w:t>$</w:t>
            </w:r>
          </w:p>
        </w:tc>
        <w:tc>
          <w:tcPr>
            <w:tcW w:w="1060" w:type="dxa"/>
            <w:vAlign w:val="bottom"/>
            <w:tcBorders>
              <w:bottom w:val="single" w:sz="8" w:color="auto"/>
            </w:tcBorders>
          </w:tcPr>
          <w:p>
            <w:pPr>
              <w:jc w:val="right"/>
              <w:ind w:right="75"/>
              <w:spacing w:after="0" w:line="134" w:lineRule="exact"/>
              <w:rPr>
                <w:sz w:val="20"/>
                <w:szCs w:val="20"/>
                <w:color w:val="auto"/>
              </w:rPr>
            </w:pPr>
            <w:r>
              <w:rPr>
                <w:rFonts w:ascii="Arial" w:cs="Arial" w:eastAsia="Arial" w:hAnsi="Arial"/>
                <w:sz w:val="13"/>
                <w:szCs w:val="13"/>
                <w:b w:val="1"/>
                <w:bCs w:val="1"/>
                <w:color w:val="auto"/>
              </w:rPr>
              <w:t>876</w:t>
            </w:r>
          </w:p>
        </w:tc>
        <w:tc>
          <w:tcPr>
            <w:tcW w:w="400" w:type="dxa"/>
            <w:vAlign w:val="bottom"/>
            <w:tcBorders>
              <w:bottom w:val="single" w:sz="8" w:color="auto"/>
            </w:tcBorders>
          </w:tcPr>
          <w:p>
            <w:pPr>
              <w:jc w:val="right"/>
              <w:ind w:right="155"/>
              <w:spacing w:after="0" w:line="134" w:lineRule="exact"/>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893</w:t>
            </w:r>
          </w:p>
        </w:tc>
      </w:tr>
      <w:tr>
        <w:trPr>
          <w:trHeight w:val="134"/>
        </w:trPr>
        <w:tc>
          <w:tcPr>
            <w:tcW w:w="4440" w:type="dxa"/>
            <w:vAlign w:val="bottom"/>
            <w:tcBorders>
              <w:bottom w:val="single" w:sz="8" w:color="auto"/>
            </w:tcBorders>
            <w:shd w:val="clear" w:color="auto" w:fill="CCEEFF"/>
          </w:tcPr>
          <w:p>
            <w:pPr>
              <w:spacing w:after="0" w:line="134" w:lineRule="exact"/>
              <w:rPr>
                <w:sz w:val="20"/>
                <w:szCs w:val="20"/>
                <w:color w:val="auto"/>
              </w:rPr>
            </w:pPr>
            <w:r>
              <w:rPr>
                <w:rFonts w:ascii="Arial" w:cs="Arial" w:eastAsia="Arial" w:hAnsi="Arial"/>
                <w:sz w:val="13"/>
                <w:szCs w:val="13"/>
                <w:b w:val="1"/>
                <w:bCs w:val="1"/>
                <w:color w:val="auto"/>
              </w:rPr>
              <w:t>Net deferred tax asset</w:t>
            </w:r>
          </w:p>
        </w:tc>
        <w:tc>
          <w:tcPr>
            <w:tcW w:w="2060" w:type="dxa"/>
            <w:vAlign w:val="bottom"/>
            <w:tcBorders>
              <w:bottom w:val="single" w:sz="8" w:color="auto"/>
            </w:tcBorders>
            <w:shd w:val="clear" w:color="auto" w:fill="CCEEFF"/>
          </w:tcPr>
          <w:p>
            <w:pPr>
              <w:jc w:val="right"/>
              <w:ind w:right="135"/>
              <w:spacing w:after="0" w:line="134" w:lineRule="exact"/>
              <w:rPr>
                <w:sz w:val="20"/>
                <w:szCs w:val="20"/>
                <w:color w:val="auto"/>
              </w:rPr>
            </w:pPr>
            <w:r>
              <w:rPr>
                <w:rFonts w:ascii="Arial" w:cs="Arial" w:eastAsia="Arial" w:hAnsi="Arial"/>
                <w:sz w:val="13"/>
                <w:szCs w:val="13"/>
                <w:b w:val="1"/>
                <w:bCs w:val="1"/>
                <w:color w:val="auto"/>
              </w:rPr>
              <w:t>$</w:t>
            </w:r>
          </w:p>
        </w:tc>
        <w:tc>
          <w:tcPr>
            <w:tcW w:w="1060" w:type="dxa"/>
            <w:vAlign w:val="bottom"/>
            <w:tcBorders>
              <w:bottom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b w:val="1"/>
                <w:bCs w:val="1"/>
                <w:color w:val="auto"/>
              </w:rPr>
              <w:t>83</w:t>
            </w:r>
          </w:p>
        </w:tc>
        <w:tc>
          <w:tcPr>
            <w:tcW w:w="400" w:type="dxa"/>
            <w:vAlign w:val="bottom"/>
            <w:tcBorders>
              <w:bottom w:val="single" w:sz="8" w:color="auto"/>
            </w:tcBorders>
            <w:shd w:val="clear" w:color="auto" w:fill="CCEEFF"/>
          </w:tcPr>
          <w:p>
            <w:pPr>
              <w:jc w:val="right"/>
              <w:ind w:right="155"/>
              <w:spacing w:after="0" w:line="134" w:lineRule="exact"/>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79</w:t>
            </w:r>
          </w:p>
        </w:tc>
      </w:tr>
      <w:tr>
        <w:trPr>
          <w:trHeight w:val="134"/>
        </w:trPr>
        <w:tc>
          <w:tcPr>
            <w:tcW w:w="4440" w:type="dxa"/>
            <w:vAlign w:val="bottom"/>
          </w:tcPr>
          <w:p>
            <w:pPr>
              <w:spacing w:after="0" w:line="134" w:lineRule="exact"/>
              <w:rPr>
                <w:sz w:val="20"/>
                <w:szCs w:val="20"/>
                <w:color w:val="auto"/>
              </w:rPr>
            </w:pPr>
            <w:r>
              <w:rPr>
                <w:rFonts w:ascii="Arial" w:cs="Arial" w:eastAsia="Arial" w:hAnsi="Arial"/>
                <w:sz w:val="13"/>
                <w:szCs w:val="13"/>
                <w:b w:val="1"/>
                <w:bCs w:val="1"/>
                <w:color w:val="auto"/>
              </w:rPr>
              <w:t>Balance Sheet caption reported in:</w:t>
            </w:r>
          </w:p>
        </w:tc>
        <w:tc>
          <w:tcPr>
            <w:tcW w:w="2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44"/>
        </w:trPr>
        <w:tc>
          <w:tcPr>
            <w:tcW w:w="4440" w:type="dxa"/>
            <w:vAlign w:val="bottom"/>
            <w:shd w:val="clear" w:color="auto" w:fill="CCEEFF"/>
          </w:tcPr>
          <w:p>
            <w:pPr>
              <w:ind w:left="80"/>
              <w:spacing w:after="0" w:line="144" w:lineRule="exact"/>
              <w:rPr>
                <w:sz w:val="20"/>
                <w:szCs w:val="20"/>
                <w:color w:val="auto"/>
              </w:rPr>
            </w:pPr>
            <w:r>
              <w:rPr>
                <w:rFonts w:ascii="Arial" w:cs="Arial" w:eastAsia="Arial" w:hAnsi="Arial"/>
                <w:sz w:val="13"/>
                <w:szCs w:val="13"/>
                <w:color w:val="auto"/>
              </w:rPr>
              <w:t>Deferred taxes</w:t>
            </w:r>
          </w:p>
        </w:tc>
        <w:tc>
          <w:tcPr>
            <w:tcW w:w="2060" w:type="dxa"/>
            <w:vAlign w:val="bottom"/>
            <w:shd w:val="clear" w:color="auto" w:fill="CCEEFF"/>
          </w:tcPr>
          <w:p>
            <w:pPr>
              <w:jc w:val="right"/>
              <w:ind w:right="135"/>
              <w:spacing w:after="0" w:line="144" w:lineRule="exact"/>
              <w:rPr>
                <w:sz w:val="20"/>
                <w:szCs w:val="20"/>
                <w:color w:val="auto"/>
              </w:rPr>
            </w:pPr>
            <w:r>
              <w:rPr>
                <w:rFonts w:ascii="Arial" w:cs="Arial" w:eastAsia="Arial" w:hAnsi="Arial"/>
                <w:sz w:val="13"/>
                <w:szCs w:val="13"/>
                <w:b w:val="1"/>
                <w:bCs w:val="1"/>
                <w:color w:val="auto"/>
              </w:rPr>
              <w:t>$</w:t>
            </w:r>
          </w:p>
        </w:tc>
        <w:tc>
          <w:tcPr>
            <w:tcW w:w="106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b w:val="1"/>
                <w:bCs w:val="1"/>
                <w:color w:val="auto"/>
              </w:rPr>
              <w:t>101</w:t>
            </w:r>
          </w:p>
        </w:tc>
        <w:tc>
          <w:tcPr>
            <w:tcW w:w="400" w:type="dxa"/>
            <w:vAlign w:val="bottom"/>
            <w:shd w:val="clear" w:color="auto" w:fill="CCEEFF"/>
          </w:tcPr>
          <w:p>
            <w:pPr>
              <w:jc w:val="right"/>
              <w:ind w:right="155"/>
              <w:spacing w:after="0" w:line="144"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81</w:t>
            </w:r>
          </w:p>
        </w:tc>
      </w:tr>
      <w:tr>
        <w:trPr>
          <w:trHeight w:val="144"/>
        </w:trPr>
        <w:tc>
          <w:tcPr>
            <w:tcW w:w="4440" w:type="dxa"/>
            <w:vAlign w:val="bottom"/>
            <w:tcBorders>
              <w:bottom w:val="single" w:sz="8" w:color="auto"/>
            </w:tcBorders>
          </w:tcPr>
          <w:p>
            <w:pPr>
              <w:ind w:left="80"/>
              <w:spacing w:after="0" w:line="144" w:lineRule="exact"/>
              <w:rPr>
                <w:sz w:val="20"/>
                <w:szCs w:val="20"/>
                <w:color w:val="auto"/>
              </w:rPr>
            </w:pPr>
            <w:r>
              <w:rPr>
                <w:rFonts w:ascii="Arial" w:cs="Arial" w:eastAsia="Arial" w:hAnsi="Arial"/>
                <w:sz w:val="13"/>
                <w:szCs w:val="13"/>
                <w:color w:val="auto"/>
              </w:rPr>
              <w:t>Other liabilities</w:t>
            </w:r>
          </w:p>
        </w:tc>
        <w:tc>
          <w:tcPr>
            <w:tcW w:w="206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35"/>
              <w:spacing w:after="0" w:line="144" w:lineRule="exact"/>
              <w:rPr>
                <w:sz w:val="20"/>
                <w:szCs w:val="20"/>
                <w:color w:val="auto"/>
              </w:rPr>
            </w:pPr>
            <w:r>
              <w:rPr>
                <w:rFonts w:ascii="Arial" w:cs="Arial" w:eastAsia="Arial" w:hAnsi="Arial"/>
                <w:sz w:val="13"/>
                <w:szCs w:val="13"/>
                <w:b w:val="1"/>
                <w:bCs w:val="1"/>
                <w:color w:val="auto"/>
              </w:rPr>
              <w:t>(18)</w:t>
            </w:r>
          </w:p>
        </w:tc>
        <w:tc>
          <w:tcPr>
            <w:tcW w:w="4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(2)</w:t>
            </w:r>
          </w:p>
        </w:tc>
      </w:tr>
      <w:tr>
        <w:trPr>
          <w:trHeight w:val="134"/>
        </w:trPr>
        <w:tc>
          <w:tcPr>
            <w:tcW w:w="4440" w:type="dxa"/>
            <w:vAlign w:val="bottom"/>
            <w:tcBorders>
              <w:bottom w:val="single" w:sz="8" w:color="auto"/>
            </w:tcBorders>
            <w:shd w:val="clear" w:color="auto" w:fill="CCEEFF"/>
          </w:tcPr>
          <w:p>
            <w:pPr>
              <w:spacing w:after="0"/>
              <w:rPr>
                <w:sz w:val="11"/>
                <w:szCs w:val="11"/>
                <w:color w:val="auto"/>
              </w:rPr>
            </w:pPr>
          </w:p>
        </w:tc>
        <w:tc>
          <w:tcPr>
            <w:tcW w:w="2060" w:type="dxa"/>
            <w:vAlign w:val="bottom"/>
            <w:tcBorders>
              <w:bottom w:val="single" w:sz="8" w:color="auto"/>
            </w:tcBorders>
            <w:shd w:val="clear" w:color="auto" w:fill="CCEEFF"/>
          </w:tcPr>
          <w:p>
            <w:pPr>
              <w:jc w:val="right"/>
              <w:ind w:right="135"/>
              <w:spacing w:after="0" w:line="134" w:lineRule="exact"/>
              <w:rPr>
                <w:sz w:val="20"/>
                <w:szCs w:val="20"/>
                <w:color w:val="auto"/>
              </w:rPr>
            </w:pPr>
            <w:r>
              <w:rPr>
                <w:rFonts w:ascii="Arial" w:cs="Arial" w:eastAsia="Arial" w:hAnsi="Arial"/>
                <w:sz w:val="13"/>
                <w:szCs w:val="13"/>
                <w:b w:val="1"/>
                <w:bCs w:val="1"/>
                <w:color w:val="auto"/>
              </w:rPr>
              <w:t>$</w:t>
            </w:r>
          </w:p>
        </w:tc>
        <w:tc>
          <w:tcPr>
            <w:tcW w:w="1060" w:type="dxa"/>
            <w:vAlign w:val="bottom"/>
            <w:tcBorders>
              <w:bottom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b w:val="1"/>
                <w:bCs w:val="1"/>
                <w:color w:val="auto"/>
              </w:rPr>
              <w:t>83</w:t>
            </w:r>
          </w:p>
        </w:tc>
        <w:tc>
          <w:tcPr>
            <w:tcW w:w="400" w:type="dxa"/>
            <w:vAlign w:val="bottom"/>
            <w:tcBorders>
              <w:bottom w:val="single" w:sz="8" w:color="auto"/>
            </w:tcBorders>
            <w:shd w:val="clear" w:color="auto" w:fill="CCEEFF"/>
          </w:tcPr>
          <w:p>
            <w:pPr>
              <w:jc w:val="right"/>
              <w:ind w:right="155"/>
              <w:spacing w:after="0" w:line="134" w:lineRule="exact"/>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79</w:t>
            </w: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29" w:lineRule="exact"/>
        <w:rPr>
          <w:sz w:val="20"/>
          <w:szCs w:val="20"/>
          <w:color w:val="auto"/>
        </w:rPr>
      </w:pPr>
    </w:p>
    <w:p>
      <w:pPr>
        <w:jc w:val="both"/>
        <w:ind w:left="20" w:right="39"/>
        <w:spacing w:after="0" w:line="235" w:lineRule="auto"/>
        <w:rPr>
          <w:sz w:val="20"/>
          <w:szCs w:val="20"/>
          <w:color w:val="auto"/>
        </w:rPr>
      </w:pPr>
      <w:r>
        <w:rPr>
          <w:rFonts w:ascii="Arial" w:cs="Arial" w:eastAsia="Arial" w:hAnsi="Arial"/>
          <w:sz w:val="13"/>
          <w:szCs w:val="13"/>
          <w:color w:val="auto"/>
        </w:rPr>
        <w:t>Based upon the level of historical taxable income and projections for future taxable income, which are based upon our long-range strategic plans, management believes it is more likely than not that we will realize the benefits of deductible differences, net of the valuation allowances at January 30, 2021, over the periods in which the temporary differences are anticipated to reverse. However, the amount of the deferred tax asset considered realizable could be adjusted in the future if estimates of taxable income are revised.</w:t>
      </w:r>
    </w:p>
    <w:p>
      <w:pPr>
        <w:spacing w:after="0" w:line="122" w:lineRule="exact"/>
        <w:rPr>
          <w:sz w:val="20"/>
          <w:szCs w:val="20"/>
          <w:color w:val="auto"/>
        </w:rPr>
      </w:pPr>
    </w:p>
    <w:p>
      <w:pPr>
        <w:jc w:val="both"/>
        <w:ind w:left="20" w:right="39"/>
        <w:spacing w:after="0" w:line="233" w:lineRule="auto"/>
        <w:rPr>
          <w:sz w:val="20"/>
          <w:szCs w:val="20"/>
          <w:color w:val="auto"/>
        </w:rPr>
      </w:pPr>
      <w:r>
        <w:rPr>
          <w:rFonts w:ascii="Arial" w:cs="Arial" w:eastAsia="Arial" w:hAnsi="Arial"/>
          <w:sz w:val="13"/>
          <w:szCs w:val="13"/>
          <w:color w:val="auto"/>
        </w:rPr>
        <w:t>As of January 30, 2021, we have a valuation allowance of $76 million to reduce our deferred tax assets to an amount that is more likely than not to be realized. A valuation allowance of $67 million was recorded against tax loss carryforwards of certain foreign entities. Based on the history of losses and the absence of prudent and feasible business plans for generating future taxable income in these entities, we believe it is more likely than not that the benefit of these loss carryforwards will not be realized. As of January 30, 2021, a valuation allowance of $8 million was established for foreign taxes assessed at rates in excess of the U.S. federal tax rate for which no U.S. foreign tax credit is available. Additionally, since we do not have any reasonably foreseeable sources of Canadian capital gains, a valuation allowance of $1 million was established since 2019 for a deferred tax asset arising from a capital loss associated with an uncollectible Canadian note receivable.</w:t>
      </w:r>
    </w:p>
    <w:p>
      <w:pPr>
        <w:spacing w:after="0" w:line="133" w:lineRule="exact"/>
        <w:rPr>
          <w:sz w:val="20"/>
          <w:szCs w:val="20"/>
          <w:color w:val="auto"/>
        </w:rPr>
      </w:pPr>
    </w:p>
    <w:p>
      <w:pPr>
        <w:jc w:val="both"/>
        <w:ind w:left="20" w:right="39"/>
        <w:spacing w:after="0" w:line="234" w:lineRule="auto"/>
        <w:rPr>
          <w:sz w:val="20"/>
          <w:szCs w:val="20"/>
          <w:color w:val="auto"/>
        </w:rPr>
      </w:pPr>
      <w:r>
        <w:rPr>
          <w:rFonts w:ascii="Arial" w:cs="Arial" w:eastAsia="Arial" w:hAnsi="Arial"/>
          <w:sz w:val="13"/>
          <w:szCs w:val="13"/>
          <w:color w:val="auto"/>
        </w:rPr>
        <w:t>At January 30, 2021, we have international minimum tax credit carryforwards with a potential tax benefit of $4 million and operating loss carryforwards with a potential tax benefit of $103 million, a portion of which will expire between 2021 and 2027 and a portion of which will never expire. We will have, when realized, a capital loss with a potential benefit of $1 million arising from a Canadian note receivable. The Canadian loss will carryforward indefinitely after realization. The international operating loss carryforwards do not include unrecognized tax benefits. We also have foreign tax credit carrybacks and carryforwards with a potential tax benefit of $12 million that will expire between 2021 and 2030.</w:t>
      </w:r>
    </w:p>
    <w:p>
      <w:pPr>
        <w:spacing w:after="0" w:line="369" w:lineRule="exact"/>
        <w:rPr>
          <w:sz w:val="20"/>
          <w:szCs w:val="20"/>
          <w:color w:val="auto"/>
        </w:rPr>
      </w:pPr>
    </w:p>
    <w:p>
      <w:pPr>
        <w:ind w:left="7520"/>
        <w:spacing w:after="0"/>
        <w:rPr>
          <w:sz w:val="20"/>
          <w:szCs w:val="20"/>
          <w:color w:val="auto"/>
        </w:rPr>
      </w:pPr>
      <w:r>
        <w:rPr>
          <w:rFonts w:ascii="Arial" w:cs="Arial" w:eastAsia="Arial" w:hAnsi="Arial"/>
          <w:sz w:val="12"/>
          <w:szCs w:val="12"/>
          <w:color w:val="auto"/>
        </w:rPr>
        <w:t>2020 Form 10-K Page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365125</wp:posOffset>
            </wp:positionV>
            <wp:extent cx="5680075" cy="196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80075" cy="19685"/>
                    </a:xfrm>
                    <a:prstGeom prst="rect">
                      <a:avLst/>
                    </a:prstGeom>
                    <a:noFill/>
                  </pic:spPr>
                </pic:pic>
              </a:graphicData>
            </a:graphic>
          </wp:anchor>
        </w:drawing>
      </w:r>
    </w:p>
    <w:p>
      <w:pPr>
        <w:sectPr>
          <w:pgSz w:w="11900" w:h="16838" w:orient="portrait"/>
          <w:cols w:equalWidth="0" w:num="1">
            <w:col w:w="9019"/>
          </w:cols>
          <w:pgMar w:left="1440" w:top="995" w:right="1440" w:bottom="1440" w:gutter="0" w:footer="0" w:header="0"/>
        </w:sectPr>
      </w:pPr>
    </w:p>
    <w:bookmarkStart w:id="63" w:name="page64"/>
    <w:bookmarkEnd w:id="63"/>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2992755</wp:posOffset>
            </wp:positionH>
            <wp:positionV relativeFrom="page">
              <wp:posOffset>375285</wp:posOffset>
            </wp:positionV>
            <wp:extent cx="1563370" cy="169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1563370" cy="169545"/>
                    </a:xfrm>
                    <a:prstGeom prst="rect">
                      <a:avLst/>
                    </a:prstGeom>
                    <a:noFill/>
                  </pic:spPr>
                </pic:pic>
              </a:graphicData>
            </a:graphic>
          </wp:anchor>
        </w:drawing>
        <w:t>NOTES TO CONSOLIDATED FINANCIAL STATEMENTS</w:t>
      </w:r>
    </w:p>
    <w:p>
      <w:pPr>
        <w:spacing w:after="0" w:line="159" w:lineRule="exact"/>
        <w:rPr>
          <w:sz w:val="20"/>
          <w:szCs w:val="20"/>
          <w:color w:val="auto"/>
        </w:rPr>
      </w:pPr>
    </w:p>
    <w:p>
      <w:pPr>
        <w:jc w:val="both"/>
        <w:ind w:left="20" w:right="39"/>
        <w:spacing w:after="0" w:line="235" w:lineRule="auto"/>
        <w:rPr>
          <w:sz w:val="20"/>
          <w:szCs w:val="20"/>
          <w:color w:val="auto"/>
        </w:rPr>
      </w:pPr>
      <w:r>
        <w:rPr>
          <w:rFonts w:ascii="Arial" w:cs="Arial" w:eastAsia="Arial" w:hAnsi="Arial"/>
          <w:sz w:val="13"/>
          <w:szCs w:val="13"/>
          <w:color w:val="auto"/>
        </w:rPr>
        <w:t>We operate in multiple taxing jurisdictions and are subject to audit. Audits can involve complex issues that may require an extended period of time to resolve. A taxing authority may challenge positions that we have adopted in our income tax filings. Accordingly, we may apply different tax treatments for transactions in filing its income tax returns than for income tax financial reporting. We regularly assess our tax positions for such transactions and record reserves for those differences.</w:t>
      </w:r>
    </w:p>
    <w:p>
      <w:pPr>
        <w:spacing w:after="0" w:line="81" w:lineRule="exact"/>
        <w:rPr>
          <w:sz w:val="20"/>
          <w:szCs w:val="20"/>
          <w:color w:val="auto"/>
        </w:rPr>
      </w:pPr>
    </w:p>
    <w:p>
      <w:pPr>
        <w:jc w:val="both"/>
        <w:ind w:left="20" w:right="39"/>
        <w:spacing w:after="0" w:line="235" w:lineRule="auto"/>
        <w:rPr>
          <w:sz w:val="20"/>
          <w:szCs w:val="20"/>
          <w:color w:val="auto"/>
        </w:rPr>
      </w:pPr>
      <w:r>
        <w:rPr>
          <w:rFonts w:ascii="Arial" w:cs="Arial" w:eastAsia="Arial" w:hAnsi="Arial"/>
          <w:sz w:val="13"/>
          <w:szCs w:val="13"/>
          <w:color w:val="auto"/>
        </w:rPr>
        <w:t>Our 2019 U.S. Federal income tax filing is under examination by the Internal Revenue Service. We expect to conclude the examination in the first quarter of 2021. We are participating in the IRS’s Compliance Assurance Process (“CAP”) for 2021 and 2020. The 2020 CAP is expected to conclude during 2021. We are subject to state and local tax examinations from 2017 to the present. To date, no adjustments have been proposed in any audits that will have a material effect on our financial position or results of operations.</w:t>
      </w:r>
    </w:p>
    <w:p>
      <w:pPr>
        <w:spacing w:after="0" w:line="81" w:lineRule="exact"/>
        <w:rPr>
          <w:sz w:val="20"/>
          <w:szCs w:val="20"/>
          <w:color w:val="auto"/>
        </w:rPr>
      </w:pPr>
    </w:p>
    <w:p>
      <w:pPr>
        <w:jc w:val="both"/>
        <w:ind w:left="20" w:right="39"/>
        <w:spacing w:after="0" w:line="234" w:lineRule="auto"/>
        <w:rPr>
          <w:sz w:val="20"/>
          <w:szCs w:val="20"/>
          <w:color w:val="auto"/>
        </w:rPr>
      </w:pPr>
      <w:r>
        <w:rPr>
          <w:rFonts w:ascii="Arial" w:cs="Arial" w:eastAsia="Arial" w:hAnsi="Arial"/>
          <w:sz w:val="13"/>
          <w:szCs w:val="13"/>
          <w:color w:val="auto"/>
        </w:rPr>
        <w:t>At January 30, 2021, we had $47 million of gross unrecognized tax benefits, of which $35 million would, if recognized, affect our annual effective tax rate. We classified certain income tax liabilities as current or noncurrent based on management’s estimate of when these liabilities will be settled. Interest expense and penalties related to unrecognized tax benefits are classified as income tax expense. We recognized $1 million of interest expense in both 2020 and 2019. Interest was not significant for 2018. The total amount of accrued interest and penalties was $3 million, $2 million, and $1 million in 2020, 2019, and 2018, respectively.</w:t>
      </w:r>
    </w:p>
    <w:p>
      <w:pPr>
        <w:spacing w:after="0" w:line="123" w:lineRule="exact"/>
        <w:rPr>
          <w:sz w:val="20"/>
          <w:szCs w:val="20"/>
          <w:color w:val="auto"/>
        </w:rPr>
      </w:pPr>
    </w:p>
    <w:p>
      <w:pPr>
        <w:ind w:left="20"/>
        <w:spacing w:after="0"/>
        <w:rPr>
          <w:sz w:val="20"/>
          <w:szCs w:val="20"/>
          <w:color w:val="auto"/>
        </w:rPr>
      </w:pPr>
      <w:r>
        <w:rPr>
          <w:rFonts w:ascii="Arial" w:cs="Arial" w:eastAsia="Arial" w:hAnsi="Arial"/>
          <w:sz w:val="13"/>
          <w:szCs w:val="13"/>
          <w:color w:val="auto"/>
        </w:rPr>
        <w:t>The following table summarizes the activity related to unrecognized tax benefits:</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3540" w:type="dxa"/>
            <w:vAlign w:val="bottom"/>
            <w:gridSpan w:val="2"/>
          </w:tcPr>
          <w:p>
            <w:pPr>
              <w:spacing w:after="0"/>
              <w:rPr>
                <w:sz w:val="20"/>
                <w:szCs w:val="20"/>
                <w:color w:val="auto"/>
              </w:rPr>
            </w:pPr>
            <w:r>
              <w:rPr>
                <w:rFonts w:ascii="Arial" w:cs="Arial" w:eastAsia="Arial" w:hAnsi="Arial"/>
                <w:sz w:val="13"/>
                <w:szCs w:val="13"/>
                <w:color w:val="auto"/>
              </w:rPr>
              <w:t>($ in millions)</w:t>
            </w:r>
          </w:p>
        </w:tc>
        <w:tc>
          <w:tcPr>
            <w:tcW w:w="1160" w:type="dxa"/>
            <w:vAlign w:val="bottom"/>
          </w:tcPr>
          <w:p>
            <w:pPr>
              <w:spacing w:after="0"/>
              <w:rPr>
                <w:sz w:val="14"/>
                <w:szCs w:val="14"/>
                <w:color w:val="auto"/>
              </w:rPr>
            </w:pPr>
          </w:p>
        </w:tc>
        <w:tc>
          <w:tcPr>
            <w:tcW w:w="1160" w:type="dxa"/>
            <w:vAlign w:val="bottom"/>
          </w:tcPr>
          <w:p>
            <w:pPr>
              <w:jc w:val="right"/>
              <w:ind w:right="575"/>
              <w:spacing w:after="0"/>
              <w:rPr>
                <w:sz w:val="20"/>
                <w:szCs w:val="20"/>
                <w:color w:val="auto"/>
              </w:rPr>
            </w:pPr>
            <w:r>
              <w:rPr>
                <w:rFonts w:ascii="Arial" w:cs="Arial" w:eastAsia="Arial" w:hAnsi="Arial"/>
                <w:sz w:val="13"/>
                <w:szCs w:val="13"/>
                <w:b w:val="1"/>
                <w:bCs w:val="1"/>
                <w:color w:val="auto"/>
              </w:rPr>
              <w:t>2020</w:t>
            </w:r>
          </w:p>
        </w:tc>
        <w:tc>
          <w:tcPr>
            <w:tcW w:w="420" w:type="dxa"/>
            <w:vAlign w:val="bottom"/>
          </w:tcPr>
          <w:p>
            <w:pPr>
              <w:spacing w:after="0"/>
              <w:rPr>
                <w:sz w:val="14"/>
                <w:szCs w:val="14"/>
                <w:color w:val="auto"/>
              </w:rPr>
            </w:pPr>
          </w:p>
        </w:tc>
        <w:tc>
          <w:tcPr>
            <w:tcW w:w="1180" w:type="dxa"/>
            <w:vAlign w:val="bottom"/>
          </w:tcPr>
          <w:p>
            <w:pPr>
              <w:jc w:val="right"/>
              <w:ind w:right="595"/>
              <w:spacing w:after="0"/>
              <w:rPr>
                <w:sz w:val="20"/>
                <w:szCs w:val="20"/>
                <w:color w:val="auto"/>
              </w:rPr>
            </w:pPr>
            <w:r>
              <w:rPr>
                <w:rFonts w:ascii="Arial" w:cs="Arial" w:eastAsia="Arial" w:hAnsi="Arial"/>
                <w:sz w:val="13"/>
                <w:szCs w:val="13"/>
                <w:color w:val="auto"/>
              </w:rPr>
              <w:t>2019</w:t>
            </w:r>
          </w:p>
        </w:tc>
        <w:tc>
          <w:tcPr>
            <w:tcW w:w="420" w:type="dxa"/>
            <w:vAlign w:val="bottom"/>
          </w:tcPr>
          <w:p>
            <w:pPr>
              <w:spacing w:after="0"/>
              <w:rPr>
                <w:sz w:val="14"/>
                <w:szCs w:val="14"/>
                <w:color w:val="auto"/>
              </w:rPr>
            </w:pPr>
          </w:p>
        </w:tc>
        <w:tc>
          <w:tcPr>
            <w:tcW w:w="1060" w:type="dxa"/>
            <w:vAlign w:val="bottom"/>
          </w:tcPr>
          <w:p>
            <w:pPr>
              <w:jc w:val="right"/>
              <w:ind w:right="475"/>
              <w:spacing w:after="0"/>
              <w:rPr>
                <w:sz w:val="20"/>
                <w:szCs w:val="20"/>
                <w:color w:val="auto"/>
              </w:rPr>
            </w:pPr>
            <w:r>
              <w:rPr>
                <w:rFonts w:ascii="Arial" w:cs="Arial" w:eastAsia="Arial" w:hAnsi="Arial"/>
                <w:sz w:val="13"/>
                <w:szCs w:val="13"/>
                <w:color w:val="auto"/>
              </w:rPr>
              <w:t>2018</w:t>
            </w:r>
          </w:p>
        </w:tc>
      </w:tr>
      <w:tr>
        <w:trPr>
          <w:trHeight w:val="134"/>
        </w:trPr>
        <w:tc>
          <w:tcPr>
            <w:tcW w:w="20" w:type="dxa"/>
            <w:vAlign w:val="bottom"/>
          </w:tcPr>
          <w:p>
            <w:pPr>
              <w:spacing w:after="0"/>
              <w:rPr>
                <w:sz w:val="11"/>
                <w:szCs w:val="11"/>
                <w:color w:val="auto"/>
              </w:rPr>
            </w:pPr>
          </w:p>
        </w:tc>
        <w:tc>
          <w:tcPr>
            <w:tcW w:w="3520" w:type="dxa"/>
            <w:vAlign w:val="bottom"/>
            <w:tcBorders>
              <w:top w:val="single" w:sz="8" w:color="auto"/>
            </w:tcBorders>
            <w:shd w:val="clear" w:color="auto" w:fill="CCEEFF"/>
          </w:tcPr>
          <w:p>
            <w:pPr>
              <w:spacing w:after="0" w:line="134" w:lineRule="exact"/>
              <w:rPr>
                <w:sz w:val="20"/>
                <w:szCs w:val="20"/>
                <w:color w:val="auto"/>
              </w:rPr>
            </w:pPr>
            <w:r>
              <w:rPr>
                <w:rFonts w:ascii="Arial" w:cs="Arial" w:eastAsia="Arial" w:hAnsi="Arial"/>
                <w:sz w:val="13"/>
                <w:szCs w:val="13"/>
                <w:color w:val="auto"/>
              </w:rPr>
              <w:t>Unrecognized tax benefits at beginning of year</w:t>
            </w:r>
          </w:p>
        </w:tc>
        <w:tc>
          <w:tcPr>
            <w:tcW w:w="1160" w:type="dxa"/>
            <w:vAlign w:val="bottom"/>
            <w:tcBorders>
              <w:top w:val="single" w:sz="8" w:color="auto"/>
            </w:tcBorders>
            <w:shd w:val="clear" w:color="auto" w:fill="CCEEFF"/>
          </w:tcPr>
          <w:p>
            <w:pPr>
              <w:jc w:val="right"/>
              <w:ind w:right="175"/>
              <w:spacing w:after="0" w:line="134" w:lineRule="exact"/>
              <w:rPr>
                <w:sz w:val="20"/>
                <w:szCs w:val="20"/>
                <w:color w:val="auto"/>
              </w:rPr>
            </w:pPr>
            <w:r>
              <w:rPr>
                <w:rFonts w:ascii="Arial" w:cs="Arial" w:eastAsia="Arial" w:hAnsi="Arial"/>
                <w:sz w:val="13"/>
                <w:szCs w:val="13"/>
                <w:b w:val="1"/>
                <w:bCs w:val="1"/>
                <w:color w:val="auto"/>
              </w:rPr>
              <w:t>$</w:t>
            </w:r>
          </w:p>
        </w:tc>
        <w:tc>
          <w:tcPr>
            <w:tcW w:w="1160" w:type="dxa"/>
            <w:vAlign w:val="bottom"/>
            <w:tcBorders>
              <w:top w:val="single" w:sz="8" w:color="auto"/>
            </w:tcBorders>
            <w:shd w:val="clear" w:color="auto" w:fill="CCEEFF"/>
          </w:tcPr>
          <w:p>
            <w:pPr>
              <w:jc w:val="right"/>
              <w:ind w:right="95"/>
              <w:spacing w:after="0" w:line="134" w:lineRule="exact"/>
              <w:rPr>
                <w:sz w:val="20"/>
                <w:szCs w:val="20"/>
                <w:color w:val="auto"/>
              </w:rPr>
            </w:pPr>
            <w:r>
              <w:rPr>
                <w:rFonts w:ascii="Arial" w:cs="Arial" w:eastAsia="Arial" w:hAnsi="Arial"/>
                <w:sz w:val="13"/>
                <w:szCs w:val="13"/>
                <w:b w:val="1"/>
                <w:bCs w:val="1"/>
                <w:color w:val="auto"/>
              </w:rPr>
              <w:t>45</w:t>
            </w:r>
          </w:p>
        </w:tc>
        <w:tc>
          <w:tcPr>
            <w:tcW w:w="420" w:type="dxa"/>
            <w:vAlign w:val="bottom"/>
            <w:tcBorders>
              <w:top w:val="single" w:sz="8" w:color="auto"/>
            </w:tcBorders>
            <w:shd w:val="clear" w:color="auto" w:fill="CCEEFF"/>
          </w:tcPr>
          <w:p>
            <w:pPr>
              <w:jc w:val="right"/>
              <w:ind w:right="155"/>
              <w:spacing w:after="0" w:line="134" w:lineRule="exact"/>
              <w:rPr>
                <w:sz w:val="20"/>
                <w:szCs w:val="20"/>
                <w:color w:val="auto"/>
              </w:rPr>
            </w:pPr>
            <w:r>
              <w:rPr>
                <w:rFonts w:ascii="Arial" w:cs="Arial" w:eastAsia="Arial" w:hAnsi="Arial"/>
                <w:sz w:val="13"/>
                <w:szCs w:val="13"/>
                <w:color w:val="auto"/>
              </w:rPr>
              <w:t>$</w:t>
            </w:r>
          </w:p>
        </w:tc>
        <w:tc>
          <w:tcPr>
            <w:tcW w:w="1180" w:type="dxa"/>
            <w:vAlign w:val="bottom"/>
            <w:tcBorders>
              <w:top w:val="single" w:sz="8" w:color="auto"/>
            </w:tcBorders>
            <w:shd w:val="clear" w:color="auto" w:fill="CCEEFF"/>
          </w:tcPr>
          <w:p>
            <w:pPr>
              <w:jc w:val="right"/>
              <w:ind w:right="95"/>
              <w:spacing w:after="0" w:line="134" w:lineRule="exact"/>
              <w:rPr>
                <w:sz w:val="20"/>
                <w:szCs w:val="20"/>
                <w:color w:val="auto"/>
              </w:rPr>
            </w:pPr>
            <w:r>
              <w:rPr>
                <w:rFonts w:ascii="Arial" w:cs="Arial" w:eastAsia="Arial" w:hAnsi="Arial"/>
                <w:sz w:val="13"/>
                <w:szCs w:val="13"/>
                <w:color w:val="auto"/>
              </w:rPr>
              <w:t>34</w:t>
            </w:r>
          </w:p>
        </w:tc>
        <w:tc>
          <w:tcPr>
            <w:tcW w:w="420" w:type="dxa"/>
            <w:vAlign w:val="bottom"/>
            <w:tcBorders>
              <w:top w:val="single" w:sz="8" w:color="auto"/>
            </w:tcBorders>
            <w:shd w:val="clear" w:color="auto" w:fill="CCEEFF"/>
          </w:tcPr>
          <w:p>
            <w:pPr>
              <w:jc w:val="right"/>
              <w:ind w:right="175"/>
              <w:spacing w:after="0" w:line="134" w:lineRule="exact"/>
              <w:rPr>
                <w:sz w:val="20"/>
                <w:szCs w:val="20"/>
                <w:color w:val="auto"/>
              </w:rPr>
            </w:pPr>
            <w:r>
              <w:rPr>
                <w:rFonts w:ascii="Arial" w:cs="Arial" w:eastAsia="Arial" w:hAnsi="Arial"/>
                <w:sz w:val="13"/>
                <w:szCs w:val="13"/>
                <w:color w:val="auto"/>
              </w:rPr>
              <w:t>$</w:t>
            </w:r>
          </w:p>
        </w:tc>
        <w:tc>
          <w:tcPr>
            <w:tcW w:w="106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44</w:t>
            </w:r>
          </w:p>
        </w:tc>
      </w:tr>
      <w:tr>
        <w:trPr>
          <w:trHeight w:val="144"/>
        </w:trPr>
        <w:tc>
          <w:tcPr>
            <w:tcW w:w="20" w:type="dxa"/>
            <w:vAlign w:val="bottom"/>
          </w:tcPr>
          <w:p>
            <w:pPr>
              <w:spacing w:after="0"/>
              <w:rPr>
                <w:sz w:val="12"/>
                <w:szCs w:val="12"/>
                <w:color w:val="auto"/>
              </w:rPr>
            </w:pPr>
          </w:p>
        </w:tc>
        <w:tc>
          <w:tcPr>
            <w:tcW w:w="3520" w:type="dxa"/>
            <w:vAlign w:val="bottom"/>
          </w:tcPr>
          <w:p>
            <w:pPr>
              <w:spacing w:after="0" w:line="144" w:lineRule="exact"/>
              <w:rPr>
                <w:sz w:val="20"/>
                <w:szCs w:val="20"/>
                <w:color w:val="auto"/>
              </w:rPr>
            </w:pPr>
            <w:r>
              <w:rPr>
                <w:rFonts w:ascii="Arial" w:cs="Arial" w:eastAsia="Arial" w:hAnsi="Arial"/>
                <w:sz w:val="13"/>
                <w:szCs w:val="13"/>
                <w:color w:val="auto"/>
              </w:rPr>
              <w:t>Foreign currency translation adjustments</w:t>
            </w:r>
          </w:p>
        </w:tc>
        <w:tc>
          <w:tcPr>
            <w:tcW w:w="1160" w:type="dxa"/>
            <w:vAlign w:val="bottom"/>
          </w:tcPr>
          <w:p>
            <w:pPr>
              <w:spacing w:after="0"/>
              <w:rPr>
                <w:sz w:val="12"/>
                <w:szCs w:val="12"/>
                <w:color w:val="auto"/>
              </w:rPr>
            </w:pPr>
          </w:p>
        </w:tc>
        <w:tc>
          <w:tcPr>
            <w:tcW w:w="1160" w:type="dxa"/>
            <w:vAlign w:val="bottom"/>
          </w:tcPr>
          <w:p>
            <w:pPr>
              <w:jc w:val="right"/>
              <w:ind w:right="95"/>
              <w:spacing w:after="0" w:line="144" w:lineRule="exact"/>
              <w:rPr>
                <w:sz w:val="20"/>
                <w:szCs w:val="20"/>
                <w:color w:val="auto"/>
              </w:rPr>
            </w:pPr>
            <w:r>
              <w:rPr>
                <w:rFonts w:ascii="Arial" w:cs="Arial" w:eastAsia="Arial" w:hAnsi="Arial"/>
                <w:sz w:val="13"/>
                <w:szCs w:val="13"/>
                <w:b w:val="1"/>
                <w:bCs w:val="1"/>
                <w:color w:val="auto"/>
              </w:rPr>
              <w:t>3</w:t>
            </w:r>
          </w:p>
        </w:tc>
        <w:tc>
          <w:tcPr>
            <w:tcW w:w="420" w:type="dxa"/>
            <w:vAlign w:val="bottom"/>
          </w:tcPr>
          <w:p>
            <w:pPr>
              <w:spacing w:after="0"/>
              <w:rPr>
                <w:sz w:val="12"/>
                <w:szCs w:val="12"/>
                <w:color w:val="auto"/>
              </w:rPr>
            </w:pPr>
          </w:p>
        </w:tc>
        <w:tc>
          <w:tcPr>
            <w:tcW w:w="1180" w:type="dxa"/>
            <w:vAlign w:val="bottom"/>
          </w:tcPr>
          <w:p>
            <w:pPr>
              <w:jc w:val="right"/>
              <w:ind w:right="55"/>
              <w:spacing w:after="0" w:line="144" w:lineRule="exact"/>
              <w:rPr>
                <w:sz w:val="20"/>
                <w:szCs w:val="20"/>
                <w:color w:val="auto"/>
              </w:rPr>
            </w:pPr>
            <w:r>
              <w:rPr>
                <w:rFonts w:ascii="Arial" w:cs="Arial" w:eastAsia="Arial" w:hAnsi="Arial"/>
                <w:sz w:val="13"/>
                <w:szCs w:val="13"/>
                <w:color w:val="auto"/>
              </w:rPr>
              <w:t>(1)</w:t>
            </w:r>
          </w:p>
        </w:tc>
        <w:tc>
          <w:tcPr>
            <w:tcW w:w="420" w:type="dxa"/>
            <w:vAlign w:val="bottom"/>
          </w:tcPr>
          <w:p>
            <w:pPr>
              <w:spacing w:after="0"/>
              <w:rPr>
                <w:sz w:val="12"/>
                <w:szCs w:val="12"/>
                <w:color w:val="auto"/>
              </w:rPr>
            </w:pPr>
          </w:p>
        </w:tc>
        <w:tc>
          <w:tcPr>
            <w:tcW w:w="1060" w:type="dxa"/>
            <w:vAlign w:val="bottom"/>
          </w:tcPr>
          <w:p>
            <w:pPr>
              <w:jc w:val="right"/>
              <w:spacing w:after="0" w:line="144" w:lineRule="exact"/>
              <w:rPr>
                <w:sz w:val="20"/>
                <w:szCs w:val="20"/>
                <w:color w:val="auto"/>
              </w:rPr>
            </w:pPr>
            <w:r>
              <w:rPr>
                <w:rFonts w:ascii="Arial" w:cs="Arial" w:eastAsia="Arial" w:hAnsi="Arial"/>
                <w:sz w:val="13"/>
                <w:szCs w:val="13"/>
                <w:color w:val="auto"/>
              </w:rPr>
              <w:t>(3)</w:t>
            </w:r>
          </w:p>
        </w:tc>
      </w:tr>
      <w:tr>
        <w:trPr>
          <w:trHeight w:val="144"/>
        </w:trPr>
        <w:tc>
          <w:tcPr>
            <w:tcW w:w="20" w:type="dxa"/>
            <w:vAlign w:val="bottom"/>
          </w:tcPr>
          <w:p>
            <w:pPr>
              <w:spacing w:after="0"/>
              <w:rPr>
                <w:sz w:val="12"/>
                <w:szCs w:val="12"/>
                <w:color w:val="auto"/>
              </w:rPr>
            </w:pPr>
          </w:p>
        </w:tc>
        <w:tc>
          <w:tcPr>
            <w:tcW w:w="35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Increases related to current year tax positions</w:t>
            </w:r>
          </w:p>
        </w:tc>
        <w:tc>
          <w:tcPr>
            <w:tcW w:w="116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95"/>
              <w:spacing w:after="0" w:line="144" w:lineRule="exact"/>
              <w:rPr>
                <w:sz w:val="20"/>
                <w:szCs w:val="20"/>
                <w:color w:val="auto"/>
              </w:rPr>
            </w:pPr>
            <w:r>
              <w:rPr>
                <w:rFonts w:ascii="Arial" w:cs="Arial" w:eastAsia="Arial" w:hAnsi="Arial"/>
                <w:sz w:val="13"/>
                <w:szCs w:val="13"/>
                <w:b w:val="1"/>
                <w:bCs w:val="1"/>
                <w:color w:val="auto"/>
              </w:rPr>
              <w:t>2</w:t>
            </w:r>
          </w:p>
        </w:tc>
        <w:tc>
          <w:tcPr>
            <w:tcW w:w="42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95"/>
              <w:spacing w:after="0" w:line="144" w:lineRule="exact"/>
              <w:rPr>
                <w:sz w:val="20"/>
                <w:szCs w:val="20"/>
                <w:color w:val="auto"/>
              </w:rPr>
            </w:pPr>
            <w:r>
              <w:rPr>
                <w:rFonts w:ascii="Arial" w:cs="Arial" w:eastAsia="Arial" w:hAnsi="Arial"/>
                <w:sz w:val="13"/>
                <w:szCs w:val="13"/>
                <w:color w:val="auto"/>
              </w:rPr>
              <w:t>3</w:t>
            </w:r>
          </w:p>
        </w:tc>
        <w:tc>
          <w:tcPr>
            <w:tcW w:w="4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w:t>
            </w:r>
          </w:p>
        </w:tc>
      </w:tr>
      <w:tr>
        <w:trPr>
          <w:trHeight w:val="144"/>
        </w:trPr>
        <w:tc>
          <w:tcPr>
            <w:tcW w:w="20" w:type="dxa"/>
            <w:vAlign w:val="bottom"/>
          </w:tcPr>
          <w:p>
            <w:pPr>
              <w:spacing w:after="0"/>
              <w:rPr>
                <w:sz w:val="12"/>
                <w:szCs w:val="12"/>
                <w:color w:val="auto"/>
              </w:rPr>
            </w:pPr>
          </w:p>
        </w:tc>
        <w:tc>
          <w:tcPr>
            <w:tcW w:w="3520" w:type="dxa"/>
            <w:vAlign w:val="bottom"/>
          </w:tcPr>
          <w:p>
            <w:pPr>
              <w:spacing w:after="0" w:line="144" w:lineRule="exact"/>
              <w:rPr>
                <w:sz w:val="20"/>
                <w:szCs w:val="20"/>
                <w:color w:val="auto"/>
              </w:rPr>
            </w:pPr>
            <w:r>
              <w:rPr>
                <w:rFonts w:ascii="Arial" w:cs="Arial" w:eastAsia="Arial" w:hAnsi="Arial"/>
                <w:sz w:val="13"/>
                <w:szCs w:val="13"/>
                <w:color w:val="auto"/>
              </w:rPr>
              <w:t>Increases related to prior period tax positions</w:t>
            </w:r>
          </w:p>
        </w:tc>
        <w:tc>
          <w:tcPr>
            <w:tcW w:w="1160" w:type="dxa"/>
            <w:vAlign w:val="bottom"/>
          </w:tcPr>
          <w:p>
            <w:pPr>
              <w:spacing w:after="0"/>
              <w:rPr>
                <w:sz w:val="12"/>
                <w:szCs w:val="12"/>
                <w:color w:val="auto"/>
              </w:rPr>
            </w:pPr>
          </w:p>
        </w:tc>
        <w:tc>
          <w:tcPr>
            <w:tcW w:w="1160" w:type="dxa"/>
            <w:vAlign w:val="bottom"/>
          </w:tcPr>
          <w:p>
            <w:pPr>
              <w:jc w:val="right"/>
              <w:ind w:right="95"/>
              <w:spacing w:after="0" w:line="144" w:lineRule="exact"/>
              <w:rPr>
                <w:sz w:val="20"/>
                <w:szCs w:val="20"/>
                <w:color w:val="auto"/>
              </w:rPr>
            </w:pPr>
            <w:r>
              <w:rPr>
                <w:rFonts w:ascii="Arial" w:cs="Arial" w:eastAsia="Arial" w:hAnsi="Arial"/>
                <w:sz w:val="13"/>
                <w:szCs w:val="13"/>
                <w:b w:val="1"/>
                <w:bCs w:val="1"/>
                <w:color w:val="auto"/>
              </w:rPr>
              <w:t>3</w:t>
            </w:r>
          </w:p>
        </w:tc>
        <w:tc>
          <w:tcPr>
            <w:tcW w:w="420" w:type="dxa"/>
            <w:vAlign w:val="bottom"/>
          </w:tcPr>
          <w:p>
            <w:pPr>
              <w:spacing w:after="0"/>
              <w:rPr>
                <w:sz w:val="12"/>
                <w:szCs w:val="12"/>
                <w:color w:val="auto"/>
              </w:rPr>
            </w:pPr>
          </w:p>
        </w:tc>
        <w:tc>
          <w:tcPr>
            <w:tcW w:w="1180" w:type="dxa"/>
            <w:vAlign w:val="bottom"/>
          </w:tcPr>
          <w:p>
            <w:pPr>
              <w:jc w:val="right"/>
              <w:ind w:right="95"/>
              <w:spacing w:after="0" w:line="144" w:lineRule="exact"/>
              <w:rPr>
                <w:sz w:val="20"/>
                <w:szCs w:val="20"/>
                <w:color w:val="auto"/>
              </w:rPr>
            </w:pPr>
            <w:r>
              <w:rPr>
                <w:rFonts w:ascii="Arial" w:cs="Arial" w:eastAsia="Arial" w:hAnsi="Arial"/>
                <w:sz w:val="13"/>
                <w:szCs w:val="13"/>
                <w:color w:val="auto"/>
              </w:rPr>
              <w:t>12</w:t>
            </w:r>
          </w:p>
        </w:tc>
        <w:tc>
          <w:tcPr>
            <w:tcW w:w="420" w:type="dxa"/>
            <w:vAlign w:val="bottom"/>
          </w:tcPr>
          <w:p>
            <w:pPr>
              <w:spacing w:after="0"/>
              <w:rPr>
                <w:sz w:val="12"/>
                <w:szCs w:val="12"/>
                <w:color w:val="auto"/>
              </w:rPr>
            </w:pPr>
          </w:p>
        </w:tc>
        <w:tc>
          <w:tcPr>
            <w:tcW w:w="1060" w:type="dxa"/>
            <w:vAlign w:val="bottom"/>
          </w:tcPr>
          <w:p>
            <w:pPr>
              <w:jc w:val="right"/>
              <w:spacing w:after="0" w:line="144" w:lineRule="exact"/>
              <w:rPr>
                <w:sz w:val="20"/>
                <w:szCs w:val="20"/>
                <w:color w:val="auto"/>
              </w:rPr>
            </w:pPr>
            <w:r>
              <w:rPr>
                <w:rFonts w:ascii="Arial" w:cs="Arial" w:eastAsia="Arial" w:hAnsi="Arial"/>
                <w:sz w:val="13"/>
                <w:szCs w:val="13"/>
                <w:color w:val="auto"/>
              </w:rPr>
              <w:t>9</w:t>
            </w:r>
          </w:p>
        </w:tc>
      </w:tr>
      <w:tr>
        <w:trPr>
          <w:trHeight w:val="144"/>
        </w:trPr>
        <w:tc>
          <w:tcPr>
            <w:tcW w:w="20" w:type="dxa"/>
            <w:vAlign w:val="bottom"/>
          </w:tcPr>
          <w:p>
            <w:pPr>
              <w:spacing w:after="0"/>
              <w:rPr>
                <w:sz w:val="12"/>
                <w:szCs w:val="12"/>
                <w:color w:val="auto"/>
              </w:rPr>
            </w:pPr>
          </w:p>
        </w:tc>
        <w:tc>
          <w:tcPr>
            <w:tcW w:w="35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Decreases related to prior period tax positions</w:t>
            </w:r>
          </w:p>
        </w:tc>
        <w:tc>
          <w:tcPr>
            <w:tcW w:w="116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95"/>
              <w:spacing w:after="0" w:line="144" w:lineRule="exact"/>
              <w:rPr>
                <w:sz w:val="20"/>
                <w:szCs w:val="20"/>
                <w:color w:val="auto"/>
              </w:rPr>
            </w:pPr>
            <w:r>
              <w:rPr>
                <w:rFonts w:ascii="Arial" w:cs="Arial" w:eastAsia="Arial" w:hAnsi="Arial"/>
                <w:sz w:val="13"/>
                <w:szCs w:val="13"/>
                <w:b w:val="1"/>
                <w:bCs w:val="1"/>
                <w:color w:val="auto"/>
              </w:rPr>
              <w:t>—</w:t>
            </w:r>
          </w:p>
        </w:tc>
        <w:tc>
          <w:tcPr>
            <w:tcW w:w="420" w:type="dxa"/>
            <w:vAlign w:val="bottom"/>
            <w:shd w:val="clear" w:color="auto" w:fill="CCEEFF"/>
          </w:tcPr>
          <w:p>
            <w:pPr>
              <w:spacing w:after="0"/>
              <w:rPr>
                <w:sz w:val="12"/>
                <w:szCs w:val="12"/>
                <w:color w:val="auto"/>
              </w:rPr>
            </w:pPr>
          </w:p>
        </w:tc>
        <w:tc>
          <w:tcPr>
            <w:tcW w:w="1180" w:type="dxa"/>
            <w:vAlign w:val="bottom"/>
            <w:shd w:val="clear" w:color="auto" w:fill="CCEEFF"/>
          </w:tcPr>
          <w:p>
            <w:pPr>
              <w:jc w:val="right"/>
              <w:ind w:right="95"/>
              <w:spacing w:after="0" w:line="144"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(13)</w:t>
            </w:r>
          </w:p>
        </w:tc>
      </w:tr>
      <w:tr>
        <w:trPr>
          <w:trHeight w:val="144"/>
        </w:trPr>
        <w:tc>
          <w:tcPr>
            <w:tcW w:w="20" w:type="dxa"/>
            <w:vAlign w:val="bottom"/>
          </w:tcPr>
          <w:p>
            <w:pPr>
              <w:spacing w:after="0"/>
              <w:rPr>
                <w:sz w:val="12"/>
                <w:szCs w:val="12"/>
                <w:color w:val="auto"/>
              </w:rPr>
            </w:pPr>
          </w:p>
        </w:tc>
        <w:tc>
          <w:tcPr>
            <w:tcW w:w="3520" w:type="dxa"/>
            <w:vAlign w:val="bottom"/>
          </w:tcPr>
          <w:p>
            <w:pPr>
              <w:spacing w:after="0" w:line="144" w:lineRule="exact"/>
              <w:rPr>
                <w:sz w:val="20"/>
                <w:szCs w:val="20"/>
                <w:color w:val="auto"/>
              </w:rPr>
            </w:pPr>
            <w:r>
              <w:rPr>
                <w:rFonts w:ascii="Arial" w:cs="Arial" w:eastAsia="Arial" w:hAnsi="Arial"/>
                <w:sz w:val="13"/>
                <w:szCs w:val="13"/>
                <w:color w:val="auto"/>
              </w:rPr>
              <w:t>Settlements</w:t>
            </w:r>
          </w:p>
        </w:tc>
        <w:tc>
          <w:tcPr>
            <w:tcW w:w="1160" w:type="dxa"/>
            <w:vAlign w:val="bottom"/>
          </w:tcPr>
          <w:p>
            <w:pPr>
              <w:spacing w:after="0"/>
              <w:rPr>
                <w:sz w:val="12"/>
                <w:szCs w:val="12"/>
                <w:color w:val="auto"/>
              </w:rPr>
            </w:pPr>
          </w:p>
        </w:tc>
        <w:tc>
          <w:tcPr>
            <w:tcW w:w="1160" w:type="dxa"/>
            <w:vAlign w:val="bottom"/>
          </w:tcPr>
          <w:p>
            <w:pPr>
              <w:jc w:val="right"/>
              <w:ind w:right="55"/>
              <w:spacing w:after="0" w:line="144" w:lineRule="exact"/>
              <w:rPr>
                <w:sz w:val="20"/>
                <w:szCs w:val="20"/>
                <w:color w:val="auto"/>
              </w:rPr>
            </w:pPr>
            <w:r>
              <w:rPr>
                <w:rFonts w:ascii="Arial" w:cs="Arial" w:eastAsia="Arial" w:hAnsi="Arial"/>
                <w:sz w:val="13"/>
                <w:szCs w:val="13"/>
                <w:b w:val="1"/>
                <w:bCs w:val="1"/>
                <w:color w:val="auto"/>
              </w:rPr>
              <w:t>(1)</w:t>
            </w:r>
          </w:p>
        </w:tc>
        <w:tc>
          <w:tcPr>
            <w:tcW w:w="420" w:type="dxa"/>
            <w:vAlign w:val="bottom"/>
          </w:tcPr>
          <w:p>
            <w:pPr>
              <w:spacing w:after="0"/>
              <w:rPr>
                <w:sz w:val="12"/>
                <w:szCs w:val="12"/>
                <w:color w:val="auto"/>
              </w:rPr>
            </w:pPr>
          </w:p>
        </w:tc>
        <w:tc>
          <w:tcPr>
            <w:tcW w:w="1180" w:type="dxa"/>
            <w:vAlign w:val="bottom"/>
          </w:tcPr>
          <w:p>
            <w:pPr>
              <w:jc w:val="right"/>
              <w:ind w:right="55"/>
              <w:spacing w:after="0" w:line="144" w:lineRule="exact"/>
              <w:rPr>
                <w:sz w:val="20"/>
                <w:szCs w:val="20"/>
                <w:color w:val="auto"/>
              </w:rPr>
            </w:pPr>
            <w:r>
              <w:rPr>
                <w:rFonts w:ascii="Arial" w:cs="Arial" w:eastAsia="Arial" w:hAnsi="Arial"/>
                <w:sz w:val="13"/>
                <w:szCs w:val="13"/>
                <w:color w:val="auto"/>
              </w:rPr>
              <w:t>(2)</w:t>
            </w:r>
          </w:p>
        </w:tc>
        <w:tc>
          <w:tcPr>
            <w:tcW w:w="420" w:type="dxa"/>
            <w:vAlign w:val="bottom"/>
          </w:tcPr>
          <w:p>
            <w:pPr>
              <w:spacing w:after="0"/>
              <w:rPr>
                <w:sz w:val="12"/>
                <w:szCs w:val="12"/>
                <w:color w:val="auto"/>
              </w:rPr>
            </w:pPr>
          </w:p>
        </w:tc>
        <w:tc>
          <w:tcPr>
            <w:tcW w:w="1060" w:type="dxa"/>
            <w:vAlign w:val="bottom"/>
          </w:tcPr>
          <w:p>
            <w:pPr>
              <w:jc w:val="right"/>
              <w:spacing w:after="0" w:line="144" w:lineRule="exact"/>
              <w:rPr>
                <w:sz w:val="20"/>
                <w:szCs w:val="20"/>
                <w:color w:val="auto"/>
              </w:rPr>
            </w:pPr>
            <w:r>
              <w:rPr>
                <w:rFonts w:ascii="Arial" w:cs="Arial" w:eastAsia="Arial" w:hAnsi="Arial"/>
                <w:sz w:val="13"/>
                <w:szCs w:val="13"/>
                <w:color w:val="auto"/>
              </w:rPr>
              <w:t>(3)</w:t>
            </w:r>
          </w:p>
        </w:tc>
      </w:tr>
      <w:tr>
        <w:trPr>
          <w:trHeight w:val="144"/>
        </w:trPr>
        <w:tc>
          <w:tcPr>
            <w:tcW w:w="20" w:type="dxa"/>
            <w:vAlign w:val="bottom"/>
          </w:tcPr>
          <w:p>
            <w:pPr>
              <w:spacing w:after="0"/>
              <w:rPr>
                <w:sz w:val="12"/>
                <w:szCs w:val="12"/>
                <w:color w:val="auto"/>
              </w:rPr>
            </w:pPr>
          </w:p>
        </w:tc>
        <w:tc>
          <w:tcPr>
            <w:tcW w:w="3520" w:type="dxa"/>
            <w:vAlign w:val="bottom"/>
            <w:tcBorders>
              <w:bottom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rPr>
              <w:t>Lapse of statute of limitations</w:t>
            </w:r>
          </w:p>
        </w:tc>
        <w:tc>
          <w:tcPr>
            <w:tcW w:w="116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ind w:right="55"/>
              <w:spacing w:after="0" w:line="144" w:lineRule="exact"/>
              <w:rPr>
                <w:sz w:val="20"/>
                <w:szCs w:val="20"/>
                <w:color w:val="auto"/>
              </w:rPr>
            </w:pPr>
            <w:r>
              <w:rPr>
                <w:rFonts w:ascii="Arial" w:cs="Arial" w:eastAsia="Arial" w:hAnsi="Arial"/>
                <w:sz w:val="13"/>
                <w:szCs w:val="13"/>
                <w:b w:val="1"/>
                <w:bCs w:val="1"/>
                <w:color w:val="auto"/>
              </w:rPr>
              <w:t>(5)</w:t>
            </w:r>
          </w:p>
        </w:tc>
        <w:tc>
          <w:tcPr>
            <w:tcW w:w="420" w:type="dxa"/>
            <w:vAlign w:val="bottom"/>
            <w:tcBorders>
              <w:bottom w:val="single" w:sz="8" w:color="auto"/>
            </w:tcBorders>
            <w:shd w:val="clear" w:color="auto" w:fill="CCEEFF"/>
          </w:tcPr>
          <w:p>
            <w:pPr>
              <w:spacing w:after="0"/>
              <w:rPr>
                <w:sz w:val="12"/>
                <w:szCs w:val="12"/>
                <w:color w:val="auto"/>
              </w:rPr>
            </w:pPr>
          </w:p>
        </w:tc>
        <w:tc>
          <w:tcPr>
            <w:tcW w:w="1180" w:type="dxa"/>
            <w:vAlign w:val="bottom"/>
            <w:tcBorders>
              <w:bottom w:val="single" w:sz="8" w:color="auto"/>
            </w:tcBorders>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(1)</w:t>
            </w:r>
          </w:p>
        </w:tc>
        <w:tc>
          <w:tcPr>
            <w:tcW w:w="42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(2)</w:t>
            </w:r>
          </w:p>
        </w:tc>
      </w:tr>
      <w:tr>
        <w:trPr>
          <w:trHeight w:val="134"/>
        </w:trPr>
        <w:tc>
          <w:tcPr>
            <w:tcW w:w="20" w:type="dxa"/>
            <w:vAlign w:val="bottom"/>
            <w:tcBorders>
              <w:bottom w:val="single" w:sz="8" w:color="auto"/>
            </w:tcBorders>
          </w:tcPr>
          <w:p>
            <w:pPr>
              <w:spacing w:after="0"/>
              <w:rPr>
                <w:sz w:val="11"/>
                <w:szCs w:val="11"/>
                <w:color w:val="auto"/>
              </w:rPr>
            </w:pPr>
          </w:p>
        </w:tc>
        <w:tc>
          <w:tcPr>
            <w:tcW w:w="3520" w:type="dxa"/>
            <w:vAlign w:val="bottom"/>
            <w:tcBorders>
              <w:bottom w:val="single" w:sz="8" w:color="auto"/>
            </w:tcBorders>
          </w:tcPr>
          <w:p>
            <w:pPr>
              <w:spacing w:after="0" w:line="134" w:lineRule="exact"/>
              <w:rPr>
                <w:sz w:val="20"/>
                <w:szCs w:val="20"/>
                <w:color w:val="auto"/>
              </w:rPr>
            </w:pPr>
            <w:r>
              <w:rPr>
                <w:rFonts w:ascii="Arial" w:cs="Arial" w:eastAsia="Arial" w:hAnsi="Arial"/>
                <w:sz w:val="13"/>
                <w:szCs w:val="13"/>
                <w:color w:val="auto"/>
              </w:rPr>
              <w:t>Unrecognized tax benefits at end of year</w:t>
            </w:r>
          </w:p>
        </w:tc>
        <w:tc>
          <w:tcPr>
            <w:tcW w:w="1160" w:type="dxa"/>
            <w:vAlign w:val="bottom"/>
            <w:tcBorders>
              <w:bottom w:val="single" w:sz="8" w:color="auto"/>
            </w:tcBorders>
          </w:tcPr>
          <w:p>
            <w:pPr>
              <w:jc w:val="right"/>
              <w:ind w:right="175"/>
              <w:spacing w:after="0" w:line="134" w:lineRule="exact"/>
              <w:rPr>
                <w:sz w:val="20"/>
                <w:szCs w:val="20"/>
                <w:color w:val="auto"/>
              </w:rPr>
            </w:pPr>
            <w:r>
              <w:rPr>
                <w:rFonts w:ascii="Arial" w:cs="Arial" w:eastAsia="Arial" w:hAnsi="Arial"/>
                <w:sz w:val="13"/>
                <w:szCs w:val="13"/>
                <w:b w:val="1"/>
                <w:bCs w:val="1"/>
                <w:color w:val="auto"/>
              </w:rPr>
              <w:t>$</w:t>
            </w:r>
          </w:p>
        </w:tc>
        <w:tc>
          <w:tcPr>
            <w:tcW w:w="1160" w:type="dxa"/>
            <w:vAlign w:val="bottom"/>
            <w:tcBorders>
              <w:bottom w:val="single" w:sz="8" w:color="auto"/>
            </w:tcBorders>
          </w:tcPr>
          <w:p>
            <w:pPr>
              <w:jc w:val="right"/>
              <w:ind w:right="95"/>
              <w:spacing w:after="0" w:line="134" w:lineRule="exact"/>
              <w:rPr>
                <w:sz w:val="20"/>
                <w:szCs w:val="20"/>
                <w:color w:val="auto"/>
              </w:rPr>
            </w:pPr>
            <w:r>
              <w:rPr>
                <w:rFonts w:ascii="Arial" w:cs="Arial" w:eastAsia="Arial" w:hAnsi="Arial"/>
                <w:sz w:val="13"/>
                <w:szCs w:val="13"/>
                <w:b w:val="1"/>
                <w:bCs w:val="1"/>
                <w:color w:val="auto"/>
              </w:rPr>
              <w:t>47</w:t>
            </w:r>
          </w:p>
        </w:tc>
        <w:tc>
          <w:tcPr>
            <w:tcW w:w="420" w:type="dxa"/>
            <w:vAlign w:val="bottom"/>
            <w:tcBorders>
              <w:bottom w:val="single" w:sz="8" w:color="auto"/>
            </w:tcBorders>
          </w:tcPr>
          <w:p>
            <w:pPr>
              <w:jc w:val="right"/>
              <w:ind w:right="155"/>
              <w:spacing w:after="0" w:line="134" w:lineRule="exact"/>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95"/>
              <w:spacing w:after="0" w:line="134" w:lineRule="exact"/>
              <w:rPr>
                <w:sz w:val="20"/>
                <w:szCs w:val="20"/>
                <w:color w:val="auto"/>
              </w:rPr>
            </w:pPr>
            <w:r>
              <w:rPr>
                <w:rFonts w:ascii="Arial" w:cs="Arial" w:eastAsia="Arial" w:hAnsi="Arial"/>
                <w:sz w:val="13"/>
                <w:szCs w:val="13"/>
                <w:color w:val="auto"/>
              </w:rPr>
              <w:t>45</w:t>
            </w:r>
          </w:p>
        </w:tc>
        <w:tc>
          <w:tcPr>
            <w:tcW w:w="420" w:type="dxa"/>
            <w:vAlign w:val="bottom"/>
            <w:tcBorders>
              <w:bottom w:val="single" w:sz="8" w:color="auto"/>
            </w:tcBorders>
          </w:tcPr>
          <w:p>
            <w:pPr>
              <w:jc w:val="right"/>
              <w:ind w:right="175"/>
              <w:spacing w:after="0" w:line="134"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34</w:t>
            </w:r>
          </w:p>
        </w:tc>
      </w:tr>
      <w:tr>
        <w:trPr>
          <w:trHeight w:val="20"/>
        </w:trPr>
        <w:tc>
          <w:tcPr>
            <w:tcW w:w="20" w:type="dxa"/>
            <w:vAlign w:val="bottom"/>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jc w:val="both"/>
        <w:ind w:left="20" w:right="39"/>
        <w:spacing w:after="0" w:line="234" w:lineRule="auto"/>
        <w:rPr>
          <w:sz w:val="20"/>
          <w:szCs w:val="20"/>
          <w:color w:val="auto"/>
        </w:rPr>
      </w:pPr>
      <w:r>
        <w:rPr>
          <w:rFonts w:ascii="Arial" w:cs="Arial" w:eastAsia="Arial" w:hAnsi="Arial"/>
          <w:sz w:val="13"/>
          <w:szCs w:val="13"/>
          <w:color w:val="auto"/>
        </w:rPr>
        <w:t>It is reasonably possible that the liability associated with our unrecognized tax benefits will increase or decrease within the next twelve months. These changes may be the result of foreign currency fluctuations, ongoing audits, or the expiration of statutes of limitations. Settlements during 2021 are not expected to be significant based on current estimates. Audit outcomes and the timing of audit settlements are subject to significant uncertainty. Although management believes that adequate provision has been made for such issues, the ultimate resolution could have an adverse effect on our earnings. Conversely, if these issues are resolved favorably in the future, the related provision would be reduced, generating a positive effect on earnings.</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3"/>
          <w:szCs w:val="13"/>
          <w:color w:val="auto"/>
        </w:rPr>
        <w:t>Due to the uncertainty of amounts and in accordance with our accounting policies, we have not recorded any potential consequences of these settlements.</w:t>
      </w:r>
    </w:p>
    <w:p>
      <w:pPr>
        <w:ind w:left="20"/>
        <w:spacing w:after="0"/>
        <w:rPr>
          <w:sz w:val="20"/>
          <w:szCs w:val="20"/>
          <w:color w:val="auto"/>
        </w:rPr>
      </w:pPr>
      <w:r>
        <w:rPr>
          <w:rFonts w:ascii="Arial" w:cs="Arial" w:eastAsia="Arial" w:hAnsi="Arial"/>
          <w:sz w:val="13"/>
          <w:szCs w:val="13"/>
          <w:color w:val="auto"/>
        </w:rPr>
        <w:t>In addition, to the extent there are settlements in the future for certain foreign unrecognized tax benefits, the transition tax may also be revised accordingly.</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17. Financial Instruments and Risk Management</w:t>
      </w:r>
    </w:p>
    <w:p>
      <w:pPr>
        <w:spacing w:after="0" w:line="133" w:lineRule="exact"/>
        <w:rPr>
          <w:sz w:val="20"/>
          <w:szCs w:val="20"/>
          <w:color w:val="auto"/>
        </w:rPr>
      </w:pPr>
    </w:p>
    <w:p>
      <w:pPr>
        <w:jc w:val="both"/>
        <w:ind w:left="20" w:right="39"/>
        <w:spacing w:after="0" w:line="235" w:lineRule="auto"/>
        <w:rPr>
          <w:sz w:val="20"/>
          <w:szCs w:val="20"/>
          <w:color w:val="auto"/>
        </w:rPr>
      </w:pPr>
      <w:r>
        <w:rPr>
          <w:rFonts w:ascii="Arial" w:cs="Arial" w:eastAsia="Arial" w:hAnsi="Arial"/>
          <w:sz w:val="13"/>
          <w:szCs w:val="13"/>
          <w:color w:val="auto"/>
        </w:rPr>
        <w:t>We operate internationally and utilize certain derivative financial instruments to mitigate our foreign currency exposures, primarily related to third-party and intercompany forecasted transactions. As a result of the use of derivative instruments, we are exposed to the risk that counterparties will fail to meet their contractual obligations. To mitigate this counterparty credit risk, we have a practice of entering into contracts with major financial institutions selected based upon their credit ratings and other financial factors. We monitor the creditworthiness of counterparties throughout the duration of the derivative instrument.</w:t>
      </w:r>
    </w:p>
    <w:p>
      <w:pPr>
        <w:spacing w:after="0" w:line="379" w:lineRule="exact"/>
        <w:rPr>
          <w:sz w:val="20"/>
          <w:szCs w:val="20"/>
          <w:color w:val="auto"/>
        </w:rPr>
      </w:pPr>
    </w:p>
    <w:p>
      <w:pPr>
        <w:ind w:left="7520"/>
        <w:spacing w:after="0"/>
        <w:rPr>
          <w:sz w:val="20"/>
          <w:szCs w:val="20"/>
          <w:color w:val="auto"/>
        </w:rPr>
      </w:pPr>
      <w:r>
        <w:rPr>
          <w:rFonts w:ascii="Arial" w:cs="Arial" w:eastAsia="Arial" w:hAnsi="Arial"/>
          <w:sz w:val="12"/>
          <w:szCs w:val="12"/>
          <w:color w:val="auto"/>
        </w:rPr>
        <w:t>2020 Form 10-K Page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365125</wp:posOffset>
            </wp:positionV>
            <wp:extent cx="5680075" cy="196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80075" cy="19685"/>
                    </a:xfrm>
                    <a:prstGeom prst="rect">
                      <a:avLst/>
                    </a:prstGeom>
                    <a:noFill/>
                  </pic:spPr>
                </pic:pic>
              </a:graphicData>
            </a:graphic>
          </wp:anchor>
        </w:drawing>
      </w:r>
    </w:p>
    <w:p>
      <w:pPr>
        <w:sectPr>
          <w:pgSz w:w="11900" w:h="16838" w:orient="portrait"/>
          <w:cols w:equalWidth="0" w:num="1">
            <w:col w:w="9019"/>
          </w:cols>
          <w:pgMar w:left="1440" w:top="995" w:right="1440"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2992755</wp:posOffset>
            </wp:positionH>
            <wp:positionV relativeFrom="page">
              <wp:posOffset>375285</wp:posOffset>
            </wp:positionV>
            <wp:extent cx="1563370" cy="169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1563370" cy="169545"/>
                    </a:xfrm>
                    <a:prstGeom prst="rect">
                      <a:avLst/>
                    </a:prstGeom>
                    <a:noFill/>
                  </pic:spPr>
                </pic:pic>
              </a:graphicData>
            </a:graphic>
          </wp:anchor>
        </w:drawing>
        <w:t>NOTES TO CONSOLIDATED FINANCIAL STATEMENTS</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Derivative Holdings Designated as Hedges</w:t>
      </w:r>
    </w:p>
    <w:p>
      <w:pPr>
        <w:spacing w:after="0" w:line="131" w:lineRule="exact"/>
        <w:rPr>
          <w:sz w:val="20"/>
          <w:szCs w:val="20"/>
          <w:color w:val="auto"/>
        </w:rPr>
      </w:pPr>
    </w:p>
    <w:p>
      <w:pPr>
        <w:jc w:val="both"/>
        <w:ind w:left="20" w:right="39"/>
        <w:spacing w:after="0" w:line="232" w:lineRule="auto"/>
        <w:rPr>
          <w:sz w:val="20"/>
          <w:szCs w:val="20"/>
          <w:color w:val="auto"/>
        </w:rPr>
      </w:pPr>
      <w:r>
        <w:rPr>
          <w:rFonts w:ascii="Arial" w:cs="Arial" w:eastAsia="Arial" w:hAnsi="Arial"/>
          <w:sz w:val="13"/>
          <w:szCs w:val="13"/>
          <w:color w:val="auto"/>
        </w:rPr>
        <w:t>For a derivative to qualify as a hedge at inception and throughout the hedged period, we formally document the nature of the hedged items and the relationships between the hedging instruments and the hedged items, as well as our risk-management objectives, strategies for undertaking the various hedge transactions, and the methods of assessing hedge effectiveness and ineffectiveness. In addition, for hedges of forecasted transactions, the significant characteristics and expected terms of a forecasted transaction must be specifically identified, and it must be probable that each forecasted transaction would occur. If it were deemed probable that the forecasted transaction would not occur, the gain or loss on the derivative instrument would be recognized in earnings immediately. Gains or losses recognized in earnings for any of the periods presented were not significant. Derivative financial instruments qualifying for hedge accounting must maintain a specified level of effectiveness between the hedging instrument and the item being hedged, both at inception and throughout the hedged period, which we evaluate periodically.</w:t>
      </w:r>
    </w:p>
    <w:p>
      <w:pPr>
        <w:spacing w:after="0" w:line="116" w:lineRule="exact"/>
        <w:rPr>
          <w:sz w:val="20"/>
          <w:szCs w:val="20"/>
          <w:color w:val="auto"/>
        </w:rPr>
      </w:pPr>
    </w:p>
    <w:p>
      <w:pPr>
        <w:jc w:val="both"/>
        <w:ind w:left="20" w:right="39"/>
        <w:spacing w:after="0" w:line="236" w:lineRule="auto"/>
        <w:rPr>
          <w:sz w:val="20"/>
          <w:szCs w:val="20"/>
          <w:color w:val="auto"/>
        </w:rPr>
      </w:pPr>
      <w:r>
        <w:rPr>
          <w:rFonts w:ascii="Arial" w:cs="Arial" w:eastAsia="Arial" w:hAnsi="Arial"/>
          <w:sz w:val="13"/>
          <w:szCs w:val="13"/>
          <w:color w:val="auto"/>
        </w:rPr>
        <w:t>The primary currencies to which we are exposed are the euro, British pound, Canadian dollar, and Australian dollar. Generally, merchandise inventories are purchased by each geographic area in their respective local currency with the exception of the United Kingdom, whose merchandise inventory purchases are primarily denominated in euros.</w:t>
      </w:r>
    </w:p>
    <w:p>
      <w:pPr>
        <w:spacing w:after="0" w:line="113" w:lineRule="exact"/>
        <w:rPr>
          <w:sz w:val="20"/>
          <w:szCs w:val="20"/>
          <w:color w:val="auto"/>
        </w:rPr>
      </w:pPr>
    </w:p>
    <w:p>
      <w:pPr>
        <w:jc w:val="both"/>
        <w:ind w:left="20" w:right="39"/>
        <w:spacing w:after="0" w:line="233" w:lineRule="auto"/>
        <w:rPr>
          <w:sz w:val="20"/>
          <w:szCs w:val="20"/>
          <w:color w:val="auto"/>
        </w:rPr>
      </w:pPr>
      <w:r>
        <w:rPr>
          <w:rFonts w:ascii="Arial" w:cs="Arial" w:eastAsia="Arial" w:hAnsi="Arial"/>
          <w:sz w:val="13"/>
          <w:szCs w:val="13"/>
          <w:color w:val="auto"/>
        </w:rPr>
        <w:t>For option and foreign exchange forward contracts designated as cash flow hedges of the purchase of inventory, the effective portion of gains and losses is deferred as a component of AOCL and is recognized as a component of cost of sales when the related inventory is sold. The amount reclassified to cost of sales related to such contracts was not significant for any of the periods presented. The effective portion of gains or losses associated with other forward contracts is deferred as a component of AOCL until the underlying transaction is reported in earnings. The ineffective portion of gains and losses related to cash flow hedges recorded to earnings was not significant for any of the periods presented. When using a forward contract as a hedging instrument, we exclude the time value of the contract from the assessment of effectiveness.</w:t>
      </w:r>
    </w:p>
    <w:p>
      <w:pPr>
        <w:spacing w:after="0" w:line="114" w:lineRule="exact"/>
        <w:rPr>
          <w:sz w:val="20"/>
          <w:szCs w:val="20"/>
          <w:color w:val="auto"/>
        </w:rPr>
      </w:pPr>
    </w:p>
    <w:p>
      <w:pPr>
        <w:jc w:val="both"/>
        <w:ind w:left="20" w:right="59"/>
        <w:spacing w:after="0" w:line="235" w:lineRule="auto"/>
        <w:rPr>
          <w:sz w:val="20"/>
          <w:szCs w:val="20"/>
          <w:color w:val="auto"/>
        </w:rPr>
      </w:pPr>
      <w:r>
        <w:rPr>
          <w:rFonts w:ascii="Arial" w:cs="Arial" w:eastAsia="Arial" w:hAnsi="Arial"/>
          <w:sz w:val="13"/>
          <w:szCs w:val="13"/>
          <w:color w:val="auto"/>
        </w:rPr>
        <w:t>The notional value of the contracts outstanding at January 30, 2021 and February 1, 2020 was $69 million and $92 million, respectively. As of January 30, 2021, all of our hedged forecasted transactions extend less than twelve months into the future, and we expect all derivative-related amounts reported in AOCL to be reclassified to earnings within twelve months. The loss in AOCL as of January 30, 2021 and February 1, 2020 was $1 million and $3 million, respectively.</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Derivative Holdings Not Designated as Hedges</w:t>
      </w:r>
    </w:p>
    <w:p>
      <w:pPr>
        <w:spacing w:after="0" w:line="111" w:lineRule="exact"/>
        <w:rPr>
          <w:sz w:val="20"/>
          <w:szCs w:val="20"/>
          <w:color w:val="auto"/>
        </w:rPr>
      </w:pPr>
    </w:p>
    <w:p>
      <w:pPr>
        <w:jc w:val="both"/>
        <w:ind w:left="20" w:right="39"/>
        <w:spacing w:after="0" w:line="234" w:lineRule="auto"/>
        <w:rPr>
          <w:sz w:val="20"/>
          <w:szCs w:val="20"/>
          <w:color w:val="auto"/>
        </w:rPr>
      </w:pPr>
      <w:r>
        <w:rPr>
          <w:rFonts w:ascii="Arial" w:cs="Arial" w:eastAsia="Arial" w:hAnsi="Arial"/>
          <w:sz w:val="13"/>
          <w:szCs w:val="13"/>
          <w:color w:val="auto"/>
        </w:rPr>
        <w:t>We enter into certain derivative contracts that are not designated as hedges, such as foreign exchange forward contracts and currency option contracts. These derivative contracts are used to manage certain costs of foreign currency-denominated merchandise purchases, intercompany transactions, and the effect of fluctuating foreign exchange rates on the reporting of foreign currency-denominated earnings. Changes in the fair value of derivative holdings not designated as hedges, as well as realized gains and premiums paid, are recorded in earnings immediately within SG&amp;A or Other income, net, depending on the type of transaction. The aggregate amount recognized for these contracts was not significant for any of the periods presented.</w:t>
      </w:r>
    </w:p>
    <w:p>
      <w:pPr>
        <w:spacing w:after="0" w:line="82" w:lineRule="exact"/>
        <w:rPr>
          <w:sz w:val="20"/>
          <w:szCs w:val="20"/>
          <w:color w:val="auto"/>
        </w:rPr>
      </w:pPr>
    </w:p>
    <w:p>
      <w:pPr>
        <w:jc w:val="both"/>
        <w:ind w:left="20" w:right="39"/>
        <w:spacing w:after="0"/>
        <w:rPr>
          <w:sz w:val="20"/>
          <w:szCs w:val="20"/>
          <w:color w:val="auto"/>
        </w:rPr>
      </w:pPr>
      <w:r>
        <w:rPr>
          <w:rFonts w:ascii="Arial" w:cs="Arial" w:eastAsia="Arial" w:hAnsi="Arial"/>
          <w:sz w:val="13"/>
          <w:szCs w:val="13"/>
          <w:color w:val="auto"/>
        </w:rPr>
        <w:t>The notional value of foreign exchange forward contracts outstanding at January 30, 2021 and February 1, 2020 was $135 million and $1 million, respectively. The foreign exchange forward contracts outstanding at January 30, 2021 extend less than twelve months into the future.</w:t>
      </w:r>
    </w:p>
    <w:p>
      <w:pPr>
        <w:spacing w:after="0" w:line="67"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Fair Value of Derivative Contracts</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3940" w:type="dxa"/>
            <w:vAlign w:val="bottom"/>
            <w:gridSpan w:val="2"/>
          </w:tcPr>
          <w:p>
            <w:pPr>
              <w:spacing w:after="0"/>
              <w:rPr>
                <w:sz w:val="20"/>
                <w:szCs w:val="20"/>
                <w:color w:val="auto"/>
              </w:rPr>
            </w:pPr>
            <w:r>
              <w:rPr>
                <w:rFonts w:ascii="Arial" w:cs="Arial" w:eastAsia="Arial" w:hAnsi="Arial"/>
                <w:sz w:val="13"/>
                <w:szCs w:val="13"/>
                <w:color w:val="auto"/>
              </w:rPr>
              <w:t>The following represents the fair value of our derivative contracts.</w:t>
            </w:r>
          </w:p>
        </w:tc>
        <w:tc>
          <w:tcPr>
            <w:tcW w:w="1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1660" w:type="dxa"/>
            <w:vAlign w:val="bottom"/>
          </w:tcPr>
          <w:p>
            <w:pPr>
              <w:jc w:val="center"/>
              <w:ind w:left="195"/>
              <w:spacing w:after="0"/>
              <w:rPr>
                <w:sz w:val="20"/>
                <w:szCs w:val="20"/>
                <w:color w:val="auto"/>
              </w:rPr>
            </w:pPr>
            <w:r>
              <w:rPr>
                <w:rFonts w:ascii="Arial" w:cs="Arial" w:eastAsia="Arial" w:hAnsi="Arial"/>
                <w:sz w:val="13"/>
                <w:szCs w:val="13"/>
                <w:color w:val="auto"/>
                <w:w w:val="99"/>
              </w:rPr>
              <w:t>Balance Sheet</w:t>
            </w:r>
          </w:p>
        </w:tc>
        <w:tc>
          <w:tcPr>
            <w:tcW w:w="520" w:type="dxa"/>
            <w:vAlign w:val="bottom"/>
          </w:tcPr>
          <w:p>
            <w:pPr>
              <w:spacing w:after="0"/>
              <w:rPr>
                <w:sz w:val="20"/>
                <w:szCs w:val="20"/>
                <w:color w:val="auto"/>
              </w:rPr>
            </w:pPr>
          </w:p>
        </w:tc>
        <w:tc>
          <w:tcPr>
            <w:tcW w:w="1280" w:type="dxa"/>
            <w:vAlign w:val="bottom"/>
          </w:tcPr>
          <w:p>
            <w:pPr>
              <w:jc w:val="right"/>
              <w:ind w:right="395"/>
              <w:spacing w:after="0"/>
              <w:rPr>
                <w:sz w:val="20"/>
                <w:szCs w:val="20"/>
                <w:color w:val="auto"/>
              </w:rPr>
            </w:pPr>
            <w:r>
              <w:rPr>
                <w:rFonts w:ascii="Arial" w:cs="Arial" w:eastAsia="Arial" w:hAnsi="Arial"/>
                <w:sz w:val="13"/>
                <w:szCs w:val="13"/>
                <w:color w:val="auto"/>
              </w:rPr>
              <w:t>January 30,</w:t>
            </w:r>
          </w:p>
        </w:tc>
        <w:tc>
          <w:tcPr>
            <w:tcW w:w="360" w:type="dxa"/>
            <w:vAlign w:val="bottom"/>
          </w:tcPr>
          <w:p>
            <w:pPr>
              <w:spacing w:after="0"/>
              <w:rPr>
                <w:sz w:val="20"/>
                <w:szCs w:val="20"/>
                <w:color w:val="auto"/>
              </w:rPr>
            </w:pPr>
          </w:p>
        </w:tc>
        <w:tc>
          <w:tcPr>
            <w:tcW w:w="1200" w:type="dxa"/>
            <w:vAlign w:val="bottom"/>
          </w:tcPr>
          <w:p>
            <w:pPr>
              <w:jc w:val="right"/>
              <w:ind w:right="315"/>
              <w:spacing w:after="0"/>
              <w:rPr>
                <w:sz w:val="20"/>
                <w:szCs w:val="20"/>
                <w:color w:val="auto"/>
              </w:rPr>
            </w:pPr>
            <w:r>
              <w:rPr>
                <w:rFonts w:ascii="Arial" w:cs="Arial" w:eastAsia="Arial" w:hAnsi="Arial"/>
                <w:sz w:val="13"/>
                <w:szCs w:val="13"/>
                <w:color w:val="auto"/>
              </w:rPr>
              <w:t>February 1,</w:t>
            </w:r>
          </w:p>
        </w:tc>
      </w:tr>
      <w:tr>
        <w:trPr>
          <w:trHeight w:val="148"/>
        </w:trPr>
        <w:tc>
          <w:tcPr>
            <w:tcW w:w="3940" w:type="dxa"/>
            <w:vAlign w:val="bottom"/>
            <w:gridSpan w:val="2"/>
          </w:tcPr>
          <w:p>
            <w:pPr>
              <w:ind w:left="20"/>
              <w:spacing w:after="0" w:line="149" w:lineRule="exact"/>
              <w:rPr>
                <w:sz w:val="20"/>
                <w:szCs w:val="20"/>
                <w:color w:val="auto"/>
              </w:rPr>
            </w:pPr>
            <w:r>
              <w:rPr>
                <w:rFonts w:ascii="Arial" w:cs="Arial" w:eastAsia="Arial" w:hAnsi="Arial"/>
                <w:sz w:val="13"/>
                <w:szCs w:val="13"/>
                <w:color w:val="auto"/>
              </w:rPr>
              <w:t>($ in millions)</w:t>
            </w:r>
          </w:p>
        </w:tc>
        <w:tc>
          <w:tcPr>
            <w:tcW w:w="1660" w:type="dxa"/>
            <w:vAlign w:val="bottom"/>
          </w:tcPr>
          <w:p>
            <w:pPr>
              <w:jc w:val="center"/>
              <w:ind w:left="195"/>
              <w:spacing w:after="0" w:line="149" w:lineRule="exact"/>
              <w:rPr>
                <w:sz w:val="20"/>
                <w:szCs w:val="20"/>
                <w:color w:val="auto"/>
              </w:rPr>
            </w:pPr>
            <w:r>
              <w:rPr>
                <w:rFonts w:ascii="Arial" w:cs="Arial" w:eastAsia="Arial" w:hAnsi="Arial"/>
                <w:sz w:val="13"/>
                <w:szCs w:val="13"/>
                <w:color w:val="auto"/>
                <w:w w:val="98"/>
              </w:rPr>
              <w:t>Caption</w:t>
            </w:r>
          </w:p>
        </w:tc>
        <w:tc>
          <w:tcPr>
            <w:tcW w:w="520" w:type="dxa"/>
            <w:vAlign w:val="bottom"/>
          </w:tcPr>
          <w:p>
            <w:pPr>
              <w:spacing w:after="0"/>
              <w:rPr>
                <w:sz w:val="12"/>
                <w:szCs w:val="12"/>
                <w:color w:val="auto"/>
              </w:rPr>
            </w:pPr>
          </w:p>
        </w:tc>
        <w:tc>
          <w:tcPr>
            <w:tcW w:w="1280" w:type="dxa"/>
            <w:vAlign w:val="bottom"/>
          </w:tcPr>
          <w:p>
            <w:pPr>
              <w:jc w:val="right"/>
              <w:ind w:right="595"/>
              <w:spacing w:after="0" w:line="149" w:lineRule="exact"/>
              <w:rPr>
                <w:sz w:val="20"/>
                <w:szCs w:val="20"/>
                <w:color w:val="auto"/>
              </w:rPr>
            </w:pPr>
            <w:r>
              <w:rPr>
                <w:rFonts w:ascii="Arial" w:cs="Arial" w:eastAsia="Arial" w:hAnsi="Arial"/>
                <w:sz w:val="13"/>
                <w:szCs w:val="13"/>
                <w:color w:val="auto"/>
              </w:rPr>
              <w:t>2021</w:t>
            </w:r>
          </w:p>
        </w:tc>
        <w:tc>
          <w:tcPr>
            <w:tcW w:w="360" w:type="dxa"/>
            <w:vAlign w:val="bottom"/>
          </w:tcPr>
          <w:p>
            <w:pPr>
              <w:spacing w:after="0"/>
              <w:rPr>
                <w:sz w:val="12"/>
                <w:szCs w:val="12"/>
                <w:color w:val="auto"/>
              </w:rPr>
            </w:pPr>
          </w:p>
        </w:tc>
        <w:tc>
          <w:tcPr>
            <w:tcW w:w="1200" w:type="dxa"/>
            <w:vAlign w:val="bottom"/>
          </w:tcPr>
          <w:p>
            <w:pPr>
              <w:jc w:val="right"/>
              <w:ind w:right="495"/>
              <w:spacing w:after="0" w:line="149" w:lineRule="exact"/>
              <w:rPr>
                <w:sz w:val="20"/>
                <w:szCs w:val="20"/>
                <w:color w:val="auto"/>
              </w:rPr>
            </w:pPr>
            <w:r>
              <w:rPr>
                <w:rFonts w:ascii="Arial" w:cs="Arial" w:eastAsia="Arial" w:hAnsi="Arial"/>
                <w:sz w:val="13"/>
                <w:szCs w:val="13"/>
                <w:color w:val="auto"/>
              </w:rPr>
              <w:t>2020</w:t>
            </w:r>
          </w:p>
        </w:tc>
      </w:tr>
      <w:tr>
        <w:trPr>
          <w:trHeight w:val="134"/>
        </w:trPr>
        <w:tc>
          <w:tcPr>
            <w:tcW w:w="20" w:type="dxa"/>
            <w:vAlign w:val="bottom"/>
          </w:tcPr>
          <w:p>
            <w:pPr>
              <w:spacing w:after="0"/>
              <w:rPr>
                <w:sz w:val="11"/>
                <w:szCs w:val="11"/>
                <w:color w:val="auto"/>
              </w:rPr>
            </w:pPr>
          </w:p>
        </w:tc>
        <w:tc>
          <w:tcPr>
            <w:tcW w:w="3920" w:type="dxa"/>
            <w:vAlign w:val="bottom"/>
            <w:tcBorders>
              <w:top w:val="single" w:sz="8" w:color="auto"/>
            </w:tcBorders>
            <w:shd w:val="clear" w:color="auto" w:fill="CCEEFF"/>
          </w:tcPr>
          <w:p>
            <w:pPr>
              <w:spacing w:after="0" w:line="134" w:lineRule="exact"/>
              <w:rPr>
                <w:sz w:val="20"/>
                <w:szCs w:val="20"/>
                <w:color w:val="auto"/>
              </w:rPr>
            </w:pPr>
            <w:r>
              <w:rPr>
                <w:rFonts w:ascii="Arial" w:cs="Arial" w:eastAsia="Arial" w:hAnsi="Arial"/>
                <w:sz w:val="13"/>
                <w:szCs w:val="13"/>
                <w:color w:val="auto"/>
              </w:rPr>
              <w:t>Hedging Instruments:</w:t>
            </w:r>
          </w:p>
        </w:tc>
        <w:tc>
          <w:tcPr>
            <w:tcW w:w="166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280" w:type="dxa"/>
            <w:vAlign w:val="bottom"/>
            <w:tcBorders>
              <w:top w:val="single" w:sz="8" w:color="auto"/>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3920" w:type="dxa"/>
            <w:vAlign w:val="bottom"/>
          </w:tcPr>
          <w:p>
            <w:pPr>
              <w:spacing w:after="0" w:line="144" w:lineRule="exact"/>
              <w:rPr>
                <w:sz w:val="20"/>
                <w:szCs w:val="20"/>
                <w:color w:val="auto"/>
              </w:rPr>
            </w:pPr>
            <w:r>
              <w:rPr>
                <w:rFonts w:ascii="Arial" w:cs="Arial" w:eastAsia="Arial" w:hAnsi="Arial"/>
                <w:sz w:val="13"/>
                <w:szCs w:val="13"/>
                <w:color w:val="auto"/>
              </w:rPr>
              <w:t>Foreign exchange forward contracts</w:t>
            </w:r>
          </w:p>
        </w:tc>
        <w:tc>
          <w:tcPr>
            <w:tcW w:w="1660" w:type="dxa"/>
            <w:vAlign w:val="bottom"/>
          </w:tcPr>
          <w:p>
            <w:pPr>
              <w:ind w:left="200"/>
              <w:spacing w:after="0" w:line="144" w:lineRule="exact"/>
              <w:rPr>
                <w:sz w:val="20"/>
                <w:szCs w:val="20"/>
                <w:color w:val="auto"/>
              </w:rPr>
            </w:pPr>
            <w:r>
              <w:rPr>
                <w:rFonts w:ascii="Arial" w:cs="Arial" w:eastAsia="Arial" w:hAnsi="Arial"/>
                <w:sz w:val="13"/>
                <w:szCs w:val="13"/>
                <w:color w:val="auto"/>
              </w:rPr>
              <w:t>Current assets</w:t>
            </w:r>
          </w:p>
        </w:tc>
        <w:tc>
          <w:tcPr>
            <w:tcW w:w="520" w:type="dxa"/>
            <w:vAlign w:val="bottom"/>
          </w:tcPr>
          <w:p>
            <w:pPr>
              <w:jc w:val="right"/>
              <w:ind w:right="75"/>
              <w:spacing w:after="0" w:line="144" w:lineRule="exact"/>
              <w:rPr>
                <w:sz w:val="20"/>
                <w:szCs w:val="20"/>
                <w:color w:val="auto"/>
              </w:rPr>
            </w:pPr>
            <w:r>
              <w:rPr>
                <w:rFonts w:ascii="Arial" w:cs="Arial" w:eastAsia="Arial" w:hAnsi="Arial"/>
                <w:sz w:val="13"/>
                <w:szCs w:val="13"/>
                <w:color w:val="auto"/>
              </w:rPr>
              <w:t>$</w:t>
            </w:r>
          </w:p>
        </w:tc>
        <w:tc>
          <w:tcPr>
            <w:tcW w:w="1280" w:type="dxa"/>
            <w:vAlign w:val="bottom"/>
          </w:tcPr>
          <w:p>
            <w:pPr>
              <w:jc w:val="right"/>
              <w:ind w:right="75"/>
              <w:spacing w:after="0" w:line="144" w:lineRule="exact"/>
              <w:rPr>
                <w:sz w:val="20"/>
                <w:szCs w:val="20"/>
                <w:color w:val="auto"/>
              </w:rPr>
            </w:pPr>
            <w:r>
              <w:rPr>
                <w:rFonts w:ascii="Arial" w:cs="Arial" w:eastAsia="Arial" w:hAnsi="Arial"/>
                <w:sz w:val="13"/>
                <w:szCs w:val="13"/>
                <w:color w:val="auto"/>
              </w:rPr>
              <w:t>1</w:t>
            </w:r>
          </w:p>
        </w:tc>
        <w:tc>
          <w:tcPr>
            <w:tcW w:w="360" w:type="dxa"/>
            <w:vAlign w:val="bottom"/>
          </w:tcPr>
          <w:p>
            <w:pPr>
              <w:jc w:val="right"/>
              <w:ind w:right="75"/>
              <w:spacing w:after="0" w:line="144" w:lineRule="exact"/>
              <w:rPr>
                <w:sz w:val="20"/>
                <w:szCs w:val="20"/>
                <w:color w:val="auto"/>
              </w:rPr>
            </w:pPr>
            <w:r>
              <w:rPr>
                <w:rFonts w:ascii="Arial" w:cs="Arial" w:eastAsia="Arial" w:hAnsi="Arial"/>
                <w:sz w:val="13"/>
                <w:szCs w:val="13"/>
                <w:color w:val="auto"/>
              </w:rPr>
              <w:t>$</w:t>
            </w:r>
          </w:p>
        </w:tc>
        <w:tc>
          <w:tcPr>
            <w:tcW w:w="12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r>
      <w:tr>
        <w:trPr>
          <w:trHeight w:val="144"/>
        </w:trPr>
        <w:tc>
          <w:tcPr>
            <w:tcW w:w="20" w:type="dxa"/>
            <w:vAlign w:val="bottom"/>
          </w:tcPr>
          <w:p>
            <w:pPr>
              <w:spacing w:after="0"/>
              <w:rPr>
                <w:sz w:val="12"/>
                <w:szCs w:val="12"/>
                <w:color w:val="auto"/>
              </w:rPr>
            </w:pPr>
          </w:p>
        </w:tc>
        <w:tc>
          <w:tcPr>
            <w:tcW w:w="3920" w:type="dxa"/>
            <w:vAlign w:val="bottom"/>
            <w:tcBorders>
              <w:bottom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rPr>
              <w:t>Foreign exchange forward contracts</w:t>
            </w:r>
          </w:p>
        </w:tc>
        <w:tc>
          <w:tcPr>
            <w:tcW w:w="1660" w:type="dxa"/>
            <w:vAlign w:val="bottom"/>
            <w:tcBorders>
              <w:bottom w:val="single" w:sz="8" w:color="auto"/>
            </w:tcBorders>
            <w:shd w:val="clear" w:color="auto" w:fill="CCEEFF"/>
          </w:tcPr>
          <w:p>
            <w:pPr>
              <w:ind w:left="200"/>
              <w:spacing w:after="0" w:line="144" w:lineRule="exact"/>
              <w:rPr>
                <w:sz w:val="20"/>
                <w:szCs w:val="20"/>
                <w:color w:val="auto"/>
              </w:rPr>
            </w:pPr>
            <w:r>
              <w:rPr>
                <w:rFonts w:ascii="Arial" w:cs="Arial" w:eastAsia="Arial" w:hAnsi="Arial"/>
                <w:sz w:val="13"/>
                <w:szCs w:val="13"/>
                <w:color w:val="auto"/>
              </w:rPr>
              <w:t>Current liabilities</w:t>
            </w:r>
          </w:p>
        </w:tc>
        <w:tc>
          <w:tcPr>
            <w:tcW w:w="520" w:type="dxa"/>
            <w:vAlign w:val="bottom"/>
            <w:tcBorders>
              <w:bottom w:val="single" w:sz="8" w:color="auto"/>
            </w:tcBorders>
            <w:shd w:val="clear" w:color="auto" w:fill="CCEEFF"/>
          </w:tcPr>
          <w:p>
            <w:pPr>
              <w:jc w:val="right"/>
              <w:ind w:right="75"/>
              <w:spacing w:after="0" w:line="144" w:lineRule="exact"/>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shd w:val="clear" w:color="auto" w:fill="CCEEFF"/>
          </w:tcPr>
          <w:p>
            <w:pPr>
              <w:jc w:val="right"/>
              <w:ind w:right="75"/>
              <w:spacing w:after="0" w:line="144" w:lineRule="exact"/>
              <w:rPr>
                <w:sz w:val="20"/>
                <w:szCs w:val="20"/>
                <w:color w:val="auto"/>
              </w:rPr>
            </w:pPr>
            <w:r>
              <w:rPr>
                <w:rFonts w:ascii="Arial" w:cs="Arial" w:eastAsia="Arial" w:hAnsi="Arial"/>
                <w:sz w:val="13"/>
                <w:szCs w:val="13"/>
                <w:color w:val="auto"/>
              </w:rPr>
              <w:t>1</w:t>
            </w:r>
          </w:p>
        </w:tc>
        <w:tc>
          <w:tcPr>
            <w:tcW w:w="360" w:type="dxa"/>
            <w:vAlign w:val="bottom"/>
            <w:tcBorders>
              <w:bottom w:val="single" w:sz="8" w:color="auto"/>
            </w:tcBorders>
            <w:shd w:val="clear" w:color="auto" w:fill="CCEEFF"/>
          </w:tcPr>
          <w:p>
            <w:pPr>
              <w:jc w:val="right"/>
              <w:ind w:right="75"/>
              <w:spacing w:after="0" w:line="144" w:lineRule="exact"/>
              <w:rPr>
                <w:sz w:val="20"/>
                <w:szCs w:val="20"/>
                <w:color w:val="auto"/>
              </w:rPr>
            </w:pPr>
            <w:r>
              <w:rPr>
                <w:rFonts w:ascii="Arial" w:cs="Arial" w:eastAsia="Arial" w:hAnsi="Arial"/>
                <w:sz w:val="13"/>
                <w:szCs w:val="13"/>
                <w:color w:val="auto"/>
              </w:rPr>
              <w:t>$</w:t>
            </w:r>
          </w:p>
        </w:tc>
        <w:tc>
          <w:tcPr>
            <w:tcW w:w="120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4</w:t>
            </w:r>
          </w:p>
        </w:tc>
      </w:tr>
    </w:tbl>
    <w:p>
      <w:pPr>
        <w:spacing w:after="0" w:line="139" w:lineRule="exact"/>
        <w:rPr>
          <w:sz w:val="20"/>
          <w:szCs w:val="20"/>
          <w:color w:val="auto"/>
        </w:rPr>
      </w:pPr>
    </w:p>
    <w:p>
      <w:pPr>
        <w:ind w:left="7520"/>
        <w:spacing w:after="0"/>
        <w:rPr>
          <w:sz w:val="20"/>
          <w:szCs w:val="20"/>
          <w:color w:val="auto"/>
        </w:rPr>
      </w:pPr>
      <w:r>
        <w:rPr>
          <w:rFonts w:ascii="Arial" w:cs="Arial" w:eastAsia="Arial" w:hAnsi="Arial"/>
          <w:sz w:val="12"/>
          <w:szCs w:val="12"/>
          <w:color w:val="auto"/>
        </w:rPr>
        <w:t>2020 Form 10-K Page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365125</wp:posOffset>
            </wp:positionV>
            <wp:extent cx="5680075" cy="196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80075" cy="19685"/>
                    </a:xfrm>
                    <a:prstGeom prst="rect">
                      <a:avLst/>
                    </a:prstGeom>
                    <a:noFill/>
                  </pic:spPr>
                </pic:pic>
              </a:graphicData>
            </a:graphic>
          </wp:anchor>
        </w:drawing>
      </w:r>
    </w:p>
    <w:p>
      <w:pPr>
        <w:sectPr>
          <w:pgSz w:w="11900" w:h="16838" w:orient="portrait"/>
          <w:cols w:equalWidth="0" w:num="1">
            <w:col w:w="9019"/>
          </w:cols>
          <w:pgMar w:left="1440" w:top="995" w:right="1440" w:bottom="1440" w:gutter="0" w:footer="0" w:header="0"/>
        </w:sectPr>
      </w:pPr>
    </w:p>
    <w:bookmarkStart w:id="65" w:name="page66"/>
    <w:bookmarkEnd w:id="65"/>
    <w:p>
      <w:pPr>
        <w:ind w:left="274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2992755</wp:posOffset>
            </wp:positionH>
            <wp:positionV relativeFrom="page">
              <wp:posOffset>375285</wp:posOffset>
            </wp:positionV>
            <wp:extent cx="1563370" cy="169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1563370" cy="169545"/>
                    </a:xfrm>
                    <a:prstGeom prst="rect">
                      <a:avLst/>
                    </a:prstGeom>
                    <a:noFill/>
                  </pic:spPr>
                </pic:pic>
              </a:graphicData>
            </a:graphic>
          </wp:anchor>
        </w:drawing>
        <w:t>NOTES TO CONSOLIDATED FINANCIAL STATEMENTS</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Notional Values and Foreign Currency Exchange Rates</w:t>
      </w:r>
    </w:p>
    <w:p>
      <w:pPr>
        <w:spacing w:after="0" w:line="131" w:lineRule="exact"/>
        <w:rPr>
          <w:sz w:val="20"/>
          <w:szCs w:val="20"/>
          <w:color w:val="auto"/>
        </w:rPr>
      </w:pPr>
    </w:p>
    <w:p>
      <w:pPr>
        <w:jc w:val="both"/>
        <w:ind w:left="20" w:right="39"/>
        <w:spacing w:after="0" w:line="238" w:lineRule="auto"/>
        <w:rPr>
          <w:sz w:val="20"/>
          <w:szCs w:val="20"/>
          <w:color w:val="auto"/>
        </w:rPr>
      </w:pPr>
      <w:r>
        <w:rPr>
          <w:rFonts w:ascii="Arial" w:cs="Arial" w:eastAsia="Arial" w:hAnsi="Arial"/>
          <w:sz w:val="13"/>
          <w:szCs w:val="13"/>
          <w:color w:val="auto"/>
        </w:rPr>
        <w:t>The table below presents the notional amounts for all outstanding derivatives and the weighted-average exchange rates of foreign exchange forward contracts at January 30, 2021:</w:t>
      </w:r>
    </w:p>
    <w:tbl>
      <w:tblPr>
        <w:tblLayout w:type="fixed"/>
        <w:tblInd w:w="4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360" w:type="dxa"/>
            <w:vAlign w:val="bottom"/>
          </w:tcPr>
          <w:p>
            <w:pPr>
              <w:jc w:val="right"/>
              <w:ind w:right="15"/>
              <w:spacing w:after="0" w:line="129" w:lineRule="exact"/>
              <w:rPr>
                <w:sz w:val="20"/>
                <w:szCs w:val="20"/>
                <w:color w:val="auto"/>
              </w:rPr>
            </w:pPr>
            <w:r>
              <w:rPr>
                <w:rFonts w:ascii="Arial" w:cs="Arial" w:eastAsia="Arial" w:hAnsi="Arial"/>
                <w:sz w:val="13"/>
                <w:szCs w:val="13"/>
                <w:b w:val="1"/>
                <w:bCs w:val="1"/>
                <w:color w:val="auto"/>
              </w:rPr>
              <w:t>Weighted-Average</w:t>
            </w:r>
          </w:p>
        </w:tc>
        <w:tc>
          <w:tcPr>
            <w:tcW w:w="0" w:type="dxa"/>
            <w:vAlign w:val="bottom"/>
          </w:tcPr>
          <w:p>
            <w:pPr>
              <w:spacing w:after="0"/>
              <w:rPr>
                <w:sz w:val="1"/>
                <w:szCs w:val="1"/>
                <w:color w:val="auto"/>
              </w:rPr>
            </w:pPr>
          </w:p>
        </w:tc>
      </w:tr>
      <w:tr>
        <w:trPr>
          <w:trHeight w:val="164"/>
        </w:trPr>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 in millions)</w:t>
            </w:r>
          </w:p>
        </w:tc>
        <w:tc>
          <w:tcPr>
            <w:tcW w:w="26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235"/>
              <w:spacing w:after="0"/>
              <w:rPr>
                <w:sz w:val="20"/>
                <w:szCs w:val="20"/>
                <w:color w:val="auto"/>
              </w:rPr>
            </w:pPr>
            <w:r>
              <w:rPr>
                <w:rFonts w:ascii="Arial" w:cs="Arial" w:eastAsia="Arial" w:hAnsi="Arial"/>
                <w:sz w:val="13"/>
                <w:szCs w:val="13"/>
                <w:b w:val="1"/>
                <w:bCs w:val="1"/>
                <w:color w:val="auto"/>
              </w:rPr>
              <w:t>Contract Value</w:t>
            </w:r>
          </w:p>
        </w:tc>
        <w:tc>
          <w:tcPr>
            <w:tcW w:w="136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b w:val="1"/>
                <w:bCs w:val="1"/>
                <w:color w:val="auto"/>
              </w:rPr>
              <w:t>Exchange Rate</w:t>
            </w:r>
          </w:p>
        </w:tc>
        <w:tc>
          <w:tcPr>
            <w:tcW w:w="0" w:type="dxa"/>
            <w:vAlign w:val="bottom"/>
          </w:tcPr>
          <w:p>
            <w:pPr>
              <w:spacing w:after="0"/>
              <w:rPr>
                <w:sz w:val="1"/>
                <w:szCs w:val="1"/>
                <w:color w:val="auto"/>
              </w:rPr>
            </w:pPr>
          </w:p>
        </w:tc>
      </w:tr>
      <w:tr>
        <w:trPr>
          <w:trHeight w:val="134"/>
        </w:trPr>
        <w:tc>
          <w:tcPr>
            <w:tcW w:w="3600" w:type="dxa"/>
            <w:vAlign w:val="bottom"/>
            <w:gridSpan w:val="2"/>
          </w:tcPr>
          <w:p>
            <w:pPr>
              <w:spacing w:after="0" w:line="134" w:lineRule="exact"/>
              <w:rPr>
                <w:sz w:val="20"/>
                <w:szCs w:val="20"/>
                <w:color w:val="auto"/>
              </w:rPr>
            </w:pPr>
            <w:r>
              <w:rPr>
                <w:rFonts w:ascii="Arial" w:cs="Arial" w:eastAsia="Arial" w:hAnsi="Arial"/>
                <w:sz w:val="13"/>
                <w:szCs w:val="13"/>
                <w:b w:val="1"/>
                <w:bCs w:val="1"/>
                <w:color w:val="auto"/>
              </w:rPr>
              <w:t>Inventory</w:t>
            </w:r>
          </w:p>
        </w:tc>
        <w:tc>
          <w:tcPr>
            <w:tcW w:w="26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Buy €/Sell British £</w:t>
            </w:r>
          </w:p>
        </w:tc>
        <w:tc>
          <w:tcPr>
            <w:tcW w:w="262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ind w:right="115"/>
              <w:spacing w:after="0" w:line="144" w:lineRule="exact"/>
              <w:rPr>
                <w:sz w:val="20"/>
                <w:szCs w:val="20"/>
                <w:color w:val="auto"/>
              </w:rPr>
            </w:pPr>
            <w:r>
              <w:rPr>
                <w:rFonts w:ascii="Arial" w:cs="Arial" w:eastAsia="Arial" w:hAnsi="Arial"/>
                <w:sz w:val="13"/>
                <w:szCs w:val="13"/>
                <w:color w:val="auto"/>
              </w:rPr>
              <w:t>69</w:t>
            </w:r>
          </w:p>
        </w:tc>
        <w:tc>
          <w:tcPr>
            <w:tcW w:w="1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0.9058</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5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580" w:type="dxa"/>
            <w:vAlign w:val="bottom"/>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Intercompany</w:t>
            </w:r>
          </w:p>
        </w:tc>
        <w:tc>
          <w:tcPr>
            <w:tcW w:w="26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tcPr>
          <w:p>
            <w:pPr>
              <w:spacing w:after="0" w:line="144" w:lineRule="exact"/>
              <w:rPr>
                <w:sz w:val="20"/>
                <w:szCs w:val="20"/>
                <w:color w:val="auto"/>
              </w:rPr>
            </w:pPr>
            <w:r>
              <w:rPr>
                <w:rFonts w:ascii="Arial" w:cs="Arial" w:eastAsia="Arial" w:hAnsi="Arial"/>
                <w:sz w:val="13"/>
                <w:szCs w:val="13"/>
                <w:color w:val="auto"/>
              </w:rPr>
              <w:t>Buy US $/Sell CAD $</w:t>
            </w:r>
          </w:p>
        </w:tc>
        <w:tc>
          <w:tcPr>
            <w:tcW w:w="2620" w:type="dxa"/>
            <w:vAlign w:val="bottom"/>
          </w:tcPr>
          <w:p>
            <w:pPr>
              <w:jc w:val="right"/>
              <w:ind w:right="75"/>
              <w:spacing w:after="0" w:line="144" w:lineRule="exact"/>
              <w:rPr>
                <w:sz w:val="20"/>
                <w:szCs w:val="20"/>
                <w:color w:val="auto"/>
              </w:rPr>
            </w:pPr>
            <w:r>
              <w:rPr>
                <w:rFonts w:ascii="Arial" w:cs="Arial" w:eastAsia="Arial" w:hAnsi="Arial"/>
                <w:sz w:val="13"/>
                <w:szCs w:val="13"/>
                <w:color w:val="auto"/>
              </w:rPr>
              <w:t>$</w:t>
            </w:r>
          </w:p>
        </w:tc>
        <w:tc>
          <w:tcPr>
            <w:tcW w:w="1360" w:type="dxa"/>
            <w:vAlign w:val="bottom"/>
          </w:tcPr>
          <w:p>
            <w:pPr>
              <w:jc w:val="right"/>
              <w:ind w:right="115"/>
              <w:spacing w:after="0" w:line="144" w:lineRule="exact"/>
              <w:rPr>
                <w:sz w:val="20"/>
                <w:szCs w:val="20"/>
                <w:color w:val="auto"/>
              </w:rPr>
            </w:pPr>
            <w:r>
              <w:rPr>
                <w:rFonts w:ascii="Arial" w:cs="Arial" w:eastAsia="Arial" w:hAnsi="Arial"/>
                <w:sz w:val="13"/>
                <w:szCs w:val="13"/>
                <w:color w:val="auto"/>
              </w:rPr>
              <w:t>1</w:t>
            </w:r>
          </w:p>
        </w:tc>
        <w:tc>
          <w:tcPr>
            <w:tcW w:w="1360" w:type="dxa"/>
            <w:vAlign w:val="bottom"/>
          </w:tcPr>
          <w:p>
            <w:pPr>
              <w:jc w:val="right"/>
              <w:spacing w:after="0" w:line="144" w:lineRule="exact"/>
              <w:rPr>
                <w:sz w:val="20"/>
                <w:szCs w:val="20"/>
                <w:color w:val="auto"/>
              </w:rPr>
            </w:pPr>
            <w:r>
              <w:rPr>
                <w:rFonts w:ascii="Arial" w:cs="Arial" w:eastAsia="Arial" w:hAnsi="Arial"/>
                <w:sz w:val="13"/>
                <w:szCs w:val="13"/>
                <w:color w:val="auto"/>
              </w:rPr>
              <w:t>1.2761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Buy US $/Sell AUD $</w:t>
            </w:r>
          </w:p>
        </w:tc>
        <w:tc>
          <w:tcPr>
            <w:tcW w:w="262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ind w:right="115"/>
              <w:spacing w:after="0" w:line="144" w:lineRule="exact"/>
              <w:rPr>
                <w:sz w:val="20"/>
                <w:szCs w:val="20"/>
                <w:color w:val="auto"/>
              </w:rPr>
            </w:pPr>
            <w:r>
              <w:rPr>
                <w:rFonts w:ascii="Arial" w:cs="Arial" w:eastAsia="Arial" w:hAnsi="Arial"/>
                <w:sz w:val="13"/>
                <w:szCs w:val="13"/>
                <w:color w:val="auto"/>
              </w:rPr>
              <w:t>1</w:t>
            </w:r>
          </w:p>
        </w:tc>
        <w:tc>
          <w:tcPr>
            <w:tcW w:w="13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1.3154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tcPr>
          <w:p>
            <w:pPr>
              <w:spacing w:after="0" w:line="144" w:lineRule="exact"/>
              <w:rPr>
                <w:sz w:val="20"/>
                <w:szCs w:val="20"/>
                <w:color w:val="auto"/>
              </w:rPr>
            </w:pPr>
            <w:r>
              <w:rPr>
                <w:rFonts w:ascii="Arial" w:cs="Arial" w:eastAsia="Arial" w:hAnsi="Arial"/>
                <w:sz w:val="13"/>
                <w:szCs w:val="13"/>
                <w:color w:val="auto"/>
              </w:rPr>
              <w:t>Buy British £/ Sell €</w:t>
            </w:r>
          </w:p>
        </w:tc>
        <w:tc>
          <w:tcPr>
            <w:tcW w:w="2620" w:type="dxa"/>
            <w:vAlign w:val="bottom"/>
          </w:tcPr>
          <w:p>
            <w:pPr>
              <w:jc w:val="right"/>
              <w:ind w:right="75"/>
              <w:spacing w:after="0" w:line="144" w:lineRule="exact"/>
              <w:rPr>
                <w:sz w:val="20"/>
                <w:szCs w:val="20"/>
                <w:color w:val="auto"/>
              </w:rPr>
            </w:pPr>
            <w:r>
              <w:rPr>
                <w:rFonts w:ascii="Arial" w:cs="Arial" w:eastAsia="Arial" w:hAnsi="Arial"/>
                <w:sz w:val="13"/>
                <w:szCs w:val="13"/>
                <w:color w:val="auto"/>
              </w:rPr>
              <w:t>$</w:t>
            </w:r>
          </w:p>
        </w:tc>
        <w:tc>
          <w:tcPr>
            <w:tcW w:w="1360" w:type="dxa"/>
            <w:vAlign w:val="bottom"/>
          </w:tcPr>
          <w:p>
            <w:pPr>
              <w:jc w:val="right"/>
              <w:ind w:right="115"/>
              <w:spacing w:after="0" w:line="144" w:lineRule="exact"/>
              <w:rPr>
                <w:sz w:val="20"/>
                <w:szCs w:val="20"/>
                <w:color w:val="auto"/>
              </w:rPr>
            </w:pPr>
            <w:r>
              <w:rPr>
                <w:rFonts w:ascii="Arial" w:cs="Arial" w:eastAsia="Arial" w:hAnsi="Arial"/>
                <w:sz w:val="13"/>
                <w:szCs w:val="13"/>
                <w:color w:val="auto"/>
              </w:rPr>
              <w:t>41</w:t>
            </w:r>
          </w:p>
        </w:tc>
        <w:tc>
          <w:tcPr>
            <w:tcW w:w="1360" w:type="dxa"/>
            <w:vAlign w:val="bottom"/>
          </w:tcPr>
          <w:p>
            <w:pPr>
              <w:jc w:val="right"/>
              <w:spacing w:after="0" w:line="144" w:lineRule="exact"/>
              <w:rPr>
                <w:sz w:val="20"/>
                <w:szCs w:val="20"/>
                <w:color w:val="auto"/>
              </w:rPr>
            </w:pPr>
            <w:r>
              <w:rPr>
                <w:rFonts w:ascii="Arial" w:cs="Arial" w:eastAsia="Arial" w:hAnsi="Arial"/>
                <w:sz w:val="13"/>
                <w:szCs w:val="13"/>
                <w:color w:val="auto"/>
              </w:rPr>
              <w:t>1.1017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80" w:type="dxa"/>
            <w:vAlign w:val="bottom"/>
            <w:tcBorders>
              <w:bottom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rPr>
              <w:t>Buy US $/ Sell €</w:t>
            </w:r>
          </w:p>
        </w:tc>
        <w:tc>
          <w:tcPr>
            <w:tcW w:w="2620" w:type="dxa"/>
            <w:vAlign w:val="bottom"/>
            <w:tcBorders>
              <w:bottom w:val="single" w:sz="8" w:color="auto"/>
            </w:tcBorders>
            <w:shd w:val="clear" w:color="auto" w:fill="CCEEFF"/>
          </w:tcPr>
          <w:p>
            <w:pPr>
              <w:jc w:val="right"/>
              <w:ind w:right="75"/>
              <w:spacing w:after="0" w:line="144" w:lineRule="exact"/>
              <w:rPr>
                <w:sz w:val="20"/>
                <w:szCs w:val="20"/>
                <w:color w:val="auto"/>
              </w:rPr>
            </w:pPr>
            <w:r>
              <w:rPr>
                <w:rFonts w:ascii="Arial" w:cs="Arial" w:eastAsia="Arial" w:hAnsi="Arial"/>
                <w:sz w:val="13"/>
                <w:szCs w:val="13"/>
                <w:color w:val="auto"/>
              </w:rPr>
              <w:t>$</w:t>
            </w:r>
          </w:p>
        </w:tc>
        <w:tc>
          <w:tcPr>
            <w:tcW w:w="1360" w:type="dxa"/>
            <w:vAlign w:val="bottom"/>
            <w:tcBorders>
              <w:bottom w:val="single" w:sz="8" w:color="auto"/>
            </w:tcBorders>
            <w:shd w:val="clear" w:color="auto" w:fill="CCEEFF"/>
          </w:tcPr>
          <w:p>
            <w:pPr>
              <w:jc w:val="right"/>
              <w:ind w:right="115"/>
              <w:spacing w:after="0" w:line="144" w:lineRule="exact"/>
              <w:rPr>
                <w:sz w:val="20"/>
                <w:szCs w:val="20"/>
                <w:color w:val="auto"/>
              </w:rPr>
            </w:pPr>
            <w:r>
              <w:rPr>
                <w:rFonts w:ascii="Arial" w:cs="Arial" w:eastAsia="Arial" w:hAnsi="Arial"/>
                <w:sz w:val="13"/>
                <w:szCs w:val="13"/>
                <w:color w:val="auto"/>
              </w:rPr>
              <w:t>91</w:t>
            </w:r>
          </w:p>
        </w:tc>
        <w:tc>
          <w:tcPr>
            <w:tcW w:w="13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0.8211</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Business Risk</w:t>
      </w:r>
    </w:p>
    <w:p>
      <w:pPr>
        <w:spacing w:after="0" w:line="141" w:lineRule="exact"/>
        <w:rPr>
          <w:sz w:val="20"/>
          <w:szCs w:val="20"/>
          <w:color w:val="auto"/>
        </w:rPr>
      </w:pPr>
    </w:p>
    <w:p>
      <w:pPr>
        <w:jc w:val="both"/>
        <w:ind w:left="20" w:right="39"/>
        <w:spacing w:after="0" w:line="235" w:lineRule="auto"/>
        <w:rPr>
          <w:sz w:val="20"/>
          <w:szCs w:val="20"/>
          <w:color w:val="auto"/>
        </w:rPr>
      </w:pPr>
      <w:r>
        <w:rPr>
          <w:rFonts w:ascii="Arial" w:cs="Arial" w:eastAsia="Arial" w:hAnsi="Arial"/>
          <w:sz w:val="13"/>
          <w:szCs w:val="13"/>
          <w:color w:val="auto"/>
        </w:rPr>
        <w:t>The retail business is highly competitive. Price, quality, selection of merchandise, reputation, store location, advertising, and customer experience are important competitive factors in our business. We operate in 27 countries and purchased approximately 91 percent of our merchandise in 2020 from our top 5 suppliers. In 2020, we purchased approximately 75 percent of our athletic merchandise from one major supplier, Nike, Inc. (“Nike”). Each of our operating divisions is highly dependent on Nike; they individually purchased 47 to 82 percent of their merchandise from Nike.</w:t>
      </w:r>
    </w:p>
    <w:p>
      <w:pPr>
        <w:spacing w:after="0" w:line="122" w:lineRule="exact"/>
        <w:rPr>
          <w:sz w:val="20"/>
          <w:szCs w:val="20"/>
          <w:color w:val="auto"/>
        </w:rPr>
      </w:pPr>
    </w:p>
    <w:p>
      <w:pPr>
        <w:jc w:val="both"/>
        <w:ind w:left="20" w:right="39"/>
        <w:spacing w:after="0"/>
        <w:rPr>
          <w:sz w:val="20"/>
          <w:szCs w:val="20"/>
          <w:color w:val="auto"/>
        </w:rPr>
      </w:pPr>
      <w:r>
        <w:rPr>
          <w:rFonts w:ascii="Arial" w:cs="Arial" w:eastAsia="Arial" w:hAnsi="Arial"/>
          <w:sz w:val="13"/>
          <w:szCs w:val="13"/>
          <w:color w:val="auto"/>
        </w:rPr>
        <w:t>Included in our Consolidated Balance Sheet at January 30, 2021, are the net assets of our European operations, which total $283 million and are located in 19 countries, 11 of which have adopted the euro as their functional currency.</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18. Fair Value Measurements</w:t>
      </w:r>
    </w:p>
    <w:p>
      <w:pPr>
        <w:spacing w:after="0" w:line="133" w:lineRule="exact"/>
        <w:rPr>
          <w:sz w:val="20"/>
          <w:szCs w:val="20"/>
          <w:color w:val="auto"/>
        </w:rPr>
      </w:pPr>
    </w:p>
    <w:p>
      <w:pPr>
        <w:jc w:val="both"/>
        <w:ind w:left="20" w:right="39"/>
        <w:spacing w:after="0" w:line="235" w:lineRule="auto"/>
        <w:rPr>
          <w:sz w:val="20"/>
          <w:szCs w:val="20"/>
          <w:color w:val="auto"/>
        </w:rPr>
      </w:pPr>
      <w:r>
        <w:rPr>
          <w:rFonts w:ascii="Arial" w:cs="Arial" w:eastAsia="Arial" w:hAnsi="Arial"/>
          <w:sz w:val="13"/>
          <w:szCs w:val="13"/>
          <w:color w:val="auto"/>
        </w:rPr>
        <w:t>We categorize our financial instruments into a three-level fair value hierarchy that prioritizes the inputs to valuation techniques used to measure fair value into three broad levels. The fair value hierarchy gives the highest priority to quoted prices in active markets for identical assets or liabilities (Level 1) and the lowest priority to unobservable inputs (Level 3). If the inputs used to measure fair value fall within different levels of the hierarchy, the category level is based on the lowest priority level input that is significant to the fair value measurement of the instrument.</w:t>
      </w:r>
    </w:p>
    <w:p>
      <w:pPr>
        <w:spacing w:after="0" w:line="122" w:lineRule="exact"/>
        <w:rPr>
          <w:sz w:val="20"/>
          <w:szCs w:val="20"/>
          <w:color w:val="auto"/>
        </w:rPr>
      </w:pPr>
    </w:p>
    <w:p>
      <w:pPr>
        <w:jc w:val="both"/>
        <w:ind w:left="20" w:right="39"/>
        <w:spacing w:after="0"/>
        <w:rPr>
          <w:sz w:val="20"/>
          <w:szCs w:val="20"/>
          <w:color w:val="auto"/>
        </w:rPr>
      </w:pPr>
      <w:r>
        <w:rPr>
          <w:rFonts w:ascii="Arial" w:cs="Arial" w:eastAsia="Arial" w:hAnsi="Arial"/>
          <w:sz w:val="13"/>
          <w:szCs w:val="13"/>
          <w:color w:val="auto"/>
        </w:rPr>
        <w:t>Fair value is determined based upon the exit price that would be received to sell an asset or paid to transfer a liability in an orderly transaction between market participants exclusive of any transaction costs. Our financial assets recorded at fair value are categorized as follows:</w:t>
      </w:r>
    </w:p>
    <w:p>
      <w:pPr>
        <w:spacing w:after="0" w:line="106" w:lineRule="exact"/>
        <w:rPr>
          <w:sz w:val="20"/>
          <w:szCs w:val="20"/>
          <w:color w:val="auto"/>
        </w:rPr>
      </w:pPr>
    </w:p>
    <w:p>
      <w:pPr>
        <w:ind w:left="60"/>
        <w:spacing w:after="0"/>
        <w:tabs>
          <w:tab w:leader="none" w:pos="740" w:val="left"/>
        </w:tabs>
        <w:rPr>
          <w:sz w:val="20"/>
          <w:szCs w:val="20"/>
          <w:color w:val="auto"/>
        </w:rPr>
      </w:pPr>
      <w:r>
        <w:rPr>
          <w:rFonts w:ascii="Arial" w:cs="Arial" w:eastAsia="Arial" w:hAnsi="Arial"/>
          <w:sz w:val="13"/>
          <w:szCs w:val="13"/>
          <w:b w:val="1"/>
          <w:bCs w:val="1"/>
          <w:color w:val="auto"/>
        </w:rPr>
        <w:t>Level 1 -</w:t>
      </w:r>
      <w:r>
        <w:rPr>
          <w:sz w:val="20"/>
          <w:szCs w:val="20"/>
          <w:color w:val="auto"/>
        </w:rPr>
        <w:tab/>
      </w:r>
      <w:r>
        <w:rPr>
          <w:rFonts w:ascii="Arial" w:cs="Arial" w:eastAsia="Arial" w:hAnsi="Arial"/>
          <w:sz w:val="12"/>
          <w:szCs w:val="12"/>
          <w:color w:val="auto"/>
        </w:rPr>
        <w:t>Quoted prices for identical instruments in active markets.</w:t>
      </w:r>
    </w:p>
    <w:p>
      <w:pPr>
        <w:spacing w:after="0" w:line="138" w:lineRule="exact"/>
        <w:rPr>
          <w:sz w:val="20"/>
          <w:szCs w:val="20"/>
          <w:color w:val="auto"/>
        </w:rPr>
      </w:pPr>
    </w:p>
    <w:p>
      <w:pPr>
        <w:jc w:val="both"/>
        <w:ind w:left="760" w:right="39" w:hanging="718"/>
        <w:spacing w:after="0" w:line="236" w:lineRule="auto"/>
        <w:tabs>
          <w:tab w:leader="none" w:pos="740" w:val="left"/>
        </w:tabs>
        <w:rPr>
          <w:sz w:val="20"/>
          <w:szCs w:val="20"/>
          <w:color w:val="auto"/>
        </w:rPr>
      </w:pPr>
      <w:r>
        <w:rPr>
          <w:rFonts w:ascii="Arial" w:cs="Arial" w:eastAsia="Arial" w:hAnsi="Arial"/>
          <w:sz w:val="13"/>
          <w:szCs w:val="13"/>
          <w:b w:val="1"/>
          <w:bCs w:val="1"/>
          <w:color w:val="auto"/>
        </w:rPr>
        <w:t>Level 2 -</w:t>
      </w:r>
      <w:r>
        <w:rPr>
          <w:sz w:val="20"/>
          <w:szCs w:val="20"/>
          <w:color w:val="auto"/>
        </w:rPr>
        <w:tab/>
      </w:r>
      <w:r>
        <w:rPr>
          <w:rFonts w:ascii="Arial" w:cs="Arial" w:eastAsia="Arial" w:hAnsi="Arial"/>
          <w:sz w:val="13"/>
          <w:szCs w:val="13"/>
          <w:color w:val="auto"/>
        </w:rPr>
        <w:t>Observable inputs other than quoted prices included within Level 1, including quoted prices for similar instruments in active markets; quoted prices for identical or similar instruments in markets that are not active; and model-derived valuations in which all significant inputs or significant value-drivers are observable in active markets.</w:t>
      </w:r>
    </w:p>
    <w:p>
      <w:pPr>
        <w:spacing w:after="0" w:line="133" w:lineRule="exact"/>
        <w:rPr>
          <w:sz w:val="20"/>
          <w:szCs w:val="20"/>
          <w:color w:val="auto"/>
        </w:rPr>
      </w:pPr>
    </w:p>
    <w:p>
      <w:pPr>
        <w:ind w:left="40"/>
        <w:spacing w:after="0"/>
        <w:tabs>
          <w:tab w:leader="none" w:pos="720" w:val="left"/>
        </w:tabs>
        <w:rPr>
          <w:sz w:val="20"/>
          <w:szCs w:val="20"/>
          <w:color w:val="auto"/>
        </w:rPr>
      </w:pPr>
      <w:r>
        <w:rPr>
          <w:rFonts w:ascii="Arial" w:cs="Arial" w:eastAsia="Arial" w:hAnsi="Arial"/>
          <w:sz w:val="13"/>
          <w:szCs w:val="13"/>
          <w:b w:val="1"/>
          <w:bCs w:val="1"/>
          <w:color w:val="auto"/>
        </w:rPr>
        <w:t>Level 3 -</w:t>
      </w:r>
      <w:r>
        <w:rPr>
          <w:sz w:val="20"/>
          <w:szCs w:val="20"/>
          <w:color w:val="auto"/>
        </w:rPr>
        <w:tab/>
      </w:r>
      <w:r>
        <w:rPr>
          <w:rFonts w:ascii="Arial" w:cs="Arial" w:eastAsia="Arial" w:hAnsi="Arial"/>
          <w:sz w:val="12"/>
          <w:szCs w:val="12"/>
          <w:color w:val="auto"/>
        </w:rPr>
        <w:t>Model-derived valuations in which one or more significant inputs or significant value-drivers are unobservable.</w:t>
      </w:r>
    </w:p>
    <w:p>
      <w:pPr>
        <w:spacing w:after="0" w:line="92" w:lineRule="exact"/>
        <w:rPr>
          <w:sz w:val="20"/>
          <w:szCs w:val="20"/>
          <w:color w:val="auto"/>
        </w:rPr>
      </w:pPr>
    </w:p>
    <w:p>
      <w:pPr>
        <w:jc w:val="both"/>
        <w:ind w:left="20" w:right="39"/>
        <w:spacing w:after="0" w:line="236" w:lineRule="auto"/>
        <w:rPr>
          <w:sz w:val="20"/>
          <w:szCs w:val="20"/>
          <w:color w:val="auto"/>
        </w:rPr>
      </w:pPr>
      <w:r>
        <w:rPr>
          <w:rFonts w:ascii="Arial" w:cs="Arial" w:eastAsia="Arial" w:hAnsi="Arial"/>
          <w:sz w:val="13"/>
          <w:szCs w:val="13"/>
          <w:color w:val="auto"/>
        </w:rPr>
        <w:t>Our auction rate security, classified as available-for-sale, is recorded within Other assets on the Consolidated Balance Sheet and is recorded at fair value with gains and losses reported in Other income, net in our Consolidated Statements of Operations. The fair value of the auction rate security is determined by using quoted prices for similar instruments in active markets and accordingly is classified as a Level 2 instrument.</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7520"/>
        <w:spacing w:after="0"/>
        <w:rPr>
          <w:sz w:val="20"/>
          <w:szCs w:val="20"/>
          <w:color w:val="auto"/>
        </w:rPr>
      </w:pPr>
      <w:r>
        <w:rPr>
          <w:rFonts w:ascii="Arial" w:cs="Arial" w:eastAsia="Arial" w:hAnsi="Arial"/>
          <w:sz w:val="12"/>
          <w:szCs w:val="12"/>
          <w:color w:val="auto"/>
        </w:rPr>
        <w:t>2020 Form 10-K Page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365125</wp:posOffset>
            </wp:positionV>
            <wp:extent cx="5680075" cy="133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80075" cy="13335"/>
                    </a:xfrm>
                    <a:prstGeom prst="rect">
                      <a:avLst/>
                    </a:prstGeom>
                    <a:noFill/>
                  </pic:spPr>
                </pic:pic>
              </a:graphicData>
            </a:graphic>
          </wp:anchor>
        </w:drawing>
      </w:r>
    </w:p>
    <w:p>
      <w:pPr>
        <w:sectPr>
          <w:pgSz w:w="11900" w:h="16838" w:orient="portrait"/>
          <w:cols w:equalWidth="0" w:num="1">
            <w:col w:w="9019"/>
          </w:cols>
          <w:pgMar w:left="1440" w:top="995" w:right="1440"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2992755</wp:posOffset>
            </wp:positionH>
            <wp:positionV relativeFrom="page">
              <wp:posOffset>375285</wp:posOffset>
            </wp:positionV>
            <wp:extent cx="1563370" cy="169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1563370" cy="169545"/>
                    </a:xfrm>
                    <a:prstGeom prst="rect">
                      <a:avLst/>
                    </a:prstGeom>
                    <a:noFill/>
                  </pic:spPr>
                </pic:pic>
              </a:graphicData>
            </a:graphic>
          </wp:anchor>
        </w:drawing>
        <w:t>NOTES TO CONSOLIDATED FINANCIAL STATEMENTS</w:t>
      </w:r>
    </w:p>
    <w:p>
      <w:pPr>
        <w:spacing w:after="0" w:line="159" w:lineRule="exact"/>
        <w:rPr>
          <w:sz w:val="20"/>
          <w:szCs w:val="20"/>
          <w:color w:val="auto"/>
        </w:rPr>
      </w:pPr>
    </w:p>
    <w:p>
      <w:pPr>
        <w:jc w:val="both"/>
        <w:ind w:left="20" w:right="39"/>
        <w:spacing w:after="0"/>
        <w:rPr>
          <w:sz w:val="20"/>
          <w:szCs w:val="20"/>
          <w:color w:val="auto"/>
        </w:rPr>
      </w:pPr>
      <w:r>
        <w:rPr>
          <w:rFonts w:ascii="Arial" w:cs="Arial" w:eastAsia="Arial" w:hAnsi="Arial"/>
          <w:sz w:val="13"/>
          <w:szCs w:val="13"/>
          <w:color w:val="auto"/>
        </w:rPr>
        <w:t>Our derivative financial instruments are valued using market-based inputs to valuation models. These valuation models require a variety of inputs, including contractual terms, market prices, yield curves, and measures of volatility and therefore are classified as Level 2 instruments.</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Assets and Liabilities Measured at Fair Value on a Recurring Basis</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2480" w:type="dxa"/>
            <w:vAlign w:val="bottom"/>
            <w:gridSpan w:val="2"/>
          </w:tcPr>
          <w:p>
            <w:pPr>
              <w:spacing w:after="0"/>
              <w:rPr>
                <w:sz w:val="20"/>
                <w:szCs w:val="20"/>
                <w:color w:val="auto"/>
              </w:rPr>
            </w:pPr>
            <w:r>
              <w:rPr>
                <w:rFonts w:ascii="Arial" w:cs="Arial" w:eastAsia="Arial" w:hAnsi="Arial"/>
                <w:sz w:val="13"/>
                <w:szCs w:val="13"/>
                <w:color w:val="auto"/>
              </w:rPr>
              <w:t>($ in millions)</w:t>
            </w:r>
          </w:p>
        </w:tc>
        <w:tc>
          <w:tcPr>
            <w:tcW w:w="1080" w:type="dxa"/>
            <w:vAlign w:val="bottom"/>
          </w:tcPr>
          <w:p>
            <w:pPr>
              <w:spacing w:after="0"/>
              <w:rPr>
                <w:sz w:val="14"/>
                <w:szCs w:val="14"/>
                <w:color w:val="auto"/>
              </w:rPr>
            </w:pPr>
          </w:p>
        </w:tc>
        <w:tc>
          <w:tcPr>
            <w:tcW w:w="1560" w:type="dxa"/>
            <w:vAlign w:val="bottom"/>
            <w:gridSpan w:val="4"/>
          </w:tcPr>
          <w:p>
            <w:pPr>
              <w:ind w:left="100"/>
              <w:spacing w:after="0"/>
              <w:rPr>
                <w:sz w:val="20"/>
                <w:szCs w:val="20"/>
                <w:color w:val="auto"/>
              </w:rPr>
            </w:pPr>
            <w:r>
              <w:rPr>
                <w:rFonts w:ascii="Arial" w:cs="Arial" w:eastAsia="Arial" w:hAnsi="Arial"/>
                <w:sz w:val="13"/>
                <w:szCs w:val="13"/>
                <w:b w:val="1"/>
                <w:bCs w:val="1"/>
                <w:color w:val="auto"/>
              </w:rPr>
              <w:t>As of January 30, 2021</w:t>
            </w: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3"/>
          </w:tcPr>
          <w:p>
            <w:pPr>
              <w:jc w:val="right"/>
              <w:ind w:right="15"/>
              <w:spacing w:after="0"/>
              <w:rPr>
                <w:sz w:val="20"/>
                <w:szCs w:val="20"/>
                <w:color w:val="auto"/>
              </w:rPr>
            </w:pPr>
            <w:r>
              <w:rPr>
                <w:rFonts w:ascii="Arial" w:cs="Arial" w:eastAsia="Arial" w:hAnsi="Arial"/>
                <w:sz w:val="13"/>
                <w:szCs w:val="13"/>
                <w:color w:val="auto"/>
                <w:w w:val="99"/>
              </w:rPr>
              <w:t>As of February 1, 2020</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60" w:type="dxa"/>
            <w:vAlign w:val="bottom"/>
            <w:tcBorders>
              <w:top w:val="single" w:sz="8" w:color="auto"/>
              <w:bottom w:val="single" w:sz="8" w:color="auto"/>
            </w:tcBorders>
          </w:tcPr>
          <w:p>
            <w:pPr>
              <w:spacing w:after="0"/>
              <w:rPr>
                <w:sz w:val="11"/>
                <w:szCs w:val="11"/>
                <w:color w:val="auto"/>
              </w:rPr>
            </w:pPr>
          </w:p>
        </w:tc>
        <w:tc>
          <w:tcPr>
            <w:tcW w:w="108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Level 1</w:t>
            </w:r>
          </w:p>
        </w:tc>
        <w:tc>
          <w:tcPr>
            <w:tcW w:w="26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195"/>
              <w:spacing w:after="0" w:line="134" w:lineRule="exact"/>
              <w:rPr>
                <w:sz w:val="20"/>
                <w:szCs w:val="20"/>
                <w:color w:val="auto"/>
              </w:rPr>
            </w:pPr>
            <w:r>
              <w:rPr>
                <w:rFonts w:ascii="Arial" w:cs="Arial" w:eastAsia="Arial" w:hAnsi="Arial"/>
                <w:sz w:val="13"/>
                <w:szCs w:val="13"/>
                <w:b w:val="1"/>
                <w:bCs w:val="1"/>
                <w:color w:val="auto"/>
              </w:rPr>
              <w:t>Level 2</w:t>
            </w:r>
          </w:p>
        </w:tc>
        <w:tc>
          <w:tcPr>
            <w:tcW w:w="28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tcPr>
          <w:p>
            <w:pPr>
              <w:ind w:left="40"/>
              <w:spacing w:after="0" w:line="134" w:lineRule="exact"/>
              <w:rPr>
                <w:sz w:val="20"/>
                <w:szCs w:val="20"/>
                <w:color w:val="auto"/>
              </w:rPr>
            </w:pPr>
            <w:r>
              <w:rPr>
                <w:rFonts w:ascii="Arial" w:cs="Arial" w:eastAsia="Arial" w:hAnsi="Arial"/>
                <w:sz w:val="13"/>
                <w:szCs w:val="13"/>
                <w:b w:val="1"/>
                <w:bCs w:val="1"/>
                <w:color w:val="auto"/>
              </w:rPr>
              <w:t>Level 3</w:t>
            </w:r>
          </w:p>
        </w:tc>
        <w:tc>
          <w:tcPr>
            <w:tcW w:w="78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Level 1</w:t>
            </w:r>
          </w:p>
        </w:tc>
        <w:tc>
          <w:tcPr>
            <w:tcW w:w="140" w:type="dxa"/>
            <w:vAlign w:val="bottom"/>
            <w:tcBorders>
              <w:top w:val="single" w:sz="8" w:color="auto"/>
              <w:bottom w:val="single" w:sz="8" w:color="auto"/>
            </w:tcBorders>
          </w:tcPr>
          <w:p>
            <w:pPr>
              <w:spacing w:after="0"/>
              <w:rPr>
                <w:sz w:val="11"/>
                <w:szCs w:val="11"/>
                <w:color w:val="auto"/>
              </w:rPr>
            </w:pPr>
          </w:p>
        </w:tc>
        <w:tc>
          <w:tcPr>
            <w:tcW w:w="38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35"/>
              <w:spacing w:after="0" w:line="134" w:lineRule="exact"/>
              <w:rPr>
                <w:sz w:val="20"/>
                <w:szCs w:val="20"/>
                <w:color w:val="auto"/>
              </w:rPr>
            </w:pPr>
            <w:r>
              <w:rPr>
                <w:rFonts w:ascii="Arial" w:cs="Arial" w:eastAsia="Arial" w:hAnsi="Arial"/>
                <w:sz w:val="13"/>
                <w:szCs w:val="13"/>
                <w:color w:val="auto"/>
              </w:rPr>
              <w:t>Level 2</w:t>
            </w:r>
          </w:p>
        </w:tc>
        <w:tc>
          <w:tcPr>
            <w:tcW w:w="26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ind w:left="80"/>
              <w:spacing w:after="0" w:line="134" w:lineRule="exact"/>
              <w:rPr>
                <w:sz w:val="20"/>
                <w:szCs w:val="20"/>
                <w:color w:val="auto"/>
              </w:rPr>
            </w:pPr>
            <w:r>
              <w:rPr>
                <w:rFonts w:ascii="Arial" w:cs="Arial" w:eastAsia="Arial" w:hAnsi="Arial"/>
                <w:sz w:val="13"/>
                <w:szCs w:val="13"/>
                <w:color w:val="auto"/>
              </w:rPr>
              <w:t>Level 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60" w:type="dxa"/>
            <w:vAlign w:val="bottom"/>
            <w:shd w:val="clear" w:color="auto" w:fill="CCEEFF"/>
          </w:tcPr>
          <w:p>
            <w:pPr>
              <w:spacing w:after="0" w:line="134" w:lineRule="exact"/>
              <w:rPr>
                <w:sz w:val="20"/>
                <w:szCs w:val="20"/>
                <w:color w:val="auto"/>
              </w:rPr>
            </w:pPr>
            <w:r>
              <w:rPr>
                <w:rFonts w:ascii="Arial" w:cs="Arial" w:eastAsia="Arial" w:hAnsi="Arial"/>
                <w:sz w:val="13"/>
                <w:szCs w:val="13"/>
                <w:b w:val="1"/>
                <w:bCs w:val="1"/>
                <w:color w:val="auto"/>
              </w:rPr>
              <w:t>Assets</w:t>
            </w:r>
          </w:p>
        </w:tc>
        <w:tc>
          <w:tcPr>
            <w:tcW w:w="10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tcPr>
          <w:p>
            <w:pPr>
              <w:spacing w:after="0" w:line="144" w:lineRule="exact"/>
              <w:rPr>
                <w:sz w:val="20"/>
                <w:szCs w:val="20"/>
                <w:color w:val="auto"/>
              </w:rPr>
            </w:pPr>
            <w:r>
              <w:rPr>
                <w:rFonts w:ascii="Arial" w:cs="Arial" w:eastAsia="Arial" w:hAnsi="Arial"/>
                <w:sz w:val="13"/>
                <w:szCs w:val="13"/>
                <w:color w:val="auto"/>
              </w:rPr>
              <w:t>Available-for-sale security</w:t>
            </w:r>
          </w:p>
        </w:tc>
        <w:tc>
          <w:tcPr>
            <w:tcW w:w="1080" w:type="dxa"/>
            <w:vAlign w:val="bottom"/>
          </w:tcPr>
          <w:p>
            <w:pPr>
              <w:jc w:val="right"/>
              <w:ind w:right="515"/>
              <w:spacing w:after="0" w:line="144"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line="144" w:lineRule="exact"/>
              <w:rPr>
                <w:sz w:val="20"/>
                <w:szCs w:val="20"/>
                <w:color w:val="auto"/>
              </w:rPr>
            </w:pPr>
            <w:r>
              <w:rPr>
                <w:rFonts w:ascii="Arial" w:cs="Arial" w:eastAsia="Arial" w:hAnsi="Arial"/>
                <w:sz w:val="13"/>
                <w:szCs w:val="13"/>
                <w:b w:val="1"/>
                <w:bCs w:val="1"/>
                <w:color w:val="auto"/>
              </w:rPr>
              <w:t>—</w:t>
            </w:r>
          </w:p>
        </w:tc>
        <w:tc>
          <w:tcPr>
            <w:tcW w:w="24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w:t>
            </w:r>
          </w:p>
        </w:tc>
        <w:tc>
          <w:tcPr>
            <w:tcW w:w="780" w:type="dxa"/>
            <w:vAlign w:val="bottom"/>
          </w:tcPr>
          <w:p>
            <w:pPr>
              <w:jc w:val="right"/>
              <w:ind w:right="35"/>
              <w:spacing w:after="0" w:line="144" w:lineRule="exact"/>
              <w:rPr>
                <w:sz w:val="20"/>
                <w:szCs w:val="20"/>
                <w:color w:val="auto"/>
              </w:rPr>
            </w:pPr>
            <w:r>
              <w:rPr>
                <w:rFonts w:ascii="Arial" w:cs="Arial" w:eastAsia="Arial" w:hAnsi="Arial"/>
                <w:sz w:val="13"/>
                <w:szCs w:val="13"/>
                <w:b w:val="1"/>
                <w:bCs w:val="1"/>
                <w:color w:val="auto"/>
              </w:rPr>
              <w:t>7</w:t>
            </w:r>
          </w:p>
        </w:tc>
        <w:tc>
          <w:tcPr>
            <w:tcW w:w="280" w:type="dxa"/>
            <w:vAlign w:val="bottom"/>
          </w:tcPr>
          <w:p>
            <w:pPr>
              <w:jc w:val="right"/>
              <w:ind w:right="15"/>
              <w:spacing w:after="0" w:line="144" w:lineRule="exact"/>
              <w:rPr>
                <w:sz w:val="20"/>
                <w:szCs w:val="20"/>
                <w:color w:val="auto"/>
              </w:rPr>
            </w:pPr>
            <w:r>
              <w:rPr>
                <w:rFonts w:ascii="Arial" w:cs="Arial" w:eastAsia="Arial" w:hAnsi="Arial"/>
                <w:sz w:val="13"/>
                <w:szCs w:val="13"/>
                <w:b w:val="1"/>
                <w:bCs w:val="1"/>
                <w:color w:val="auto"/>
              </w:rPr>
              <w:t>$</w:t>
            </w:r>
          </w:p>
        </w:tc>
        <w:tc>
          <w:tcPr>
            <w:tcW w:w="760" w:type="dxa"/>
            <w:vAlign w:val="bottom"/>
          </w:tcPr>
          <w:p>
            <w:pPr>
              <w:ind w:left="520"/>
              <w:spacing w:after="0" w:line="144" w:lineRule="exact"/>
              <w:rPr>
                <w:sz w:val="20"/>
                <w:szCs w:val="20"/>
                <w:color w:val="auto"/>
              </w:rPr>
            </w:pPr>
            <w:r>
              <w:rPr>
                <w:rFonts w:ascii="Arial" w:cs="Arial" w:eastAsia="Arial" w:hAnsi="Arial"/>
                <w:sz w:val="13"/>
                <w:szCs w:val="13"/>
                <w:b w:val="1"/>
                <w:bCs w:val="1"/>
                <w:color w:val="auto"/>
              </w:rPr>
              <w:t>—</w:t>
            </w:r>
          </w:p>
        </w:tc>
        <w:tc>
          <w:tcPr>
            <w:tcW w:w="780" w:type="dxa"/>
            <w:vAlign w:val="bottom"/>
          </w:tcPr>
          <w:p>
            <w:pPr>
              <w:jc w:val="right"/>
              <w:ind w:right="515"/>
              <w:spacing w:after="0" w:line="144" w:lineRule="exact"/>
              <w:rPr>
                <w:sz w:val="20"/>
                <w:szCs w:val="20"/>
                <w:color w:val="auto"/>
              </w:rPr>
            </w:pPr>
            <w:r>
              <w:rPr>
                <w:rFonts w:ascii="Arial" w:cs="Arial" w:eastAsia="Arial" w:hAnsi="Arial"/>
                <w:sz w:val="13"/>
                <w:szCs w:val="13"/>
                <w:color w:val="auto"/>
              </w:rPr>
              <w:t>$</w:t>
            </w:r>
          </w:p>
        </w:tc>
        <w:tc>
          <w:tcPr>
            <w:tcW w:w="140" w:type="dxa"/>
            <w:vAlign w:val="bottom"/>
          </w:tcPr>
          <w:p>
            <w:pPr>
              <w:ind w:left="20"/>
              <w:spacing w:after="0" w:line="144" w:lineRule="exact"/>
              <w:rPr>
                <w:sz w:val="20"/>
                <w:szCs w:val="20"/>
                <w:color w:val="auto"/>
              </w:rPr>
            </w:pPr>
            <w:r>
              <w:rPr>
                <w:rFonts w:ascii="Arial" w:cs="Arial" w:eastAsia="Arial" w:hAnsi="Arial"/>
                <w:sz w:val="13"/>
                <w:szCs w:val="13"/>
                <w:color w:val="auto"/>
                <w:w w:val="76"/>
              </w:rPr>
              <w:t>—</w:t>
            </w:r>
          </w:p>
        </w:tc>
        <w:tc>
          <w:tcPr>
            <w:tcW w:w="38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780" w:type="dxa"/>
            <w:vAlign w:val="bottom"/>
          </w:tcPr>
          <w:p>
            <w:pPr>
              <w:jc w:val="right"/>
              <w:ind w:right="55"/>
              <w:spacing w:after="0" w:line="144" w:lineRule="exact"/>
              <w:rPr>
                <w:sz w:val="20"/>
                <w:szCs w:val="20"/>
                <w:color w:val="auto"/>
              </w:rPr>
            </w:pPr>
            <w:r>
              <w:rPr>
                <w:rFonts w:ascii="Arial" w:cs="Arial" w:eastAsia="Arial" w:hAnsi="Arial"/>
                <w:sz w:val="13"/>
                <w:szCs w:val="13"/>
                <w:color w:val="auto"/>
              </w:rPr>
              <w:t>7</w:t>
            </w:r>
          </w:p>
        </w:tc>
        <w:tc>
          <w:tcPr>
            <w:tcW w:w="260" w:type="dxa"/>
            <w:vAlign w:val="bottom"/>
          </w:tcPr>
          <w:p>
            <w:pPr>
              <w:jc w:val="right"/>
              <w:ind w:right="15"/>
              <w:spacing w:after="0" w:line="144" w:lineRule="exact"/>
              <w:rPr>
                <w:sz w:val="20"/>
                <w:szCs w:val="20"/>
                <w:color w:val="auto"/>
              </w:rPr>
            </w:pPr>
            <w:r>
              <w:rPr>
                <w:rFonts w:ascii="Arial" w:cs="Arial" w:eastAsia="Arial" w:hAnsi="Arial"/>
                <w:sz w:val="13"/>
                <w:szCs w:val="13"/>
                <w:color w:val="auto"/>
              </w:rPr>
              <w:t>$</w:t>
            </w:r>
          </w:p>
        </w:tc>
        <w:tc>
          <w:tcPr>
            <w:tcW w:w="720" w:type="dxa"/>
            <w:vAlign w:val="bottom"/>
          </w:tcPr>
          <w:p>
            <w:pPr>
              <w:ind w:left="54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tcBorders>
              <w:bottom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rPr>
              <w:t>Foreign exchange forward contracts</w:t>
            </w:r>
          </w:p>
        </w:tc>
        <w:tc>
          <w:tcPr>
            <w:tcW w:w="108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w:t>
            </w:r>
          </w:p>
        </w:tc>
        <w:tc>
          <w:tcPr>
            <w:tcW w:w="2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35"/>
              <w:spacing w:after="0" w:line="144" w:lineRule="exact"/>
              <w:rPr>
                <w:sz w:val="20"/>
                <w:szCs w:val="20"/>
                <w:color w:val="auto"/>
              </w:rPr>
            </w:pPr>
            <w:r>
              <w:rPr>
                <w:rFonts w:ascii="Arial" w:cs="Arial" w:eastAsia="Arial" w:hAnsi="Arial"/>
                <w:sz w:val="13"/>
                <w:szCs w:val="13"/>
                <w:b w:val="1"/>
                <w:bCs w:val="1"/>
                <w:color w:val="auto"/>
              </w:rPr>
              <w:t>1</w:t>
            </w:r>
          </w:p>
        </w:tc>
        <w:tc>
          <w:tcPr>
            <w:tcW w:w="2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ind w:left="520"/>
              <w:spacing w:after="0" w:line="144" w:lineRule="exact"/>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ind w:left="20"/>
              <w:spacing w:after="0" w:line="144" w:lineRule="exact"/>
              <w:rPr>
                <w:sz w:val="20"/>
                <w:szCs w:val="20"/>
                <w:color w:val="auto"/>
              </w:rPr>
            </w:pPr>
            <w:r>
              <w:rPr>
                <w:rFonts w:ascii="Arial" w:cs="Arial" w:eastAsia="Arial" w:hAnsi="Arial"/>
                <w:sz w:val="13"/>
                <w:szCs w:val="13"/>
                <w:color w:val="auto"/>
                <w:w w:val="76"/>
              </w:rPr>
              <w:t>—</w:t>
            </w:r>
          </w:p>
        </w:tc>
        <w:tc>
          <w:tcPr>
            <w:tcW w:w="38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ind w:left="54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60" w:type="dxa"/>
            <w:vAlign w:val="bottom"/>
            <w:tcBorders>
              <w:bottom w:val="single" w:sz="8" w:color="auto"/>
            </w:tcBorders>
          </w:tcPr>
          <w:p>
            <w:pPr>
              <w:spacing w:after="0" w:line="134" w:lineRule="exact"/>
              <w:rPr>
                <w:sz w:val="20"/>
                <w:szCs w:val="20"/>
                <w:color w:val="auto"/>
              </w:rPr>
            </w:pPr>
            <w:r>
              <w:rPr>
                <w:rFonts w:ascii="Arial" w:cs="Arial" w:eastAsia="Arial" w:hAnsi="Arial"/>
                <w:sz w:val="13"/>
                <w:szCs w:val="13"/>
                <w:color w:val="auto"/>
              </w:rPr>
              <w:t>Total Assets</w:t>
            </w:r>
          </w:p>
        </w:tc>
        <w:tc>
          <w:tcPr>
            <w:tcW w:w="1080" w:type="dxa"/>
            <w:vAlign w:val="bottom"/>
            <w:tcBorders>
              <w:bottom w:val="single" w:sz="8" w:color="auto"/>
            </w:tcBorders>
          </w:tcPr>
          <w:p>
            <w:pPr>
              <w:jc w:val="right"/>
              <w:ind w:right="515"/>
              <w:spacing w:after="0" w:line="134" w:lineRule="exact"/>
              <w:rPr>
                <w:sz w:val="20"/>
                <w:szCs w:val="20"/>
                <w:color w:val="auto"/>
              </w:rPr>
            </w:pPr>
            <w:r>
              <w:rPr>
                <w:rFonts w:ascii="Arial" w:cs="Arial" w:eastAsia="Arial" w:hAnsi="Arial"/>
                <w:sz w:val="13"/>
                <w:szCs w:val="13"/>
                <w:b w:val="1"/>
                <w:bCs w:val="1"/>
                <w:color w:val="auto"/>
              </w:rPr>
              <w:t>$</w:t>
            </w:r>
          </w:p>
        </w:tc>
        <w:tc>
          <w:tcPr>
            <w:tcW w:w="260" w:type="dxa"/>
            <w:vAlign w:val="bottom"/>
            <w:tcBorders>
              <w:bottom w:val="single" w:sz="8" w:color="auto"/>
            </w:tcBorders>
          </w:tcPr>
          <w:p>
            <w:pPr>
              <w:spacing w:after="0" w:line="134" w:lineRule="exact"/>
              <w:rPr>
                <w:sz w:val="20"/>
                <w:szCs w:val="20"/>
                <w:color w:val="auto"/>
              </w:rPr>
            </w:pPr>
            <w:r>
              <w:rPr>
                <w:rFonts w:ascii="Arial" w:cs="Arial" w:eastAsia="Arial" w:hAnsi="Arial"/>
                <w:sz w:val="13"/>
                <w:szCs w:val="13"/>
                <w:b w:val="1"/>
                <w:bCs w:val="1"/>
                <w:color w:val="auto"/>
              </w:rPr>
              <w:t>—</w:t>
            </w:r>
          </w:p>
        </w:tc>
        <w:tc>
          <w:tcPr>
            <w:tcW w:w="2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ind w:right="35"/>
              <w:spacing w:after="0" w:line="134" w:lineRule="exact"/>
              <w:rPr>
                <w:sz w:val="20"/>
                <w:szCs w:val="20"/>
                <w:color w:val="auto"/>
              </w:rPr>
            </w:pPr>
            <w:r>
              <w:rPr>
                <w:rFonts w:ascii="Arial" w:cs="Arial" w:eastAsia="Arial" w:hAnsi="Arial"/>
                <w:sz w:val="13"/>
                <w:szCs w:val="13"/>
                <w:b w:val="1"/>
                <w:bCs w:val="1"/>
                <w:color w:val="auto"/>
              </w:rPr>
              <w:t>8</w:t>
            </w:r>
          </w:p>
        </w:tc>
        <w:tc>
          <w:tcPr>
            <w:tcW w:w="280" w:type="dxa"/>
            <w:vAlign w:val="bottom"/>
            <w:tcBorders>
              <w:bottom w:val="single" w:sz="8" w:color="auto"/>
            </w:tcBorders>
          </w:tcPr>
          <w:p>
            <w:pPr>
              <w:jc w:val="right"/>
              <w:ind w:right="15"/>
              <w:spacing w:after="0" w:line="134" w:lineRule="exact"/>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ind w:left="520"/>
              <w:spacing w:after="0" w:line="134" w:lineRule="exact"/>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ind w:right="515"/>
              <w:spacing w:after="0" w:line="134"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ind w:left="20"/>
              <w:spacing w:after="0" w:line="134" w:lineRule="exact"/>
              <w:rPr>
                <w:sz w:val="20"/>
                <w:szCs w:val="20"/>
                <w:color w:val="auto"/>
              </w:rPr>
            </w:pPr>
            <w:r>
              <w:rPr>
                <w:rFonts w:ascii="Arial" w:cs="Arial" w:eastAsia="Arial" w:hAnsi="Arial"/>
                <w:sz w:val="13"/>
                <w:szCs w:val="13"/>
                <w:color w:val="auto"/>
                <w:w w:val="76"/>
              </w:rPr>
              <w:t>—</w:t>
            </w:r>
          </w:p>
        </w:tc>
        <w:tc>
          <w:tcPr>
            <w:tcW w:w="3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55"/>
              <w:spacing w:after="0" w:line="134" w:lineRule="exact"/>
              <w:rPr>
                <w:sz w:val="20"/>
                <w:szCs w:val="20"/>
                <w:color w:val="auto"/>
              </w:rPr>
            </w:pPr>
            <w:r>
              <w:rPr>
                <w:rFonts w:ascii="Arial" w:cs="Arial" w:eastAsia="Arial" w:hAnsi="Arial"/>
                <w:sz w:val="13"/>
                <w:szCs w:val="13"/>
                <w:color w:val="auto"/>
              </w:rPr>
              <w:t>7</w:t>
            </w:r>
          </w:p>
        </w:tc>
        <w:tc>
          <w:tcPr>
            <w:tcW w:w="260" w:type="dxa"/>
            <w:vAlign w:val="bottom"/>
            <w:tcBorders>
              <w:bottom w:val="single" w:sz="8" w:color="auto"/>
            </w:tcBorders>
          </w:tcPr>
          <w:p>
            <w:pPr>
              <w:jc w:val="right"/>
              <w:ind w:right="15"/>
              <w:spacing w:after="0" w:line="134"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ind w:left="540"/>
              <w:spacing w:after="0" w:line="13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246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460" w:type="dxa"/>
            <w:vAlign w:val="bottom"/>
          </w:tcPr>
          <w:p>
            <w:pPr>
              <w:spacing w:after="0" w:line="144" w:lineRule="exact"/>
              <w:rPr>
                <w:sz w:val="20"/>
                <w:szCs w:val="20"/>
                <w:color w:val="auto"/>
              </w:rPr>
            </w:pPr>
            <w:r>
              <w:rPr>
                <w:rFonts w:ascii="Arial" w:cs="Arial" w:eastAsia="Arial" w:hAnsi="Arial"/>
                <w:sz w:val="13"/>
                <w:szCs w:val="13"/>
                <w:b w:val="1"/>
                <w:bCs w:val="1"/>
                <w:color w:val="auto"/>
              </w:rPr>
              <w:t>Liabilities</w:t>
            </w: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460" w:type="dxa"/>
            <w:vAlign w:val="bottom"/>
            <w:tcBorders>
              <w:bottom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rPr>
              <w:t>Foreign exchange forward contracts</w:t>
            </w:r>
          </w:p>
        </w:tc>
        <w:tc>
          <w:tcPr>
            <w:tcW w:w="1080" w:type="dxa"/>
            <w:vAlign w:val="bottom"/>
            <w:tcBorders>
              <w:bottom w:val="single" w:sz="8" w:color="auto"/>
            </w:tcBorders>
            <w:shd w:val="clear" w:color="auto" w:fill="CCEEFF"/>
          </w:tcPr>
          <w:p>
            <w:pPr>
              <w:jc w:val="right"/>
              <w:ind w:right="515"/>
              <w:spacing w:after="0" w:line="144" w:lineRule="exact"/>
              <w:rPr>
                <w:sz w:val="20"/>
                <w:szCs w:val="20"/>
                <w:color w:val="auto"/>
              </w:rPr>
            </w:pPr>
            <w:r>
              <w:rPr>
                <w:rFonts w:ascii="Arial" w:cs="Arial" w:eastAsia="Arial" w:hAnsi="Arial"/>
                <w:sz w:val="13"/>
                <w:szCs w:val="13"/>
                <w:b w:val="1"/>
                <w:bCs w:val="1"/>
                <w:color w:val="auto"/>
              </w:rPr>
              <w:t>$</w:t>
            </w:r>
          </w:p>
        </w:tc>
        <w:tc>
          <w:tcPr>
            <w:tcW w:w="260" w:type="dxa"/>
            <w:vAlign w:val="bottom"/>
            <w:tcBorders>
              <w:bottom w:val="single" w:sz="8" w:color="auto"/>
            </w:tcBorders>
            <w:shd w:val="clear" w:color="auto" w:fill="CCEEFF"/>
          </w:tcPr>
          <w:p>
            <w:pPr>
              <w:spacing w:after="0" w:line="144" w:lineRule="exact"/>
              <w:rPr>
                <w:sz w:val="20"/>
                <w:szCs w:val="20"/>
                <w:color w:val="auto"/>
              </w:rPr>
            </w:pPr>
            <w:r>
              <w:rPr>
                <w:rFonts w:ascii="Arial" w:cs="Arial" w:eastAsia="Arial" w:hAnsi="Arial"/>
                <w:sz w:val="13"/>
                <w:szCs w:val="13"/>
                <w:b w:val="1"/>
                <w:bCs w:val="1"/>
                <w:color w:val="auto"/>
              </w:rPr>
              <w:t>—</w:t>
            </w:r>
          </w:p>
        </w:tc>
        <w:tc>
          <w:tcPr>
            <w:tcW w:w="2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shd w:val="clear" w:color="auto" w:fill="CCEEFF"/>
          </w:tcPr>
          <w:p>
            <w:pPr>
              <w:jc w:val="right"/>
              <w:ind w:right="35"/>
              <w:spacing w:after="0" w:line="144" w:lineRule="exact"/>
              <w:rPr>
                <w:sz w:val="20"/>
                <w:szCs w:val="20"/>
                <w:color w:val="auto"/>
              </w:rPr>
            </w:pPr>
            <w:r>
              <w:rPr>
                <w:rFonts w:ascii="Arial" w:cs="Arial" w:eastAsia="Arial" w:hAnsi="Arial"/>
                <w:sz w:val="13"/>
                <w:szCs w:val="13"/>
                <w:b w:val="1"/>
                <w:bCs w:val="1"/>
                <w:color w:val="auto"/>
              </w:rPr>
              <w:t>1</w:t>
            </w:r>
          </w:p>
        </w:tc>
        <w:tc>
          <w:tcPr>
            <w:tcW w:w="280" w:type="dxa"/>
            <w:vAlign w:val="bottom"/>
            <w:tcBorders>
              <w:bottom w:val="single" w:sz="8" w:color="auto"/>
            </w:tcBorders>
            <w:shd w:val="clear" w:color="auto" w:fill="CCEEFF"/>
          </w:tcPr>
          <w:p>
            <w:pPr>
              <w:jc w:val="right"/>
              <w:ind w:right="15"/>
              <w:spacing w:after="0" w:line="144" w:lineRule="exact"/>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shd w:val="clear" w:color="auto" w:fill="CCEEFF"/>
          </w:tcPr>
          <w:p>
            <w:pPr>
              <w:ind w:left="520"/>
              <w:spacing w:after="0" w:line="144" w:lineRule="exact"/>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shd w:val="clear" w:color="auto" w:fill="CCEEFF"/>
          </w:tcPr>
          <w:p>
            <w:pPr>
              <w:jc w:val="right"/>
              <w:ind w:right="515"/>
              <w:spacing w:after="0" w:line="144"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shd w:val="clear" w:color="auto" w:fill="CCEEFF"/>
          </w:tcPr>
          <w:p>
            <w:pPr>
              <w:ind w:left="20"/>
              <w:spacing w:after="0" w:line="144" w:lineRule="exact"/>
              <w:rPr>
                <w:sz w:val="20"/>
                <w:szCs w:val="20"/>
                <w:color w:val="auto"/>
              </w:rPr>
            </w:pPr>
            <w:r>
              <w:rPr>
                <w:rFonts w:ascii="Arial" w:cs="Arial" w:eastAsia="Arial" w:hAnsi="Arial"/>
                <w:sz w:val="13"/>
                <w:szCs w:val="13"/>
                <w:color w:val="auto"/>
                <w:w w:val="76"/>
              </w:rPr>
              <w:t>—</w:t>
            </w:r>
          </w:p>
        </w:tc>
        <w:tc>
          <w:tcPr>
            <w:tcW w:w="38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4</w:t>
            </w:r>
          </w:p>
        </w:tc>
        <w:tc>
          <w:tcPr>
            <w:tcW w:w="260" w:type="dxa"/>
            <w:vAlign w:val="bottom"/>
            <w:tcBorders>
              <w:bottom w:val="single" w:sz="8" w:color="auto"/>
            </w:tcBorders>
            <w:shd w:val="clear" w:color="auto" w:fill="CCEEFF"/>
          </w:tcPr>
          <w:p>
            <w:pPr>
              <w:jc w:val="right"/>
              <w:ind w:right="15"/>
              <w:spacing w:after="0" w:line="144"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ind w:left="540"/>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0" w:type="dxa"/>
            <w:vAlign w:val="bottom"/>
            <w:tcBorders>
              <w:bottom w:val="single" w:sz="8" w:color="auto"/>
            </w:tcBorders>
          </w:tcPr>
          <w:p>
            <w:pPr>
              <w:spacing w:after="0"/>
              <w:rPr>
                <w:sz w:val="11"/>
                <w:szCs w:val="11"/>
                <w:color w:val="auto"/>
              </w:rPr>
            </w:pPr>
          </w:p>
        </w:tc>
        <w:tc>
          <w:tcPr>
            <w:tcW w:w="2460" w:type="dxa"/>
            <w:vAlign w:val="bottom"/>
            <w:tcBorders>
              <w:bottom w:val="single" w:sz="8" w:color="auto"/>
            </w:tcBorders>
          </w:tcPr>
          <w:p>
            <w:pPr>
              <w:spacing w:after="0" w:line="134" w:lineRule="exact"/>
              <w:rPr>
                <w:sz w:val="20"/>
                <w:szCs w:val="20"/>
                <w:color w:val="auto"/>
              </w:rPr>
            </w:pPr>
            <w:r>
              <w:rPr>
                <w:rFonts w:ascii="Arial" w:cs="Arial" w:eastAsia="Arial" w:hAnsi="Arial"/>
                <w:sz w:val="13"/>
                <w:szCs w:val="13"/>
                <w:color w:val="auto"/>
              </w:rPr>
              <w:t>Total Liabilities</w:t>
            </w:r>
          </w:p>
        </w:tc>
        <w:tc>
          <w:tcPr>
            <w:tcW w:w="1080" w:type="dxa"/>
            <w:vAlign w:val="bottom"/>
            <w:tcBorders>
              <w:bottom w:val="single" w:sz="8" w:color="auto"/>
            </w:tcBorders>
          </w:tcPr>
          <w:p>
            <w:pPr>
              <w:jc w:val="right"/>
              <w:ind w:right="515"/>
              <w:spacing w:after="0" w:line="134" w:lineRule="exact"/>
              <w:rPr>
                <w:sz w:val="20"/>
                <w:szCs w:val="20"/>
                <w:color w:val="auto"/>
              </w:rPr>
            </w:pPr>
            <w:r>
              <w:rPr>
                <w:rFonts w:ascii="Arial" w:cs="Arial" w:eastAsia="Arial" w:hAnsi="Arial"/>
                <w:sz w:val="13"/>
                <w:szCs w:val="13"/>
                <w:b w:val="1"/>
                <w:bCs w:val="1"/>
                <w:color w:val="auto"/>
              </w:rPr>
              <w:t>$</w:t>
            </w:r>
          </w:p>
        </w:tc>
        <w:tc>
          <w:tcPr>
            <w:tcW w:w="260" w:type="dxa"/>
            <w:vAlign w:val="bottom"/>
            <w:tcBorders>
              <w:bottom w:val="single" w:sz="8" w:color="auto"/>
            </w:tcBorders>
          </w:tcPr>
          <w:p>
            <w:pPr>
              <w:spacing w:after="0" w:line="134" w:lineRule="exact"/>
              <w:rPr>
                <w:sz w:val="20"/>
                <w:szCs w:val="20"/>
                <w:color w:val="auto"/>
              </w:rPr>
            </w:pPr>
            <w:r>
              <w:rPr>
                <w:rFonts w:ascii="Arial" w:cs="Arial" w:eastAsia="Arial" w:hAnsi="Arial"/>
                <w:sz w:val="13"/>
                <w:szCs w:val="13"/>
                <w:b w:val="1"/>
                <w:bCs w:val="1"/>
                <w:color w:val="auto"/>
              </w:rPr>
              <w:t>—</w:t>
            </w:r>
          </w:p>
        </w:tc>
        <w:tc>
          <w:tcPr>
            <w:tcW w:w="2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ind w:right="35"/>
              <w:spacing w:after="0" w:line="134" w:lineRule="exact"/>
              <w:rPr>
                <w:sz w:val="20"/>
                <w:szCs w:val="20"/>
                <w:color w:val="auto"/>
              </w:rPr>
            </w:pPr>
            <w:r>
              <w:rPr>
                <w:rFonts w:ascii="Arial" w:cs="Arial" w:eastAsia="Arial" w:hAnsi="Arial"/>
                <w:sz w:val="13"/>
                <w:szCs w:val="13"/>
                <w:b w:val="1"/>
                <w:bCs w:val="1"/>
                <w:color w:val="auto"/>
              </w:rPr>
              <w:t>1</w:t>
            </w:r>
          </w:p>
        </w:tc>
        <w:tc>
          <w:tcPr>
            <w:tcW w:w="280" w:type="dxa"/>
            <w:vAlign w:val="bottom"/>
            <w:tcBorders>
              <w:bottom w:val="single" w:sz="8" w:color="auto"/>
            </w:tcBorders>
          </w:tcPr>
          <w:p>
            <w:pPr>
              <w:jc w:val="right"/>
              <w:ind w:right="15"/>
              <w:spacing w:after="0" w:line="134" w:lineRule="exact"/>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ind w:left="520"/>
              <w:spacing w:after="0" w:line="134" w:lineRule="exact"/>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ind w:right="515"/>
              <w:spacing w:after="0" w:line="134" w:lineRule="exact"/>
              <w:rPr>
                <w:sz w:val="20"/>
                <w:szCs w:val="20"/>
                <w:color w:val="auto"/>
              </w:rPr>
            </w:pPr>
            <w:r>
              <w:rPr>
                <w:rFonts w:ascii="Arial" w:cs="Arial" w:eastAsia="Arial" w:hAnsi="Arial"/>
                <w:sz w:val="13"/>
                <w:szCs w:val="13"/>
                <w:color w:val="auto"/>
              </w:rPr>
              <w:t>$</w:t>
            </w:r>
          </w:p>
        </w:tc>
        <w:tc>
          <w:tcPr>
            <w:tcW w:w="140" w:type="dxa"/>
            <w:vAlign w:val="bottom"/>
            <w:tcBorders>
              <w:bottom w:val="single" w:sz="8" w:color="auto"/>
            </w:tcBorders>
          </w:tcPr>
          <w:p>
            <w:pPr>
              <w:ind w:left="20"/>
              <w:spacing w:after="0" w:line="134" w:lineRule="exact"/>
              <w:rPr>
                <w:sz w:val="20"/>
                <w:szCs w:val="20"/>
                <w:color w:val="auto"/>
              </w:rPr>
            </w:pPr>
            <w:r>
              <w:rPr>
                <w:rFonts w:ascii="Arial" w:cs="Arial" w:eastAsia="Arial" w:hAnsi="Arial"/>
                <w:sz w:val="13"/>
                <w:szCs w:val="13"/>
                <w:color w:val="auto"/>
                <w:w w:val="76"/>
              </w:rPr>
              <w:t>—</w:t>
            </w:r>
          </w:p>
        </w:tc>
        <w:tc>
          <w:tcPr>
            <w:tcW w:w="3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55"/>
              <w:spacing w:after="0" w:line="134" w:lineRule="exact"/>
              <w:rPr>
                <w:sz w:val="20"/>
                <w:szCs w:val="20"/>
                <w:color w:val="auto"/>
              </w:rPr>
            </w:pPr>
            <w:r>
              <w:rPr>
                <w:rFonts w:ascii="Arial" w:cs="Arial" w:eastAsia="Arial" w:hAnsi="Arial"/>
                <w:sz w:val="13"/>
                <w:szCs w:val="13"/>
                <w:color w:val="auto"/>
              </w:rPr>
              <w:t>4</w:t>
            </w:r>
          </w:p>
        </w:tc>
        <w:tc>
          <w:tcPr>
            <w:tcW w:w="260" w:type="dxa"/>
            <w:vAlign w:val="bottom"/>
            <w:tcBorders>
              <w:bottom w:val="single" w:sz="8" w:color="auto"/>
            </w:tcBorders>
          </w:tcPr>
          <w:p>
            <w:pPr>
              <w:jc w:val="right"/>
              <w:ind w:right="15"/>
              <w:spacing w:after="0" w:line="134" w:lineRule="exact"/>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ind w:left="540"/>
              <w:spacing w:after="0" w:line="13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ind w:left="20"/>
        <w:spacing w:after="0"/>
        <w:rPr>
          <w:sz w:val="20"/>
          <w:szCs w:val="20"/>
          <w:color w:val="auto"/>
        </w:rPr>
      </w:pPr>
      <w:r>
        <w:rPr>
          <w:rFonts w:ascii="Arial" w:cs="Arial" w:eastAsia="Arial" w:hAnsi="Arial"/>
          <w:sz w:val="13"/>
          <w:szCs w:val="13"/>
          <w:color w:val="auto"/>
        </w:rPr>
        <w:t>There were no transfers into or out of Level 1, Level 2, or Level 3 for any of the periods presented.</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Assets and Liabilities Measured at Fair Value on a Nonrecurring Basis</w:t>
      </w:r>
    </w:p>
    <w:p>
      <w:pPr>
        <w:spacing w:after="0" w:line="131" w:lineRule="exact"/>
        <w:rPr>
          <w:sz w:val="20"/>
          <w:szCs w:val="20"/>
          <w:color w:val="auto"/>
        </w:rPr>
      </w:pPr>
    </w:p>
    <w:p>
      <w:pPr>
        <w:jc w:val="both"/>
        <w:ind w:left="20" w:right="39"/>
        <w:spacing w:after="0" w:line="236" w:lineRule="auto"/>
        <w:rPr>
          <w:sz w:val="20"/>
          <w:szCs w:val="20"/>
          <w:color w:val="auto"/>
        </w:rPr>
      </w:pPr>
      <w:r>
        <w:rPr>
          <w:rFonts w:ascii="Arial" w:cs="Arial" w:eastAsia="Arial" w:hAnsi="Arial"/>
          <w:sz w:val="13"/>
          <w:szCs w:val="13"/>
          <w:color w:val="auto"/>
        </w:rPr>
        <w:t>Assets and liabilities recognized or disclosed at fair value on the consolidated financial statements on a nonrecurring basis include items such as property, plant and equipment, operating lease right-of-use assets, goodwill, other intangible assets and minority investments that are not accounted for under the equity method of accounting. These assets are measured using Level 3 inputs, if determined to be impaired.</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Long-Term Debt</w:t>
      </w:r>
    </w:p>
    <w:p>
      <w:pPr>
        <w:spacing w:after="0" w:line="141" w:lineRule="exact"/>
        <w:rPr>
          <w:sz w:val="20"/>
          <w:szCs w:val="20"/>
          <w:color w:val="auto"/>
        </w:rPr>
      </w:pPr>
    </w:p>
    <w:p>
      <w:pPr>
        <w:jc w:val="both"/>
        <w:ind w:left="20" w:right="39"/>
        <w:spacing w:after="0"/>
        <w:rPr>
          <w:sz w:val="20"/>
          <w:szCs w:val="20"/>
          <w:color w:val="auto"/>
        </w:rPr>
      </w:pPr>
      <w:r>
        <w:rPr>
          <w:rFonts w:ascii="Arial" w:cs="Arial" w:eastAsia="Arial" w:hAnsi="Arial"/>
          <w:sz w:val="13"/>
          <w:szCs w:val="13"/>
          <w:color w:val="auto"/>
        </w:rPr>
        <w:t>The fair value of long-term debt is determined by using model-derived valuations in which all significant inputs or significant value-drivers are observable in active markets and therefore are classified as Level 2.</w:t>
      </w:r>
    </w:p>
    <w:p>
      <w:pPr>
        <w:spacing w:after="0" w:line="10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3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300" w:type="dxa"/>
            <w:vAlign w:val="bottom"/>
          </w:tcPr>
          <w:p>
            <w:pPr>
              <w:jc w:val="right"/>
              <w:ind w:right="395"/>
              <w:spacing w:after="0"/>
              <w:rPr>
                <w:sz w:val="20"/>
                <w:szCs w:val="20"/>
                <w:color w:val="auto"/>
              </w:rPr>
            </w:pPr>
            <w:r>
              <w:rPr>
                <w:rFonts w:ascii="Arial" w:cs="Arial" w:eastAsia="Arial" w:hAnsi="Arial"/>
                <w:sz w:val="13"/>
                <w:szCs w:val="13"/>
                <w:b w:val="1"/>
                <w:bCs w:val="1"/>
                <w:color w:val="auto"/>
              </w:rPr>
              <w:t>January 30,</w:t>
            </w:r>
          </w:p>
        </w:tc>
        <w:tc>
          <w:tcPr>
            <w:tcW w:w="360" w:type="dxa"/>
            <w:vAlign w:val="bottom"/>
          </w:tcPr>
          <w:p>
            <w:pPr>
              <w:spacing w:after="0"/>
              <w:rPr>
                <w:sz w:val="13"/>
                <w:szCs w:val="13"/>
                <w:color w:val="auto"/>
              </w:rPr>
            </w:pPr>
          </w:p>
        </w:tc>
        <w:tc>
          <w:tcPr>
            <w:tcW w:w="1220" w:type="dxa"/>
            <w:vAlign w:val="bottom"/>
          </w:tcPr>
          <w:p>
            <w:pPr>
              <w:jc w:val="right"/>
              <w:ind w:right="335"/>
              <w:spacing w:after="0"/>
              <w:rPr>
                <w:sz w:val="20"/>
                <w:szCs w:val="20"/>
                <w:color w:val="auto"/>
              </w:rPr>
            </w:pPr>
            <w:r>
              <w:rPr>
                <w:rFonts w:ascii="Arial" w:cs="Arial" w:eastAsia="Arial" w:hAnsi="Arial"/>
                <w:sz w:val="13"/>
                <w:szCs w:val="13"/>
                <w:color w:val="auto"/>
              </w:rPr>
              <w:t>February 1,</w:t>
            </w:r>
          </w:p>
        </w:tc>
      </w:tr>
      <w:tr>
        <w:trPr>
          <w:trHeight w:val="164"/>
        </w:trPr>
        <w:tc>
          <w:tcPr>
            <w:tcW w:w="33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 in millions)</w:t>
            </w:r>
          </w:p>
        </w:tc>
        <w:tc>
          <w:tcPr>
            <w:tcW w:w="2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595"/>
              <w:spacing w:after="0"/>
              <w:rPr>
                <w:sz w:val="20"/>
                <w:szCs w:val="20"/>
                <w:color w:val="auto"/>
              </w:rPr>
            </w:pPr>
            <w:r>
              <w:rPr>
                <w:rFonts w:ascii="Arial" w:cs="Arial" w:eastAsia="Arial" w:hAnsi="Arial"/>
                <w:sz w:val="13"/>
                <w:szCs w:val="13"/>
                <w:b w:val="1"/>
                <w:bCs w:val="1"/>
                <w:color w:val="auto"/>
              </w:rPr>
              <w:t>2021</w:t>
            </w: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3"/>
                <w:szCs w:val="13"/>
                <w:color w:val="auto"/>
              </w:rPr>
              <w:t>2020</w:t>
            </w:r>
          </w:p>
        </w:tc>
      </w:tr>
      <w:tr>
        <w:trPr>
          <w:trHeight w:val="134"/>
        </w:trPr>
        <w:tc>
          <w:tcPr>
            <w:tcW w:w="334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Carrying value</w:t>
            </w:r>
          </w:p>
        </w:tc>
        <w:tc>
          <w:tcPr>
            <w:tcW w:w="2720" w:type="dxa"/>
            <w:vAlign w:val="bottom"/>
            <w:shd w:val="clear" w:color="auto" w:fill="CCEEFF"/>
          </w:tcPr>
          <w:p>
            <w:pPr>
              <w:jc w:val="right"/>
              <w:ind w:right="75"/>
              <w:spacing w:after="0" w:line="134" w:lineRule="exact"/>
              <w:rPr>
                <w:sz w:val="20"/>
                <w:szCs w:val="20"/>
                <w:color w:val="auto"/>
              </w:rPr>
            </w:pPr>
            <w:r>
              <w:rPr>
                <w:rFonts w:ascii="Arial" w:cs="Arial" w:eastAsia="Arial" w:hAnsi="Arial"/>
                <w:sz w:val="13"/>
                <w:szCs w:val="13"/>
                <w:b w:val="1"/>
                <w:bCs w:val="1"/>
                <w:color w:val="auto"/>
              </w:rPr>
              <w:t>$</w:t>
            </w:r>
          </w:p>
        </w:tc>
        <w:tc>
          <w:tcPr>
            <w:tcW w:w="1300" w:type="dxa"/>
            <w:vAlign w:val="bottom"/>
            <w:shd w:val="clear" w:color="auto" w:fill="CCEEFF"/>
          </w:tcPr>
          <w:p>
            <w:pPr>
              <w:jc w:val="right"/>
              <w:ind w:right="75"/>
              <w:spacing w:after="0" w:line="134" w:lineRule="exact"/>
              <w:rPr>
                <w:sz w:val="20"/>
                <w:szCs w:val="20"/>
                <w:color w:val="auto"/>
              </w:rPr>
            </w:pPr>
            <w:r>
              <w:rPr>
                <w:rFonts w:ascii="Arial" w:cs="Arial" w:eastAsia="Arial" w:hAnsi="Arial"/>
                <w:sz w:val="13"/>
                <w:szCs w:val="13"/>
                <w:b w:val="1"/>
                <w:bCs w:val="1"/>
                <w:color w:val="auto"/>
              </w:rPr>
              <w:t>100</w:t>
            </w:r>
          </w:p>
        </w:tc>
        <w:tc>
          <w:tcPr>
            <w:tcW w:w="360" w:type="dxa"/>
            <w:vAlign w:val="bottom"/>
            <w:shd w:val="clear" w:color="auto" w:fill="CCEEFF"/>
          </w:tcPr>
          <w:p>
            <w:pPr>
              <w:jc w:val="right"/>
              <w:ind w:right="75"/>
              <w:spacing w:after="0" w:line="134" w:lineRule="exact"/>
              <w:rPr>
                <w:sz w:val="20"/>
                <w:szCs w:val="20"/>
                <w:color w:val="auto"/>
              </w:rPr>
            </w:pPr>
            <w:r>
              <w:rPr>
                <w:rFonts w:ascii="Arial" w:cs="Arial" w:eastAsia="Arial" w:hAnsi="Arial"/>
                <w:sz w:val="13"/>
                <w:szCs w:val="13"/>
                <w:color w:val="auto"/>
              </w:rPr>
              <w:t>$</w:t>
            </w:r>
          </w:p>
        </w:tc>
        <w:tc>
          <w:tcPr>
            <w:tcW w:w="122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122</w:t>
            </w:r>
          </w:p>
        </w:tc>
      </w:tr>
      <w:tr>
        <w:trPr>
          <w:trHeight w:val="144"/>
        </w:trPr>
        <w:tc>
          <w:tcPr>
            <w:tcW w:w="334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color w:val="auto"/>
              </w:rPr>
              <w:t>Fair value</w:t>
            </w:r>
          </w:p>
        </w:tc>
        <w:tc>
          <w:tcPr>
            <w:tcW w:w="2720" w:type="dxa"/>
            <w:vAlign w:val="bottom"/>
            <w:tcBorders>
              <w:bottom w:val="single" w:sz="8" w:color="auto"/>
            </w:tcBorders>
          </w:tcPr>
          <w:p>
            <w:pPr>
              <w:jc w:val="right"/>
              <w:ind w:right="75"/>
              <w:spacing w:after="0" w:line="144" w:lineRule="exact"/>
              <w:rPr>
                <w:sz w:val="20"/>
                <w:szCs w:val="20"/>
                <w:color w:val="auto"/>
              </w:rPr>
            </w:pPr>
            <w:r>
              <w:rPr>
                <w:rFonts w:ascii="Arial" w:cs="Arial" w:eastAsia="Arial" w:hAnsi="Arial"/>
                <w:sz w:val="13"/>
                <w:szCs w:val="13"/>
                <w:b w:val="1"/>
                <w:bCs w:val="1"/>
                <w:color w:val="auto"/>
              </w:rPr>
              <w:t>$</w:t>
            </w:r>
          </w:p>
        </w:tc>
        <w:tc>
          <w:tcPr>
            <w:tcW w:w="1300" w:type="dxa"/>
            <w:vAlign w:val="bottom"/>
            <w:tcBorders>
              <w:bottom w:val="single" w:sz="8" w:color="auto"/>
            </w:tcBorders>
          </w:tcPr>
          <w:p>
            <w:pPr>
              <w:jc w:val="right"/>
              <w:ind w:right="75"/>
              <w:spacing w:after="0" w:line="144" w:lineRule="exact"/>
              <w:rPr>
                <w:sz w:val="20"/>
                <w:szCs w:val="20"/>
                <w:color w:val="auto"/>
              </w:rPr>
            </w:pPr>
            <w:r>
              <w:rPr>
                <w:rFonts w:ascii="Arial" w:cs="Arial" w:eastAsia="Arial" w:hAnsi="Arial"/>
                <w:sz w:val="13"/>
                <w:szCs w:val="13"/>
                <w:b w:val="1"/>
                <w:bCs w:val="1"/>
                <w:color w:val="auto"/>
              </w:rPr>
              <w:t>106</w:t>
            </w:r>
          </w:p>
        </w:tc>
        <w:tc>
          <w:tcPr>
            <w:tcW w:w="360" w:type="dxa"/>
            <w:vAlign w:val="bottom"/>
            <w:tcBorders>
              <w:bottom w:val="single" w:sz="8" w:color="auto"/>
            </w:tcBorders>
          </w:tcPr>
          <w:p>
            <w:pPr>
              <w:jc w:val="right"/>
              <w:ind w:right="75"/>
              <w:spacing w:after="0" w:line="144" w:lineRule="exact"/>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135</w:t>
            </w:r>
          </w:p>
        </w:tc>
      </w:tr>
    </w:tbl>
    <w:p>
      <w:pPr>
        <w:spacing w:after="0" w:line="129" w:lineRule="exact"/>
        <w:rPr>
          <w:sz w:val="20"/>
          <w:szCs w:val="20"/>
          <w:color w:val="auto"/>
        </w:rPr>
      </w:pPr>
    </w:p>
    <w:p>
      <w:pPr>
        <w:ind w:left="20"/>
        <w:spacing w:after="0"/>
        <w:rPr>
          <w:sz w:val="20"/>
          <w:szCs w:val="20"/>
          <w:color w:val="auto"/>
        </w:rPr>
      </w:pPr>
      <w:r>
        <w:rPr>
          <w:rFonts w:ascii="Arial" w:cs="Arial" w:eastAsia="Arial" w:hAnsi="Arial"/>
          <w:sz w:val="13"/>
          <w:szCs w:val="13"/>
          <w:color w:val="auto"/>
        </w:rPr>
        <w:t>The carrying values of cash and cash equivalents, restricted cash, and other current receivables and payables approximate their fair value.</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19. Retirement Plans and Other Benefits</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Pension and Other Postretirement Plans</w:t>
      </w:r>
    </w:p>
    <w:p>
      <w:pPr>
        <w:spacing w:after="0" w:line="121" w:lineRule="exact"/>
        <w:rPr>
          <w:sz w:val="20"/>
          <w:szCs w:val="20"/>
          <w:color w:val="auto"/>
        </w:rPr>
      </w:pPr>
    </w:p>
    <w:p>
      <w:pPr>
        <w:jc w:val="both"/>
        <w:ind w:left="20" w:right="39"/>
        <w:spacing w:after="0" w:line="237" w:lineRule="auto"/>
        <w:rPr>
          <w:sz w:val="20"/>
          <w:szCs w:val="20"/>
          <w:color w:val="auto"/>
        </w:rPr>
      </w:pPr>
      <w:r>
        <w:rPr>
          <w:rFonts w:ascii="Arial" w:cs="Arial" w:eastAsia="Arial" w:hAnsi="Arial"/>
          <w:sz w:val="13"/>
          <w:szCs w:val="13"/>
          <w:color w:val="auto"/>
        </w:rPr>
        <w:t>We have defined benefit pension plans covering certain of our North American employees. In May 2019, the U.S. qualified pension plan was amended such that all employees who were not participants in the plan as of December 31, 2019, will not become participants after such date. All benefit accruals were frozen as of December 31, 2019 for all plan participants with less than eleven years of service as of December 31, 2019. For participants with more than eleven years of service as of December 31, 2019, benefit accruals will be frozen as of December 31, 2022. Participants will continue to accrue interest at a fixed rate of 6 percent per year.</w:t>
      </w:r>
    </w:p>
    <w:p>
      <w:pPr>
        <w:spacing w:after="0" w:line="124" w:lineRule="exact"/>
        <w:rPr>
          <w:sz w:val="20"/>
          <w:szCs w:val="20"/>
          <w:color w:val="auto"/>
        </w:rPr>
      </w:pPr>
    </w:p>
    <w:p>
      <w:pPr>
        <w:jc w:val="both"/>
        <w:ind w:left="20" w:right="39"/>
        <w:spacing w:after="0"/>
        <w:rPr>
          <w:sz w:val="20"/>
          <w:szCs w:val="20"/>
          <w:color w:val="auto"/>
        </w:rPr>
      </w:pPr>
      <w:r>
        <w:rPr>
          <w:rFonts w:ascii="Arial" w:cs="Arial" w:eastAsia="Arial" w:hAnsi="Arial"/>
          <w:sz w:val="13"/>
          <w:szCs w:val="13"/>
          <w:color w:val="auto"/>
        </w:rPr>
        <w:t>We also sponsor postretirement medical and life insurance plans, which are available to most of our retired U.S. employees. These plans are contributory and are not funded. The measurement date of the assets and liabilities is the month-end date that is closest to our fiscal year end.</w:t>
      </w:r>
    </w:p>
    <w:p>
      <w:pPr>
        <w:spacing w:after="0" w:line="296" w:lineRule="exact"/>
        <w:rPr>
          <w:sz w:val="20"/>
          <w:szCs w:val="20"/>
          <w:color w:val="auto"/>
        </w:rPr>
      </w:pPr>
    </w:p>
    <w:p>
      <w:pPr>
        <w:jc w:val="both"/>
        <w:ind w:left="20" w:right="39"/>
        <w:spacing w:after="0"/>
        <w:rPr>
          <w:sz w:val="20"/>
          <w:szCs w:val="20"/>
          <w:color w:val="auto"/>
        </w:rPr>
      </w:pPr>
      <w:r>
        <w:rPr>
          <w:rFonts w:ascii="Arial" w:cs="Arial" w:eastAsia="Arial" w:hAnsi="Arial"/>
          <w:sz w:val="13"/>
          <w:szCs w:val="13"/>
          <w:color w:val="auto"/>
        </w:rPr>
        <w:t>The following tables set forth the plans’ changes in benefit obligations and plan assets, funded status, and amounts recognized in the Consolidated Balance Sheets:</w:t>
      </w:r>
    </w:p>
    <w:p>
      <w:pPr>
        <w:spacing w:after="0" w:line="70" w:lineRule="exact"/>
        <w:rPr>
          <w:sz w:val="20"/>
          <w:szCs w:val="20"/>
          <w:color w:val="auto"/>
        </w:rPr>
      </w:pPr>
    </w:p>
    <w:p>
      <w:pPr>
        <w:ind w:left="7520"/>
        <w:spacing w:after="0"/>
        <w:rPr>
          <w:sz w:val="20"/>
          <w:szCs w:val="20"/>
          <w:color w:val="auto"/>
        </w:rPr>
      </w:pPr>
      <w:r>
        <w:rPr>
          <w:rFonts w:ascii="Arial" w:cs="Arial" w:eastAsia="Arial" w:hAnsi="Arial"/>
          <w:sz w:val="12"/>
          <w:szCs w:val="12"/>
          <w:color w:val="auto"/>
        </w:rPr>
        <w:t>2020 Form 10-K Page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365125</wp:posOffset>
            </wp:positionV>
            <wp:extent cx="5680075" cy="133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80075" cy="13335"/>
                    </a:xfrm>
                    <a:prstGeom prst="rect">
                      <a:avLst/>
                    </a:prstGeom>
                    <a:noFill/>
                  </pic:spPr>
                </pic:pic>
              </a:graphicData>
            </a:graphic>
          </wp:anchor>
        </w:drawing>
      </w:r>
    </w:p>
    <w:p>
      <w:pPr>
        <w:sectPr>
          <w:pgSz w:w="11900" w:h="16838" w:orient="portrait"/>
          <w:cols w:equalWidth="0" w:num="1">
            <w:col w:w="9019"/>
          </w:cols>
          <w:pgMar w:left="1440" w:top="995" w:right="1440"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2992755</wp:posOffset>
            </wp:positionH>
            <wp:positionV relativeFrom="page">
              <wp:posOffset>375285</wp:posOffset>
            </wp:positionV>
            <wp:extent cx="1563370" cy="169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1563370" cy="169545"/>
                    </a:xfrm>
                    <a:prstGeom prst="rect">
                      <a:avLst/>
                    </a:prstGeom>
                    <a:noFill/>
                  </pic:spPr>
                </pic:pic>
              </a:graphicData>
            </a:graphic>
          </wp:anchor>
        </w:drawing>
        <w:t>NOTES TO CONSOLIDATED FINANCIAL STATEMENTS</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0" w:type="dxa"/>
            <w:vAlign w:val="bottom"/>
            <w:gridSpan w:val="2"/>
          </w:tcPr>
          <w:p>
            <w:pPr>
              <w:jc w:val="right"/>
              <w:ind w:right="155"/>
              <w:spacing w:after="0"/>
              <w:rPr>
                <w:sz w:val="20"/>
                <w:szCs w:val="20"/>
                <w:color w:val="auto"/>
              </w:rPr>
            </w:pPr>
            <w:r>
              <w:rPr>
                <w:rFonts w:ascii="Arial" w:cs="Arial" w:eastAsia="Arial" w:hAnsi="Arial"/>
                <w:sz w:val="13"/>
                <w:szCs w:val="13"/>
                <w:b w:val="1"/>
                <w:bCs w:val="1"/>
                <w:color w:val="auto"/>
              </w:rPr>
              <w:t>Pension Benefits</w:t>
            </w: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60" w:type="dxa"/>
            <w:vAlign w:val="bottom"/>
            <w:gridSpan w:val="4"/>
          </w:tcPr>
          <w:p>
            <w:pPr>
              <w:ind w:left="220"/>
              <w:spacing w:after="0"/>
              <w:rPr>
                <w:sz w:val="20"/>
                <w:szCs w:val="20"/>
                <w:color w:val="auto"/>
              </w:rPr>
            </w:pPr>
            <w:r>
              <w:rPr>
                <w:rFonts w:ascii="Arial" w:cs="Arial" w:eastAsia="Arial" w:hAnsi="Arial"/>
                <w:sz w:val="13"/>
                <w:szCs w:val="13"/>
                <w:b w:val="1"/>
                <w:bCs w:val="1"/>
                <w:color w:val="auto"/>
              </w:rPr>
              <w:t>Postretirement Benefits</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20" w:type="dxa"/>
            <w:vAlign w:val="bottom"/>
            <w:tcBorders>
              <w:top w:val="single" w:sz="8" w:color="auto"/>
              <w:bottom w:val="single" w:sz="8" w:color="auto"/>
            </w:tcBorders>
          </w:tcPr>
          <w:p>
            <w:pPr>
              <w:spacing w:after="0" w:line="134" w:lineRule="exact"/>
              <w:rPr>
                <w:sz w:val="20"/>
                <w:szCs w:val="20"/>
                <w:color w:val="auto"/>
              </w:rPr>
            </w:pPr>
            <w:r>
              <w:rPr>
                <w:rFonts w:ascii="Arial" w:cs="Arial" w:eastAsia="Arial" w:hAnsi="Arial"/>
                <w:sz w:val="13"/>
                <w:szCs w:val="13"/>
                <w:color w:val="auto"/>
              </w:rPr>
              <w:t>($ in millions)</w:t>
            </w:r>
          </w:p>
        </w:tc>
        <w:tc>
          <w:tcPr>
            <w:tcW w:w="50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415"/>
              <w:spacing w:after="0" w:line="134" w:lineRule="exact"/>
              <w:rPr>
                <w:sz w:val="20"/>
                <w:szCs w:val="20"/>
                <w:color w:val="auto"/>
              </w:rPr>
            </w:pPr>
            <w:r>
              <w:rPr>
                <w:rFonts w:ascii="Arial" w:cs="Arial" w:eastAsia="Arial" w:hAnsi="Arial"/>
                <w:sz w:val="13"/>
                <w:szCs w:val="13"/>
                <w:b w:val="1"/>
                <w:bCs w:val="1"/>
                <w:color w:val="auto"/>
              </w:rPr>
              <w:t>2020</w:t>
            </w:r>
          </w:p>
        </w:tc>
        <w:tc>
          <w:tcPr>
            <w:tcW w:w="8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2019</w:t>
            </w:r>
          </w:p>
        </w:tc>
        <w:tc>
          <w:tcPr>
            <w:tcW w:w="42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435"/>
              <w:spacing w:after="0" w:line="134" w:lineRule="exact"/>
              <w:rPr>
                <w:sz w:val="20"/>
                <w:szCs w:val="20"/>
                <w:color w:val="auto"/>
              </w:rPr>
            </w:pPr>
            <w:r>
              <w:rPr>
                <w:rFonts w:ascii="Arial" w:cs="Arial" w:eastAsia="Arial" w:hAnsi="Arial"/>
                <w:sz w:val="13"/>
                <w:szCs w:val="13"/>
                <w:b w:val="1"/>
                <w:bCs w:val="1"/>
                <w:color w:val="auto"/>
              </w:rPr>
              <w:t>2020</w:t>
            </w:r>
          </w:p>
        </w:tc>
        <w:tc>
          <w:tcPr>
            <w:tcW w:w="32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335"/>
              <w:spacing w:after="0" w:line="134" w:lineRule="exact"/>
              <w:rPr>
                <w:sz w:val="20"/>
                <w:szCs w:val="20"/>
                <w:color w:val="auto"/>
              </w:rPr>
            </w:pPr>
            <w:r>
              <w:rPr>
                <w:rFonts w:ascii="Arial" w:cs="Arial" w:eastAsia="Arial" w:hAnsi="Arial"/>
                <w:sz w:val="13"/>
                <w:szCs w:val="13"/>
                <w:color w:val="auto"/>
              </w:rPr>
              <w:t>2019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20" w:type="dxa"/>
            <w:vAlign w:val="bottom"/>
            <w:shd w:val="clear" w:color="auto" w:fill="CCEEFF"/>
          </w:tcPr>
          <w:p>
            <w:pPr>
              <w:spacing w:after="0" w:line="134" w:lineRule="exact"/>
              <w:rPr>
                <w:sz w:val="20"/>
                <w:szCs w:val="20"/>
                <w:color w:val="auto"/>
              </w:rPr>
            </w:pPr>
            <w:r>
              <w:rPr>
                <w:rFonts w:ascii="Arial" w:cs="Arial" w:eastAsia="Arial" w:hAnsi="Arial"/>
                <w:sz w:val="13"/>
                <w:szCs w:val="13"/>
                <w:b w:val="1"/>
                <w:bCs w:val="1"/>
                <w:color w:val="auto"/>
              </w:rPr>
              <w:t>Change in benefit obligation</w:t>
            </w:r>
          </w:p>
        </w:tc>
        <w:tc>
          <w:tcPr>
            <w:tcW w:w="5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20" w:type="dxa"/>
            <w:vAlign w:val="bottom"/>
          </w:tcPr>
          <w:p>
            <w:pPr>
              <w:ind w:left="60"/>
              <w:spacing w:after="0" w:line="144" w:lineRule="exact"/>
              <w:rPr>
                <w:sz w:val="20"/>
                <w:szCs w:val="20"/>
                <w:color w:val="auto"/>
              </w:rPr>
            </w:pPr>
            <w:r>
              <w:rPr>
                <w:rFonts w:ascii="Arial" w:cs="Arial" w:eastAsia="Arial" w:hAnsi="Arial"/>
                <w:sz w:val="13"/>
                <w:szCs w:val="13"/>
                <w:color w:val="auto"/>
              </w:rPr>
              <w:t>Benefit obligation at beginning of year</w:t>
            </w:r>
          </w:p>
        </w:tc>
        <w:tc>
          <w:tcPr>
            <w:tcW w:w="500" w:type="dxa"/>
            <w:vAlign w:val="bottom"/>
          </w:tcPr>
          <w:p>
            <w:pPr>
              <w:jc w:val="right"/>
              <w:ind w:right="95"/>
              <w:spacing w:after="0" w:line="144" w:lineRule="exact"/>
              <w:rPr>
                <w:sz w:val="20"/>
                <w:szCs w:val="20"/>
                <w:color w:val="auto"/>
              </w:rPr>
            </w:pPr>
            <w:r>
              <w:rPr>
                <w:rFonts w:ascii="Arial" w:cs="Arial" w:eastAsia="Arial" w:hAnsi="Arial"/>
                <w:sz w:val="13"/>
                <w:szCs w:val="13"/>
                <w:b w:val="1"/>
                <w:bCs w:val="1"/>
                <w:color w:val="auto"/>
              </w:rPr>
              <w:t>$</w:t>
            </w:r>
          </w:p>
        </w:tc>
        <w:tc>
          <w:tcPr>
            <w:tcW w:w="940" w:type="dxa"/>
            <w:vAlign w:val="bottom"/>
          </w:tcPr>
          <w:p>
            <w:pPr>
              <w:jc w:val="right"/>
              <w:ind w:right="75"/>
              <w:spacing w:after="0" w:line="144" w:lineRule="exact"/>
              <w:rPr>
                <w:sz w:val="20"/>
                <w:szCs w:val="20"/>
                <w:color w:val="auto"/>
              </w:rPr>
            </w:pPr>
            <w:r>
              <w:rPr>
                <w:rFonts w:ascii="Arial" w:cs="Arial" w:eastAsia="Arial" w:hAnsi="Arial"/>
                <w:sz w:val="13"/>
                <w:szCs w:val="13"/>
                <w:b w:val="1"/>
                <w:bCs w:val="1"/>
                <w:color w:val="auto"/>
              </w:rPr>
              <w:t>775</w:t>
            </w:r>
          </w:p>
        </w:tc>
        <w:tc>
          <w:tcPr>
            <w:tcW w:w="860" w:type="dxa"/>
            <w:vAlign w:val="bottom"/>
          </w:tcPr>
          <w:p>
            <w:pPr>
              <w:jc w:val="right"/>
              <w:ind w:right="615"/>
              <w:spacing w:after="0" w:line="144" w:lineRule="exact"/>
              <w:rPr>
                <w:sz w:val="20"/>
                <w:szCs w:val="20"/>
                <w:color w:val="auto"/>
              </w:rPr>
            </w:pPr>
            <w:r>
              <w:rPr>
                <w:rFonts w:ascii="Arial" w:cs="Arial" w:eastAsia="Arial" w:hAnsi="Arial"/>
                <w:sz w:val="13"/>
                <w:szCs w:val="13"/>
                <w:color w:val="auto"/>
              </w:rPr>
              <w:t>$</w:t>
            </w:r>
          </w:p>
        </w:tc>
        <w:tc>
          <w:tcPr>
            <w:tcW w:w="420" w:type="dxa"/>
            <w:vAlign w:val="bottom"/>
          </w:tcPr>
          <w:p>
            <w:pPr>
              <w:jc w:val="right"/>
              <w:ind w:right="55"/>
              <w:spacing w:after="0" w:line="144" w:lineRule="exact"/>
              <w:rPr>
                <w:sz w:val="20"/>
                <w:szCs w:val="20"/>
                <w:color w:val="auto"/>
              </w:rPr>
            </w:pPr>
            <w:r>
              <w:rPr>
                <w:rFonts w:ascii="Arial" w:cs="Arial" w:eastAsia="Arial" w:hAnsi="Arial"/>
                <w:sz w:val="13"/>
                <w:szCs w:val="13"/>
                <w:color w:val="auto"/>
              </w:rPr>
              <w:t>739</w:t>
            </w:r>
          </w:p>
        </w:tc>
        <w:tc>
          <w:tcPr>
            <w:tcW w:w="340" w:type="dxa"/>
            <w:vAlign w:val="bottom"/>
          </w:tcPr>
          <w:p>
            <w:pPr>
              <w:jc w:val="right"/>
              <w:ind w:right="95"/>
              <w:spacing w:after="0" w:line="144" w:lineRule="exact"/>
              <w:rPr>
                <w:sz w:val="20"/>
                <w:szCs w:val="20"/>
                <w:color w:val="auto"/>
              </w:rPr>
            </w:pPr>
            <w:r>
              <w:rPr>
                <w:rFonts w:ascii="Arial" w:cs="Arial" w:eastAsia="Arial" w:hAnsi="Arial"/>
                <w:sz w:val="13"/>
                <w:szCs w:val="13"/>
                <w:b w:val="1"/>
                <w:bCs w:val="1"/>
                <w:color w:val="auto"/>
              </w:rPr>
              <w:t>$</w:t>
            </w:r>
          </w:p>
        </w:tc>
        <w:tc>
          <w:tcPr>
            <w:tcW w:w="960" w:type="dxa"/>
            <w:vAlign w:val="bottom"/>
          </w:tcPr>
          <w:p>
            <w:pPr>
              <w:jc w:val="right"/>
              <w:ind w:right="75"/>
              <w:spacing w:after="0" w:line="144" w:lineRule="exact"/>
              <w:rPr>
                <w:sz w:val="20"/>
                <w:szCs w:val="20"/>
                <w:color w:val="auto"/>
              </w:rPr>
            </w:pPr>
            <w:r>
              <w:rPr>
                <w:rFonts w:ascii="Arial" w:cs="Arial" w:eastAsia="Arial" w:hAnsi="Arial"/>
                <w:sz w:val="13"/>
                <w:szCs w:val="13"/>
                <w:b w:val="1"/>
                <w:bCs w:val="1"/>
                <w:color w:val="auto"/>
              </w:rPr>
              <w:t>11</w:t>
            </w:r>
          </w:p>
        </w:tc>
        <w:tc>
          <w:tcPr>
            <w:tcW w:w="320" w:type="dxa"/>
            <w:vAlign w:val="bottom"/>
          </w:tcPr>
          <w:p>
            <w:pPr>
              <w:jc w:val="right"/>
              <w:ind w:right="95"/>
              <w:spacing w:after="0" w:line="144" w:lineRule="exact"/>
              <w:rPr>
                <w:sz w:val="20"/>
                <w:szCs w:val="20"/>
                <w:color w:val="auto"/>
              </w:rPr>
            </w:pPr>
            <w:r>
              <w:rPr>
                <w:rFonts w:ascii="Arial" w:cs="Arial" w:eastAsia="Arial" w:hAnsi="Arial"/>
                <w:sz w:val="13"/>
                <w:szCs w:val="13"/>
                <w:color w:val="auto"/>
              </w:rPr>
              <w:t>$</w:t>
            </w:r>
          </w:p>
        </w:tc>
        <w:tc>
          <w:tcPr>
            <w:tcW w:w="860" w:type="dxa"/>
            <w:vAlign w:val="bottom"/>
          </w:tcPr>
          <w:p>
            <w:pPr>
              <w:jc w:val="right"/>
              <w:spacing w:after="0" w:line="144" w:lineRule="exact"/>
              <w:rPr>
                <w:sz w:val="20"/>
                <w:szCs w:val="20"/>
                <w:color w:val="auto"/>
              </w:rPr>
            </w:pPr>
            <w:r>
              <w:rPr>
                <w:rFonts w:ascii="Arial" w:cs="Arial" w:eastAsia="Arial" w:hAnsi="Arial"/>
                <w:sz w:val="13"/>
                <w:szCs w:val="13"/>
                <w:color w:val="auto"/>
              </w:rPr>
              <w:t>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20" w:type="dxa"/>
            <w:vAlign w:val="bottom"/>
            <w:shd w:val="clear" w:color="auto" w:fill="CCEEFF"/>
          </w:tcPr>
          <w:p>
            <w:pPr>
              <w:ind w:left="60"/>
              <w:spacing w:after="0" w:line="144" w:lineRule="exact"/>
              <w:rPr>
                <w:sz w:val="20"/>
                <w:szCs w:val="20"/>
                <w:color w:val="auto"/>
              </w:rPr>
            </w:pPr>
            <w:r>
              <w:rPr>
                <w:rFonts w:ascii="Arial" w:cs="Arial" w:eastAsia="Arial" w:hAnsi="Arial"/>
                <w:sz w:val="13"/>
                <w:szCs w:val="13"/>
                <w:color w:val="auto"/>
              </w:rPr>
              <w:t>Service cost</w:t>
            </w:r>
          </w:p>
        </w:tc>
        <w:tc>
          <w:tcPr>
            <w:tcW w:w="5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b w:val="1"/>
                <w:bCs w:val="1"/>
                <w:color w:val="auto"/>
              </w:rPr>
              <w:t>14</w:t>
            </w:r>
          </w:p>
        </w:tc>
        <w:tc>
          <w:tcPr>
            <w:tcW w:w="86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20</w:t>
            </w: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b w:val="1"/>
                <w:bCs w:val="1"/>
                <w:color w:val="auto"/>
              </w:rPr>
              <w:t>—</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20" w:type="dxa"/>
            <w:vAlign w:val="bottom"/>
          </w:tcPr>
          <w:p>
            <w:pPr>
              <w:ind w:left="60"/>
              <w:spacing w:after="0" w:line="144" w:lineRule="exact"/>
              <w:rPr>
                <w:sz w:val="20"/>
                <w:szCs w:val="20"/>
                <w:color w:val="auto"/>
              </w:rPr>
            </w:pPr>
            <w:r>
              <w:rPr>
                <w:rFonts w:ascii="Arial" w:cs="Arial" w:eastAsia="Arial" w:hAnsi="Arial"/>
                <w:sz w:val="13"/>
                <w:szCs w:val="13"/>
                <w:color w:val="auto"/>
              </w:rPr>
              <w:t>Interest cost</w:t>
            </w:r>
          </w:p>
        </w:tc>
        <w:tc>
          <w:tcPr>
            <w:tcW w:w="500" w:type="dxa"/>
            <w:vAlign w:val="bottom"/>
          </w:tcPr>
          <w:p>
            <w:pPr>
              <w:spacing w:after="0"/>
              <w:rPr>
                <w:sz w:val="12"/>
                <w:szCs w:val="12"/>
                <w:color w:val="auto"/>
              </w:rPr>
            </w:pPr>
          </w:p>
        </w:tc>
        <w:tc>
          <w:tcPr>
            <w:tcW w:w="940" w:type="dxa"/>
            <w:vAlign w:val="bottom"/>
          </w:tcPr>
          <w:p>
            <w:pPr>
              <w:jc w:val="right"/>
              <w:ind w:right="75"/>
              <w:spacing w:after="0" w:line="144" w:lineRule="exact"/>
              <w:rPr>
                <w:sz w:val="20"/>
                <w:szCs w:val="20"/>
                <w:color w:val="auto"/>
              </w:rPr>
            </w:pPr>
            <w:r>
              <w:rPr>
                <w:rFonts w:ascii="Arial" w:cs="Arial" w:eastAsia="Arial" w:hAnsi="Arial"/>
                <w:sz w:val="13"/>
                <w:szCs w:val="13"/>
                <w:b w:val="1"/>
                <w:bCs w:val="1"/>
                <w:color w:val="auto"/>
              </w:rPr>
              <w:t>21</w:t>
            </w:r>
          </w:p>
        </w:tc>
        <w:tc>
          <w:tcPr>
            <w:tcW w:w="860" w:type="dxa"/>
            <w:vAlign w:val="bottom"/>
          </w:tcPr>
          <w:p>
            <w:pPr>
              <w:spacing w:after="0"/>
              <w:rPr>
                <w:sz w:val="12"/>
                <w:szCs w:val="12"/>
                <w:color w:val="auto"/>
              </w:rPr>
            </w:pPr>
          </w:p>
        </w:tc>
        <w:tc>
          <w:tcPr>
            <w:tcW w:w="420" w:type="dxa"/>
            <w:vAlign w:val="bottom"/>
          </w:tcPr>
          <w:p>
            <w:pPr>
              <w:jc w:val="right"/>
              <w:ind w:right="55"/>
              <w:spacing w:after="0" w:line="144" w:lineRule="exact"/>
              <w:rPr>
                <w:sz w:val="20"/>
                <w:szCs w:val="20"/>
                <w:color w:val="auto"/>
              </w:rPr>
            </w:pPr>
            <w:r>
              <w:rPr>
                <w:rFonts w:ascii="Arial" w:cs="Arial" w:eastAsia="Arial" w:hAnsi="Arial"/>
                <w:sz w:val="13"/>
                <w:szCs w:val="13"/>
                <w:color w:val="auto"/>
              </w:rPr>
              <w:t>27</w:t>
            </w:r>
          </w:p>
        </w:tc>
        <w:tc>
          <w:tcPr>
            <w:tcW w:w="340" w:type="dxa"/>
            <w:vAlign w:val="bottom"/>
          </w:tcPr>
          <w:p>
            <w:pPr>
              <w:spacing w:after="0"/>
              <w:rPr>
                <w:sz w:val="12"/>
                <w:szCs w:val="12"/>
                <w:color w:val="auto"/>
              </w:rPr>
            </w:pPr>
          </w:p>
        </w:tc>
        <w:tc>
          <w:tcPr>
            <w:tcW w:w="960" w:type="dxa"/>
            <w:vAlign w:val="bottom"/>
          </w:tcPr>
          <w:p>
            <w:pPr>
              <w:jc w:val="right"/>
              <w:ind w:right="75"/>
              <w:spacing w:after="0" w:line="144"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2"/>
                <w:szCs w:val="12"/>
                <w:color w:val="auto"/>
              </w:rPr>
            </w:pPr>
          </w:p>
        </w:tc>
        <w:tc>
          <w:tcPr>
            <w:tcW w:w="8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20" w:type="dxa"/>
            <w:vAlign w:val="bottom"/>
            <w:shd w:val="clear" w:color="auto" w:fill="CCEEFF"/>
          </w:tcPr>
          <w:p>
            <w:pPr>
              <w:ind w:left="60"/>
              <w:spacing w:after="0" w:line="144" w:lineRule="exact"/>
              <w:rPr>
                <w:sz w:val="20"/>
                <w:szCs w:val="20"/>
                <w:color w:val="auto"/>
              </w:rPr>
            </w:pPr>
            <w:r>
              <w:rPr>
                <w:rFonts w:ascii="Arial" w:cs="Arial" w:eastAsia="Arial" w:hAnsi="Arial"/>
                <w:sz w:val="13"/>
                <w:szCs w:val="13"/>
                <w:color w:val="auto"/>
              </w:rPr>
              <w:t>Plan participants’ contributions</w:t>
            </w:r>
          </w:p>
        </w:tc>
        <w:tc>
          <w:tcPr>
            <w:tcW w:w="5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b w:val="1"/>
                <w:bCs w:val="1"/>
                <w:color w:val="auto"/>
              </w:rPr>
              <w:t>—</w:t>
            </w:r>
          </w:p>
        </w:tc>
        <w:tc>
          <w:tcPr>
            <w:tcW w:w="86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b w:val="1"/>
                <w:bCs w:val="1"/>
                <w:color w:val="auto"/>
              </w:rPr>
              <w:t>1</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20" w:type="dxa"/>
            <w:vAlign w:val="bottom"/>
          </w:tcPr>
          <w:p>
            <w:pPr>
              <w:ind w:left="60"/>
              <w:spacing w:after="0" w:line="144" w:lineRule="exact"/>
              <w:rPr>
                <w:sz w:val="20"/>
                <w:szCs w:val="20"/>
                <w:color w:val="auto"/>
              </w:rPr>
            </w:pPr>
            <w:r>
              <w:rPr>
                <w:rFonts w:ascii="Arial" w:cs="Arial" w:eastAsia="Arial" w:hAnsi="Arial"/>
                <w:sz w:val="13"/>
                <w:szCs w:val="13"/>
                <w:color w:val="auto"/>
              </w:rPr>
              <w:t>Actuarial loss</w:t>
            </w:r>
          </w:p>
        </w:tc>
        <w:tc>
          <w:tcPr>
            <w:tcW w:w="500" w:type="dxa"/>
            <w:vAlign w:val="bottom"/>
          </w:tcPr>
          <w:p>
            <w:pPr>
              <w:spacing w:after="0"/>
              <w:rPr>
                <w:sz w:val="12"/>
                <w:szCs w:val="12"/>
                <w:color w:val="auto"/>
              </w:rPr>
            </w:pPr>
          </w:p>
        </w:tc>
        <w:tc>
          <w:tcPr>
            <w:tcW w:w="940" w:type="dxa"/>
            <w:vAlign w:val="bottom"/>
          </w:tcPr>
          <w:p>
            <w:pPr>
              <w:jc w:val="right"/>
              <w:ind w:right="75"/>
              <w:spacing w:after="0" w:line="144" w:lineRule="exact"/>
              <w:rPr>
                <w:sz w:val="20"/>
                <w:szCs w:val="20"/>
                <w:color w:val="auto"/>
              </w:rPr>
            </w:pPr>
            <w:r>
              <w:rPr>
                <w:rFonts w:ascii="Arial" w:cs="Arial" w:eastAsia="Arial" w:hAnsi="Arial"/>
                <w:sz w:val="13"/>
                <w:szCs w:val="13"/>
                <w:b w:val="1"/>
                <w:bCs w:val="1"/>
                <w:color w:val="auto"/>
              </w:rPr>
              <w:t>8</w:t>
            </w:r>
          </w:p>
        </w:tc>
        <w:tc>
          <w:tcPr>
            <w:tcW w:w="860" w:type="dxa"/>
            <w:vAlign w:val="bottom"/>
          </w:tcPr>
          <w:p>
            <w:pPr>
              <w:spacing w:after="0"/>
              <w:rPr>
                <w:sz w:val="12"/>
                <w:szCs w:val="12"/>
                <w:color w:val="auto"/>
              </w:rPr>
            </w:pPr>
          </w:p>
        </w:tc>
        <w:tc>
          <w:tcPr>
            <w:tcW w:w="420" w:type="dxa"/>
            <w:vAlign w:val="bottom"/>
          </w:tcPr>
          <w:p>
            <w:pPr>
              <w:jc w:val="right"/>
              <w:ind w:right="55"/>
              <w:spacing w:after="0" w:line="144" w:lineRule="exact"/>
              <w:rPr>
                <w:sz w:val="20"/>
                <w:szCs w:val="20"/>
                <w:color w:val="auto"/>
              </w:rPr>
            </w:pPr>
            <w:r>
              <w:rPr>
                <w:rFonts w:ascii="Arial" w:cs="Arial" w:eastAsia="Arial" w:hAnsi="Arial"/>
                <w:sz w:val="13"/>
                <w:szCs w:val="13"/>
                <w:color w:val="auto"/>
              </w:rPr>
              <w:t>76</w:t>
            </w:r>
          </w:p>
        </w:tc>
        <w:tc>
          <w:tcPr>
            <w:tcW w:w="340" w:type="dxa"/>
            <w:vAlign w:val="bottom"/>
          </w:tcPr>
          <w:p>
            <w:pPr>
              <w:spacing w:after="0"/>
              <w:rPr>
                <w:sz w:val="12"/>
                <w:szCs w:val="12"/>
                <w:color w:val="auto"/>
              </w:rPr>
            </w:pPr>
          </w:p>
        </w:tc>
        <w:tc>
          <w:tcPr>
            <w:tcW w:w="960" w:type="dxa"/>
            <w:vAlign w:val="bottom"/>
          </w:tcPr>
          <w:p>
            <w:pPr>
              <w:jc w:val="right"/>
              <w:ind w:right="75"/>
              <w:spacing w:after="0" w:line="144" w:lineRule="exact"/>
              <w:rPr>
                <w:sz w:val="20"/>
                <w:szCs w:val="20"/>
                <w:color w:val="auto"/>
              </w:rPr>
            </w:pPr>
            <w:r>
              <w:rPr>
                <w:rFonts w:ascii="Arial" w:cs="Arial" w:eastAsia="Arial" w:hAnsi="Arial"/>
                <w:sz w:val="13"/>
                <w:szCs w:val="13"/>
                <w:b w:val="1"/>
                <w:bCs w:val="1"/>
                <w:color w:val="auto"/>
              </w:rPr>
              <w:t>2</w:t>
            </w:r>
          </w:p>
        </w:tc>
        <w:tc>
          <w:tcPr>
            <w:tcW w:w="320" w:type="dxa"/>
            <w:vAlign w:val="bottom"/>
          </w:tcPr>
          <w:p>
            <w:pPr>
              <w:spacing w:after="0"/>
              <w:rPr>
                <w:sz w:val="12"/>
                <w:szCs w:val="12"/>
                <w:color w:val="auto"/>
              </w:rPr>
            </w:pPr>
          </w:p>
        </w:tc>
        <w:tc>
          <w:tcPr>
            <w:tcW w:w="8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20" w:type="dxa"/>
            <w:vAlign w:val="bottom"/>
            <w:shd w:val="clear" w:color="auto" w:fill="CCEEFF"/>
          </w:tcPr>
          <w:p>
            <w:pPr>
              <w:ind w:left="60"/>
              <w:spacing w:after="0" w:line="144" w:lineRule="exact"/>
              <w:rPr>
                <w:sz w:val="20"/>
                <w:szCs w:val="20"/>
                <w:color w:val="auto"/>
              </w:rPr>
            </w:pPr>
            <w:r>
              <w:rPr>
                <w:rFonts w:ascii="Arial" w:cs="Arial" w:eastAsia="Arial" w:hAnsi="Arial"/>
                <w:sz w:val="13"/>
                <w:szCs w:val="13"/>
                <w:color w:val="auto"/>
              </w:rPr>
              <w:t>Foreign currency translation adjustments</w:t>
            </w:r>
          </w:p>
        </w:tc>
        <w:tc>
          <w:tcPr>
            <w:tcW w:w="5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b w:val="1"/>
                <w:bCs w:val="1"/>
                <w:color w:val="auto"/>
              </w:rPr>
              <w:t>2</w:t>
            </w:r>
          </w:p>
        </w:tc>
        <w:tc>
          <w:tcPr>
            <w:tcW w:w="86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15"/>
              <w:spacing w:after="0" w:line="144" w:lineRule="exact"/>
              <w:rPr>
                <w:sz w:val="20"/>
                <w:szCs w:val="20"/>
                <w:color w:val="auto"/>
              </w:rPr>
            </w:pPr>
            <w:r>
              <w:rPr>
                <w:rFonts w:ascii="Arial" w:cs="Arial" w:eastAsia="Arial" w:hAnsi="Arial"/>
                <w:sz w:val="13"/>
                <w:szCs w:val="13"/>
                <w:color w:val="auto"/>
              </w:rPr>
              <w:t>(1)</w:t>
            </w: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b w:val="1"/>
                <w:bCs w:val="1"/>
                <w:color w:val="auto"/>
              </w:rPr>
              <w:t>—</w:t>
            </w: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20" w:type="dxa"/>
            <w:vAlign w:val="bottom"/>
          </w:tcPr>
          <w:p>
            <w:pPr>
              <w:ind w:left="60"/>
              <w:spacing w:after="0" w:line="144" w:lineRule="exact"/>
              <w:rPr>
                <w:sz w:val="20"/>
                <w:szCs w:val="20"/>
                <w:color w:val="auto"/>
              </w:rPr>
            </w:pPr>
            <w:r>
              <w:rPr>
                <w:rFonts w:ascii="Arial" w:cs="Arial" w:eastAsia="Arial" w:hAnsi="Arial"/>
                <w:sz w:val="13"/>
                <w:szCs w:val="13"/>
                <w:color w:val="auto"/>
              </w:rPr>
              <w:t>Benefits paid</w:t>
            </w:r>
          </w:p>
        </w:tc>
        <w:tc>
          <w:tcPr>
            <w:tcW w:w="500" w:type="dxa"/>
            <w:vAlign w:val="bottom"/>
          </w:tcPr>
          <w:p>
            <w:pPr>
              <w:spacing w:after="0"/>
              <w:rPr>
                <w:sz w:val="12"/>
                <w:szCs w:val="12"/>
                <w:color w:val="auto"/>
              </w:rPr>
            </w:pPr>
          </w:p>
        </w:tc>
        <w:tc>
          <w:tcPr>
            <w:tcW w:w="940" w:type="dxa"/>
            <w:vAlign w:val="bottom"/>
          </w:tcPr>
          <w:p>
            <w:pPr>
              <w:jc w:val="right"/>
              <w:ind w:right="35"/>
              <w:spacing w:after="0" w:line="144" w:lineRule="exact"/>
              <w:rPr>
                <w:sz w:val="20"/>
                <w:szCs w:val="20"/>
                <w:color w:val="auto"/>
              </w:rPr>
            </w:pPr>
            <w:r>
              <w:rPr>
                <w:rFonts w:ascii="Arial" w:cs="Arial" w:eastAsia="Arial" w:hAnsi="Arial"/>
                <w:sz w:val="13"/>
                <w:szCs w:val="13"/>
                <w:b w:val="1"/>
                <w:bCs w:val="1"/>
                <w:color w:val="auto"/>
              </w:rPr>
              <w:t>(67)</w:t>
            </w:r>
          </w:p>
        </w:tc>
        <w:tc>
          <w:tcPr>
            <w:tcW w:w="860" w:type="dxa"/>
            <w:vAlign w:val="bottom"/>
          </w:tcPr>
          <w:p>
            <w:pPr>
              <w:spacing w:after="0"/>
              <w:rPr>
                <w:sz w:val="12"/>
                <w:szCs w:val="12"/>
                <w:color w:val="auto"/>
              </w:rPr>
            </w:pPr>
          </w:p>
        </w:tc>
        <w:tc>
          <w:tcPr>
            <w:tcW w:w="420" w:type="dxa"/>
            <w:vAlign w:val="bottom"/>
          </w:tcPr>
          <w:p>
            <w:pPr>
              <w:jc w:val="right"/>
              <w:ind w:right="15"/>
              <w:spacing w:after="0" w:line="144" w:lineRule="exact"/>
              <w:rPr>
                <w:sz w:val="20"/>
                <w:szCs w:val="20"/>
                <w:color w:val="auto"/>
              </w:rPr>
            </w:pPr>
            <w:r>
              <w:rPr>
                <w:rFonts w:ascii="Arial" w:cs="Arial" w:eastAsia="Arial" w:hAnsi="Arial"/>
                <w:sz w:val="13"/>
                <w:szCs w:val="13"/>
                <w:color w:val="auto"/>
              </w:rPr>
              <w:t>(85)</w:t>
            </w:r>
          </w:p>
        </w:tc>
        <w:tc>
          <w:tcPr>
            <w:tcW w:w="340" w:type="dxa"/>
            <w:vAlign w:val="bottom"/>
          </w:tcPr>
          <w:p>
            <w:pPr>
              <w:spacing w:after="0"/>
              <w:rPr>
                <w:sz w:val="12"/>
                <w:szCs w:val="12"/>
                <w:color w:val="auto"/>
              </w:rPr>
            </w:pPr>
          </w:p>
        </w:tc>
        <w:tc>
          <w:tcPr>
            <w:tcW w:w="960" w:type="dxa"/>
            <w:vAlign w:val="bottom"/>
          </w:tcPr>
          <w:p>
            <w:pPr>
              <w:jc w:val="right"/>
              <w:ind w:right="35"/>
              <w:spacing w:after="0" w:line="144" w:lineRule="exact"/>
              <w:rPr>
                <w:sz w:val="20"/>
                <w:szCs w:val="20"/>
                <w:color w:val="auto"/>
              </w:rPr>
            </w:pPr>
            <w:r>
              <w:rPr>
                <w:rFonts w:ascii="Arial" w:cs="Arial" w:eastAsia="Arial" w:hAnsi="Arial"/>
                <w:sz w:val="13"/>
                <w:szCs w:val="13"/>
                <w:b w:val="1"/>
                <w:bCs w:val="1"/>
                <w:color w:val="auto"/>
              </w:rPr>
              <w:t>(1)</w:t>
            </w:r>
          </w:p>
        </w:tc>
        <w:tc>
          <w:tcPr>
            <w:tcW w:w="320" w:type="dxa"/>
            <w:vAlign w:val="bottom"/>
          </w:tcPr>
          <w:p>
            <w:pPr>
              <w:spacing w:after="0"/>
              <w:rPr>
                <w:sz w:val="12"/>
                <w:szCs w:val="12"/>
                <w:color w:val="auto"/>
              </w:rPr>
            </w:pPr>
          </w:p>
        </w:tc>
        <w:tc>
          <w:tcPr>
            <w:tcW w:w="860" w:type="dxa"/>
            <w:vAlign w:val="bottom"/>
          </w:tcPr>
          <w:p>
            <w:pPr>
              <w:jc w:val="right"/>
              <w:spacing w:after="0" w:line="144" w:lineRule="exact"/>
              <w:rPr>
                <w:sz w:val="20"/>
                <w:szCs w:val="20"/>
                <w:color w:val="auto"/>
              </w:rPr>
            </w:pPr>
            <w:r>
              <w:rPr>
                <w:rFonts w:ascii="Arial" w:cs="Arial" w:eastAsia="Arial" w:hAnsi="Arial"/>
                <w:sz w:val="13"/>
                <w:szCs w:val="13"/>
                <w:color w:val="auto"/>
              </w:rPr>
              <w:t>(2)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20" w:type="dxa"/>
            <w:vAlign w:val="bottom"/>
            <w:tcBorders>
              <w:bottom w:val="single" w:sz="8" w:color="auto"/>
            </w:tcBorders>
            <w:shd w:val="clear" w:color="auto" w:fill="CCEEFF"/>
          </w:tcPr>
          <w:p>
            <w:pPr>
              <w:ind w:left="60"/>
              <w:spacing w:after="0" w:line="144" w:lineRule="exact"/>
              <w:rPr>
                <w:sz w:val="20"/>
                <w:szCs w:val="20"/>
                <w:color w:val="auto"/>
              </w:rPr>
            </w:pPr>
            <w:r>
              <w:rPr>
                <w:rFonts w:ascii="Arial" w:cs="Arial" w:eastAsia="Arial" w:hAnsi="Arial"/>
                <w:sz w:val="13"/>
                <w:szCs w:val="13"/>
                <w:color w:val="auto"/>
              </w:rPr>
              <w:t>Settlement</w:t>
            </w:r>
          </w:p>
        </w:tc>
        <w:tc>
          <w:tcPr>
            <w:tcW w:w="5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75"/>
              <w:spacing w:after="0" w:line="144" w:lineRule="exact"/>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ind w:right="15"/>
              <w:spacing w:after="0" w:line="144" w:lineRule="exact"/>
              <w:rPr>
                <w:sz w:val="20"/>
                <w:szCs w:val="20"/>
                <w:color w:val="auto"/>
              </w:rPr>
            </w:pPr>
            <w:r>
              <w:rPr>
                <w:rFonts w:ascii="Arial" w:cs="Arial" w:eastAsia="Arial" w:hAnsi="Arial"/>
                <w:sz w:val="13"/>
                <w:szCs w:val="13"/>
                <w:color w:val="auto"/>
              </w:rPr>
              <w:t>(1)</w:t>
            </w:r>
          </w:p>
        </w:tc>
        <w:tc>
          <w:tcPr>
            <w:tcW w:w="34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ind w:right="75"/>
              <w:spacing w:after="0" w:line="144" w:lineRule="exact"/>
              <w:rPr>
                <w:sz w:val="20"/>
                <w:szCs w:val="20"/>
                <w:color w:val="auto"/>
              </w:rPr>
            </w:pPr>
            <w:r>
              <w:rPr>
                <w:rFonts w:ascii="Arial" w:cs="Arial" w:eastAsia="Arial" w:hAnsi="Arial"/>
                <w:sz w:val="13"/>
                <w:szCs w:val="13"/>
                <w:b w:val="1"/>
                <w:bCs w:val="1"/>
                <w:color w:val="auto"/>
              </w:rPr>
              <w:t>—</w:t>
            </w:r>
          </w:p>
        </w:tc>
        <w:tc>
          <w:tcPr>
            <w:tcW w:w="3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20" w:type="dxa"/>
            <w:vAlign w:val="bottom"/>
            <w:tcBorders>
              <w:bottom w:val="single" w:sz="8" w:color="auto"/>
            </w:tcBorders>
          </w:tcPr>
          <w:p>
            <w:pPr>
              <w:ind w:left="60"/>
              <w:spacing w:after="0" w:line="134" w:lineRule="exact"/>
              <w:rPr>
                <w:sz w:val="20"/>
                <w:szCs w:val="20"/>
                <w:color w:val="auto"/>
              </w:rPr>
            </w:pPr>
            <w:r>
              <w:rPr>
                <w:rFonts w:ascii="Arial" w:cs="Arial" w:eastAsia="Arial" w:hAnsi="Arial"/>
                <w:sz w:val="13"/>
                <w:szCs w:val="13"/>
                <w:color w:val="auto"/>
              </w:rPr>
              <w:t>Benefit obligation at end of year</w:t>
            </w:r>
          </w:p>
        </w:tc>
        <w:tc>
          <w:tcPr>
            <w:tcW w:w="500" w:type="dxa"/>
            <w:vAlign w:val="bottom"/>
            <w:tcBorders>
              <w:bottom w:val="single" w:sz="8" w:color="auto"/>
            </w:tcBorders>
          </w:tcPr>
          <w:p>
            <w:pPr>
              <w:jc w:val="right"/>
              <w:ind w:right="95"/>
              <w:spacing w:after="0" w:line="134" w:lineRule="exact"/>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tcPr>
          <w:p>
            <w:pPr>
              <w:jc w:val="right"/>
              <w:ind w:right="75"/>
              <w:spacing w:after="0" w:line="134" w:lineRule="exact"/>
              <w:rPr>
                <w:sz w:val="20"/>
                <w:szCs w:val="20"/>
                <w:color w:val="auto"/>
              </w:rPr>
            </w:pPr>
            <w:r>
              <w:rPr>
                <w:rFonts w:ascii="Arial" w:cs="Arial" w:eastAsia="Arial" w:hAnsi="Arial"/>
                <w:sz w:val="13"/>
                <w:szCs w:val="13"/>
                <w:b w:val="1"/>
                <w:bCs w:val="1"/>
                <w:color w:val="auto"/>
              </w:rPr>
              <w:t>753</w:t>
            </w:r>
          </w:p>
        </w:tc>
        <w:tc>
          <w:tcPr>
            <w:tcW w:w="860" w:type="dxa"/>
            <w:vAlign w:val="bottom"/>
            <w:tcBorders>
              <w:bottom w:val="single" w:sz="8" w:color="auto"/>
            </w:tcBorders>
          </w:tcPr>
          <w:p>
            <w:pPr>
              <w:jc w:val="right"/>
              <w:ind w:right="615"/>
              <w:spacing w:after="0" w:line="134" w:lineRule="exact"/>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tcPr>
          <w:p>
            <w:pPr>
              <w:jc w:val="right"/>
              <w:ind w:right="55"/>
              <w:spacing w:after="0" w:line="134" w:lineRule="exact"/>
              <w:rPr>
                <w:sz w:val="20"/>
                <w:szCs w:val="20"/>
                <w:color w:val="auto"/>
              </w:rPr>
            </w:pPr>
            <w:r>
              <w:rPr>
                <w:rFonts w:ascii="Arial" w:cs="Arial" w:eastAsia="Arial" w:hAnsi="Arial"/>
                <w:sz w:val="13"/>
                <w:szCs w:val="13"/>
                <w:color w:val="auto"/>
              </w:rPr>
              <w:t>775</w:t>
            </w:r>
          </w:p>
        </w:tc>
        <w:tc>
          <w:tcPr>
            <w:tcW w:w="340" w:type="dxa"/>
            <w:vAlign w:val="bottom"/>
            <w:tcBorders>
              <w:bottom w:val="single" w:sz="8" w:color="auto"/>
            </w:tcBorders>
          </w:tcPr>
          <w:p>
            <w:pPr>
              <w:jc w:val="right"/>
              <w:ind w:right="95"/>
              <w:spacing w:after="0" w:line="134" w:lineRule="exact"/>
              <w:rPr>
                <w:sz w:val="20"/>
                <w:szCs w:val="20"/>
                <w:color w:val="auto"/>
              </w:rPr>
            </w:pPr>
            <w:r>
              <w:rPr>
                <w:rFonts w:ascii="Arial" w:cs="Arial" w:eastAsia="Arial" w:hAnsi="Arial"/>
                <w:sz w:val="13"/>
                <w:szCs w:val="13"/>
                <w:b w:val="1"/>
                <w:bCs w:val="1"/>
                <w:color w:val="auto"/>
              </w:rPr>
              <w:t>$</w:t>
            </w:r>
          </w:p>
        </w:tc>
        <w:tc>
          <w:tcPr>
            <w:tcW w:w="960" w:type="dxa"/>
            <w:vAlign w:val="bottom"/>
            <w:tcBorders>
              <w:bottom w:val="single" w:sz="8" w:color="auto"/>
            </w:tcBorders>
          </w:tcPr>
          <w:p>
            <w:pPr>
              <w:jc w:val="right"/>
              <w:ind w:right="75"/>
              <w:spacing w:after="0" w:line="134" w:lineRule="exact"/>
              <w:rPr>
                <w:sz w:val="20"/>
                <w:szCs w:val="20"/>
                <w:color w:val="auto"/>
              </w:rPr>
            </w:pPr>
            <w:r>
              <w:rPr>
                <w:rFonts w:ascii="Arial" w:cs="Arial" w:eastAsia="Arial" w:hAnsi="Arial"/>
                <w:sz w:val="13"/>
                <w:szCs w:val="13"/>
                <w:b w:val="1"/>
                <w:bCs w:val="1"/>
                <w:color w:val="auto"/>
              </w:rPr>
              <w:t>13</w:t>
            </w:r>
          </w:p>
        </w:tc>
        <w:tc>
          <w:tcPr>
            <w:tcW w:w="320" w:type="dxa"/>
            <w:vAlign w:val="bottom"/>
            <w:tcBorders>
              <w:bottom w:val="single" w:sz="8" w:color="auto"/>
            </w:tcBorders>
          </w:tcPr>
          <w:p>
            <w:pPr>
              <w:jc w:val="right"/>
              <w:ind w:right="95"/>
              <w:spacing w:after="0" w:line="134" w:lineRule="exact"/>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11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37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720" w:type="dxa"/>
            <w:vAlign w:val="bottom"/>
          </w:tcPr>
          <w:p>
            <w:pPr>
              <w:spacing w:after="0" w:line="144" w:lineRule="exact"/>
              <w:rPr>
                <w:sz w:val="20"/>
                <w:szCs w:val="20"/>
                <w:color w:val="auto"/>
              </w:rPr>
            </w:pPr>
            <w:r>
              <w:rPr>
                <w:rFonts w:ascii="Arial" w:cs="Arial" w:eastAsia="Arial" w:hAnsi="Arial"/>
                <w:sz w:val="13"/>
                <w:szCs w:val="13"/>
                <w:b w:val="1"/>
                <w:bCs w:val="1"/>
                <w:color w:val="auto"/>
              </w:rPr>
              <w:t>Change in plan assets</w:t>
            </w: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20" w:type="dxa"/>
            <w:vAlign w:val="bottom"/>
            <w:shd w:val="clear" w:color="auto" w:fill="CCEEFF"/>
          </w:tcPr>
          <w:p>
            <w:pPr>
              <w:ind w:left="60"/>
              <w:spacing w:after="0" w:line="144" w:lineRule="exact"/>
              <w:rPr>
                <w:sz w:val="20"/>
                <w:szCs w:val="20"/>
                <w:color w:val="auto"/>
              </w:rPr>
            </w:pPr>
            <w:r>
              <w:rPr>
                <w:rFonts w:ascii="Arial" w:cs="Arial" w:eastAsia="Arial" w:hAnsi="Arial"/>
                <w:sz w:val="13"/>
                <w:szCs w:val="13"/>
                <w:color w:val="auto"/>
              </w:rPr>
              <w:t>Fair value of plan assets at beginning of year</w:t>
            </w:r>
          </w:p>
        </w:tc>
        <w:tc>
          <w:tcPr>
            <w:tcW w:w="500" w:type="dxa"/>
            <w:vAlign w:val="bottom"/>
            <w:shd w:val="clear" w:color="auto" w:fill="CCEEFF"/>
          </w:tcPr>
          <w:p>
            <w:pPr>
              <w:jc w:val="right"/>
              <w:ind w:right="95"/>
              <w:spacing w:after="0" w:line="144" w:lineRule="exact"/>
              <w:rPr>
                <w:sz w:val="20"/>
                <w:szCs w:val="20"/>
                <w:color w:val="auto"/>
              </w:rPr>
            </w:pPr>
            <w:r>
              <w:rPr>
                <w:rFonts w:ascii="Arial" w:cs="Arial" w:eastAsia="Arial" w:hAnsi="Arial"/>
                <w:sz w:val="13"/>
                <w:szCs w:val="13"/>
                <w:b w:val="1"/>
                <w:bCs w:val="1"/>
                <w:color w:val="auto"/>
              </w:rPr>
              <w:t>$</w:t>
            </w:r>
          </w:p>
        </w:tc>
        <w:tc>
          <w:tcPr>
            <w:tcW w:w="94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b w:val="1"/>
                <w:bCs w:val="1"/>
                <w:color w:val="auto"/>
              </w:rPr>
              <w:t>715</w:t>
            </w:r>
          </w:p>
        </w:tc>
        <w:tc>
          <w:tcPr>
            <w:tcW w:w="860" w:type="dxa"/>
            <w:vAlign w:val="bottom"/>
            <w:shd w:val="clear" w:color="auto" w:fill="CCEEFF"/>
          </w:tcPr>
          <w:p>
            <w:pPr>
              <w:jc w:val="right"/>
              <w:ind w:right="615"/>
              <w:spacing w:after="0" w:line="144"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644</w:t>
            </w: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20" w:type="dxa"/>
            <w:vAlign w:val="bottom"/>
          </w:tcPr>
          <w:p>
            <w:pPr>
              <w:ind w:left="60"/>
              <w:spacing w:after="0" w:line="144" w:lineRule="exact"/>
              <w:rPr>
                <w:sz w:val="20"/>
                <w:szCs w:val="20"/>
                <w:color w:val="auto"/>
              </w:rPr>
            </w:pPr>
            <w:r>
              <w:rPr>
                <w:rFonts w:ascii="Arial" w:cs="Arial" w:eastAsia="Arial" w:hAnsi="Arial"/>
                <w:sz w:val="13"/>
                <w:szCs w:val="13"/>
                <w:color w:val="auto"/>
              </w:rPr>
              <w:t>Actual return on plan assets</w:t>
            </w:r>
          </w:p>
        </w:tc>
        <w:tc>
          <w:tcPr>
            <w:tcW w:w="500" w:type="dxa"/>
            <w:vAlign w:val="bottom"/>
          </w:tcPr>
          <w:p>
            <w:pPr>
              <w:spacing w:after="0"/>
              <w:rPr>
                <w:sz w:val="12"/>
                <w:szCs w:val="12"/>
                <w:color w:val="auto"/>
              </w:rPr>
            </w:pPr>
          </w:p>
        </w:tc>
        <w:tc>
          <w:tcPr>
            <w:tcW w:w="940" w:type="dxa"/>
            <w:vAlign w:val="bottom"/>
          </w:tcPr>
          <w:p>
            <w:pPr>
              <w:jc w:val="right"/>
              <w:ind w:right="75"/>
              <w:spacing w:after="0" w:line="144" w:lineRule="exact"/>
              <w:rPr>
                <w:sz w:val="20"/>
                <w:szCs w:val="20"/>
                <w:color w:val="auto"/>
              </w:rPr>
            </w:pPr>
            <w:r>
              <w:rPr>
                <w:rFonts w:ascii="Arial" w:cs="Arial" w:eastAsia="Arial" w:hAnsi="Arial"/>
                <w:sz w:val="13"/>
                <w:szCs w:val="13"/>
                <w:b w:val="1"/>
                <w:bCs w:val="1"/>
                <w:color w:val="auto"/>
              </w:rPr>
              <w:t>65</w:t>
            </w:r>
          </w:p>
        </w:tc>
        <w:tc>
          <w:tcPr>
            <w:tcW w:w="860" w:type="dxa"/>
            <w:vAlign w:val="bottom"/>
          </w:tcPr>
          <w:p>
            <w:pPr>
              <w:spacing w:after="0"/>
              <w:rPr>
                <w:sz w:val="12"/>
                <w:szCs w:val="12"/>
                <w:color w:val="auto"/>
              </w:rPr>
            </w:pPr>
          </w:p>
        </w:tc>
        <w:tc>
          <w:tcPr>
            <w:tcW w:w="420" w:type="dxa"/>
            <w:vAlign w:val="bottom"/>
          </w:tcPr>
          <w:p>
            <w:pPr>
              <w:jc w:val="right"/>
              <w:ind w:right="55"/>
              <w:spacing w:after="0" w:line="144" w:lineRule="exact"/>
              <w:rPr>
                <w:sz w:val="20"/>
                <w:szCs w:val="20"/>
                <w:color w:val="auto"/>
              </w:rPr>
            </w:pPr>
            <w:r>
              <w:rPr>
                <w:rFonts w:ascii="Arial" w:cs="Arial" w:eastAsia="Arial" w:hAnsi="Arial"/>
                <w:sz w:val="13"/>
                <w:szCs w:val="13"/>
                <w:color w:val="auto"/>
              </w:rPr>
              <w:t>100</w:t>
            </w: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20" w:type="dxa"/>
            <w:vAlign w:val="bottom"/>
            <w:shd w:val="clear" w:color="auto" w:fill="CCEEFF"/>
          </w:tcPr>
          <w:p>
            <w:pPr>
              <w:ind w:left="60"/>
              <w:spacing w:after="0" w:line="144" w:lineRule="exact"/>
              <w:rPr>
                <w:sz w:val="20"/>
                <w:szCs w:val="20"/>
                <w:color w:val="auto"/>
              </w:rPr>
            </w:pPr>
            <w:r>
              <w:rPr>
                <w:rFonts w:ascii="Arial" w:cs="Arial" w:eastAsia="Arial" w:hAnsi="Arial"/>
                <w:sz w:val="13"/>
                <w:szCs w:val="13"/>
                <w:color w:val="auto"/>
              </w:rPr>
              <w:t>Employer contributions</w:t>
            </w:r>
          </w:p>
        </w:tc>
        <w:tc>
          <w:tcPr>
            <w:tcW w:w="50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b w:val="1"/>
                <w:bCs w:val="1"/>
                <w:color w:val="auto"/>
              </w:rPr>
              <w:t>1</w:t>
            </w:r>
          </w:p>
        </w:tc>
        <w:tc>
          <w:tcPr>
            <w:tcW w:w="86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57</w:t>
            </w: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20" w:type="dxa"/>
            <w:vAlign w:val="bottom"/>
          </w:tcPr>
          <w:p>
            <w:pPr>
              <w:ind w:left="60"/>
              <w:spacing w:after="0" w:line="144" w:lineRule="exact"/>
              <w:rPr>
                <w:sz w:val="20"/>
                <w:szCs w:val="20"/>
                <w:color w:val="auto"/>
              </w:rPr>
            </w:pPr>
            <w:r>
              <w:rPr>
                <w:rFonts w:ascii="Arial" w:cs="Arial" w:eastAsia="Arial" w:hAnsi="Arial"/>
                <w:sz w:val="13"/>
                <w:szCs w:val="13"/>
                <w:color w:val="auto"/>
              </w:rPr>
              <w:t>Foreign currency translation adjustments</w:t>
            </w:r>
          </w:p>
        </w:tc>
        <w:tc>
          <w:tcPr>
            <w:tcW w:w="500" w:type="dxa"/>
            <w:vAlign w:val="bottom"/>
          </w:tcPr>
          <w:p>
            <w:pPr>
              <w:spacing w:after="0"/>
              <w:rPr>
                <w:sz w:val="12"/>
                <w:szCs w:val="12"/>
                <w:color w:val="auto"/>
              </w:rPr>
            </w:pPr>
          </w:p>
        </w:tc>
        <w:tc>
          <w:tcPr>
            <w:tcW w:w="940" w:type="dxa"/>
            <w:vAlign w:val="bottom"/>
          </w:tcPr>
          <w:p>
            <w:pPr>
              <w:jc w:val="right"/>
              <w:ind w:right="75"/>
              <w:spacing w:after="0" w:line="144" w:lineRule="exact"/>
              <w:rPr>
                <w:sz w:val="20"/>
                <w:szCs w:val="20"/>
                <w:color w:val="auto"/>
              </w:rPr>
            </w:pPr>
            <w:r>
              <w:rPr>
                <w:rFonts w:ascii="Arial" w:cs="Arial" w:eastAsia="Arial" w:hAnsi="Arial"/>
                <w:sz w:val="13"/>
                <w:szCs w:val="13"/>
                <w:b w:val="1"/>
                <w:bCs w:val="1"/>
                <w:color w:val="auto"/>
              </w:rPr>
              <w:t>2</w:t>
            </w:r>
          </w:p>
        </w:tc>
        <w:tc>
          <w:tcPr>
            <w:tcW w:w="860" w:type="dxa"/>
            <w:vAlign w:val="bottom"/>
          </w:tcPr>
          <w:p>
            <w:pPr>
              <w:spacing w:after="0"/>
              <w:rPr>
                <w:sz w:val="12"/>
                <w:szCs w:val="12"/>
                <w:color w:val="auto"/>
              </w:rPr>
            </w:pPr>
          </w:p>
        </w:tc>
        <w:tc>
          <w:tcPr>
            <w:tcW w:w="420" w:type="dxa"/>
            <w:vAlign w:val="bottom"/>
          </w:tcPr>
          <w:p>
            <w:pPr>
              <w:jc w:val="right"/>
              <w:ind w:right="15"/>
              <w:spacing w:after="0" w:line="144" w:lineRule="exact"/>
              <w:rPr>
                <w:sz w:val="20"/>
                <w:szCs w:val="20"/>
                <w:color w:val="auto"/>
              </w:rPr>
            </w:pPr>
            <w:r>
              <w:rPr>
                <w:rFonts w:ascii="Arial" w:cs="Arial" w:eastAsia="Arial" w:hAnsi="Arial"/>
                <w:sz w:val="13"/>
                <w:szCs w:val="13"/>
                <w:color w:val="auto"/>
              </w:rPr>
              <w:t>(1)</w:t>
            </w: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20" w:type="dxa"/>
            <w:vAlign w:val="bottom"/>
            <w:tcBorders>
              <w:bottom w:val="single" w:sz="8" w:color="auto"/>
            </w:tcBorders>
            <w:shd w:val="clear" w:color="auto" w:fill="CCEEFF"/>
          </w:tcPr>
          <w:p>
            <w:pPr>
              <w:ind w:left="60"/>
              <w:spacing w:after="0" w:line="144" w:lineRule="exact"/>
              <w:rPr>
                <w:sz w:val="20"/>
                <w:szCs w:val="20"/>
                <w:color w:val="auto"/>
              </w:rPr>
            </w:pPr>
            <w:r>
              <w:rPr>
                <w:rFonts w:ascii="Arial" w:cs="Arial" w:eastAsia="Arial" w:hAnsi="Arial"/>
                <w:sz w:val="13"/>
                <w:szCs w:val="13"/>
                <w:color w:val="auto"/>
              </w:rPr>
              <w:t>Benefits paid</w:t>
            </w:r>
          </w:p>
        </w:tc>
        <w:tc>
          <w:tcPr>
            <w:tcW w:w="5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35"/>
              <w:spacing w:after="0" w:line="144" w:lineRule="exact"/>
              <w:rPr>
                <w:sz w:val="20"/>
                <w:szCs w:val="20"/>
                <w:color w:val="auto"/>
              </w:rPr>
            </w:pPr>
            <w:r>
              <w:rPr>
                <w:rFonts w:ascii="Arial" w:cs="Arial" w:eastAsia="Arial" w:hAnsi="Arial"/>
                <w:sz w:val="13"/>
                <w:szCs w:val="13"/>
                <w:b w:val="1"/>
                <w:bCs w:val="1"/>
                <w:color w:val="auto"/>
              </w:rPr>
              <w:t>(67)</w:t>
            </w:r>
          </w:p>
        </w:tc>
        <w:tc>
          <w:tcPr>
            <w:tcW w:w="8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ind w:right="15"/>
              <w:spacing w:after="0" w:line="144" w:lineRule="exact"/>
              <w:rPr>
                <w:sz w:val="20"/>
                <w:szCs w:val="20"/>
                <w:color w:val="auto"/>
              </w:rPr>
            </w:pPr>
            <w:r>
              <w:rPr>
                <w:rFonts w:ascii="Arial" w:cs="Arial" w:eastAsia="Arial" w:hAnsi="Arial"/>
                <w:sz w:val="13"/>
                <w:szCs w:val="13"/>
                <w:color w:val="auto"/>
              </w:rPr>
              <w:t>(85)</w:t>
            </w:r>
          </w:p>
        </w:tc>
        <w:tc>
          <w:tcPr>
            <w:tcW w:w="34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20" w:type="dxa"/>
            <w:vAlign w:val="bottom"/>
            <w:tcBorders>
              <w:bottom w:val="single" w:sz="8" w:color="auto"/>
            </w:tcBorders>
          </w:tcPr>
          <w:p>
            <w:pPr>
              <w:ind w:left="60"/>
              <w:spacing w:after="0" w:line="134" w:lineRule="exact"/>
              <w:rPr>
                <w:sz w:val="20"/>
                <w:szCs w:val="20"/>
                <w:color w:val="auto"/>
              </w:rPr>
            </w:pPr>
            <w:r>
              <w:rPr>
                <w:rFonts w:ascii="Arial" w:cs="Arial" w:eastAsia="Arial" w:hAnsi="Arial"/>
                <w:sz w:val="13"/>
                <w:szCs w:val="13"/>
                <w:color w:val="auto"/>
              </w:rPr>
              <w:t>Fair value of plan assets at end of year</w:t>
            </w:r>
          </w:p>
        </w:tc>
        <w:tc>
          <w:tcPr>
            <w:tcW w:w="500" w:type="dxa"/>
            <w:vAlign w:val="bottom"/>
            <w:tcBorders>
              <w:bottom w:val="single" w:sz="8" w:color="auto"/>
            </w:tcBorders>
          </w:tcPr>
          <w:p>
            <w:pPr>
              <w:jc w:val="right"/>
              <w:ind w:right="95"/>
              <w:spacing w:after="0" w:line="134" w:lineRule="exact"/>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tcPr>
          <w:p>
            <w:pPr>
              <w:jc w:val="right"/>
              <w:ind w:right="75"/>
              <w:spacing w:after="0" w:line="134" w:lineRule="exact"/>
              <w:rPr>
                <w:sz w:val="20"/>
                <w:szCs w:val="20"/>
                <w:color w:val="auto"/>
              </w:rPr>
            </w:pPr>
            <w:r>
              <w:rPr>
                <w:rFonts w:ascii="Arial" w:cs="Arial" w:eastAsia="Arial" w:hAnsi="Arial"/>
                <w:sz w:val="13"/>
                <w:szCs w:val="13"/>
                <w:b w:val="1"/>
                <w:bCs w:val="1"/>
                <w:color w:val="auto"/>
              </w:rPr>
              <w:t>716</w:t>
            </w:r>
          </w:p>
        </w:tc>
        <w:tc>
          <w:tcPr>
            <w:tcW w:w="860" w:type="dxa"/>
            <w:vAlign w:val="bottom"/>
            <w:tcBorders>
              <w:bottom w:val="single" w:sz="8" w:color="auto"/>
            </w:tcBorders>
          </w:tcPr>
          <w:p>
            <w:pPr>
              <w:jc w:val="right"/>
              <w:ind w:right="615"/>
              <w:spacing w:after="0" w:line="134" w:lineRule="exact"/>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tcPr>
          <w:p>
            <w:pPr>
              <w:jc w:val="right"/>
              <w:ind w:right="55"/>
              <w:spacing w:after="0" w:line="134" w:lineRule="exact"/>
              <w:rPr>
                <w:sz w:val="20"/>
                <w:szCs w:val="20"/>
                <w:color w:val="auto"/>
              </w:rPr>
            </w:pPr>
            <w:r>
              <w:rPr>
                <w:rFonts w:ascii="Arial" w:cs="Arial" w:eastAsia="Arial" w:hAnsi="Arial"/>
                <w:sz w:val="13"/>
                <w:szCs w:val="13"/>
                <w:color w:val="auto"/>
              </w:rPr>
              <w:t>715</w:t>
            </w:r>
          </w:p>
        </w:tc>
        <w:tc>
          <w:tcPr>
            <w:tcW w:w="3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37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0" w:type="dxa"/>
            <w:vAlign w:val="bottom"/>
            <w:vMerge w:val="continue"/>
          </w:tcPr>
          <w:p>
            <w:pPr>
              <w:spacing w:after="0"/>
              <w:rPr>
                <w:sz w:val="15"/>
                <w:szCs w:val="15"/>
                <w:color w:val="auto"/>
              </w:rPr>
            </w:pPr>
          </w:p>
        </w:tc>
        <w:tc>
          <w:tcPr>
            <w:tcW w:w="372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b w:val="1"/>
                <w:bCs w:val="1"/>
                <w:color w:val="auto"/>
              </w:rPr>
              <w:t>Funded status</w:t>
            </w:r>
          </w:p>
        </w:tc>
        <w:tc>
          <w:tcPr>
            <w:tcW w:w="500" w:type="dxa"/>
            <w:vAlign w:val="bottom"/>
            <w:tcBorders>
              <w:bottom w:val="single" w:sz="8" w:color="auto"/>
            </w:tcBorders>
          </w:tcPr>
          <w:p>
            <w:pPr>
              <w:jc w:val="right"/>
              <w:ind w:right="95"/>
              <w:spacing w:after="0" w:line="144" w:lineRule="exact"/>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tcPr>
          <w:p>
            <w:pPr>
              <w:jc w:val="right"/>
              <w:ind w:right="35"/>
              <w:spacing w:after="0" w:line="144" w:lineRule="exact"/>
              <w:rPr>
                <w:sz w:val="20"/>
                <w:szCs w:val="20"/>
                <w:color w:val="auto"/>
              </w:rPr>
            </w:pPr>
            <w:r>
              <w:rPr>
                <w:rFonts w:ascii="Arial" w:cs="Arial" w:eastAsia="Arial" w:hAnsi="Arial"/>
                <w:sz w:val="13"/>
                <w:szCs w:val="13"/>
                <w:b w:val="1"/>
                <w:bCs w:val="1"/>
                <w:color w:val="auto"/>
              </w:rPr>
              <w:t>(37)</w:t>
            </w:r>
          </w:p>
        </w:tc>
        <w:tc>
          <w:tcPr>
            <w:tcW w:w="8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jc w:val="right"/>
              <w:ind w:right="15"/>
              <w:spacing w:after="0" w:line="144" w:lineRule="exact"/>
              <w:rPr>
                <w:sz w:val="20"/>
                <w:szCs w:val="20"/>
                <w:color w:val="auto"/>
              </w:rPr>
            </w:pPr>
            <w:r>
              <w:rPr>
                <w:rFonts w:ascii="Arial" w:cs="Arial" w:eastAsia="Arial" w:hAnsi="Arial"/>
                <w:sz w:val="13"/>
                <w:szCs w:val="13"/>
                <w:color w:val="auto"/>
              </w:rPr>
              <w:t>(60)</w:t>
            </w:r>
          </w:p>
        </w:tc>
        <w:tc>
          <w:tcPr>
            <w:tcW w:w="340" w:type="dxa"/>
            <w:vAlign w:val="bottom"/>
            <w:tcBorders>
              <w:bottom w:val="single" w:sz="8" w:color="auto"/>
            </w:tcBorders>
          </w:tcPr>
          <w:p>
            <w:pPr>
              <w:jc w:val="right"/>
              <w:ind w:right="95"/>
              <w:spacing w:after="0" w:line="144" w:lineRule="exact"/>
              <w:rPr>
                <w:sz w:val="20"/>
                <w:szCs w:val="20"/>
                <w:color w:val="auto"/>
              </w:rPr>
            </w:pPr>
            <w:r>
              <w:rPr>
                <w:rFonts w:ascii="Arial" w:cs="Arial" w:eastAsia="Arial" w:hAnsi="Arial"/>
                <w:sz w:val="13"/>
                <w:szCs w:val="13"/>
                <w:b w:val="1"/>
                <w:bCs w:val="1"/>
                <w:color w:val="auto"/>
              </w:rPr>
              <w:t>$</w:t>
            </w:r>
          </w:p>
        </w:tc>
        <w:tc>
          <w:tcPr>
            <w:tcW w:w="960" w:type="dxa"/>
            <w:vAlign w:val="bottom"/>
            <w:tcBorders>
              <w:bottom w:val="single" w:sz="8" w:color="auto"/>
            </w:tcBorders>
          </w:tcPr>
          <w:p>
            <w:pPr>
              <w:jc w:val="right"/>
              <w:ind w:right="35"/>
              <w:spacing w:after="0" w:line="144" w:lineRule="exact"/>
              <w:rPr>
                <w:sz w:val="20"/>
                <w:szCs w:val="20"/>
                <w:color w:val="auto"/>
              </w:rPr>
            </w:pPr>
            <w:r>
              <w:rPr>
                <w:rFonts w:ascii="Arial" w:cs="Arial" w:eastAsia="Arial" w:hAnsi="Arial"/>
                <w:sz w:val="13"/>
                <w:szCs w:val="13"/>
                <w:b w:val="1"/>
                <w:bCs w:val="1"/>
                <w:color w:val="auto"/>
              </w:rPr>
              <w:t>(13)</w:t>
            </w:r>
          </w:p>
        </w:tc>
        <w:tc>
          <w:tcPr>
            <w:tcW w:w="320" w:type="dxa"/>
            <w:vAlign w:val="bottom"/>
            <w:tcBorders>
              <w:bottom w:val="single" w:sz="8" w:color="auto"/>
            </w:tcBorders>
          </w:tcPr>
          <w:p>
            <w:pPr>
              <w:jc w:val="right"/>
              <w:ind w:right="95"/>
              <w:spacing w:after="0" w:line="144" w:lineRule="exact"/>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372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720" w:type="dxa"/>
            <w:vAlign w:val="bottom"/>
          </w:tcPr>
          <w:p>
            <w:pPr>
              <w:spacing w:after="0" w:line="144" w:lineRule="exact"/>
              <w:rPr>
                <w:sz w:val="20"/>
                <w:szCs w:val="20"/>
                <w:color w:val="auto"/>
              </w:rPr>
            </w:pPr>
            <w:r>
              <w:rPr>
                <w:rFonts w:ascii="Arial" w:cs="Arial" w:eastAsia="Arial" w:hAnsi="Arial"/>
                <w:sz w:val="13"/>
                <w:szCs w:val="13"/>
                <w:b w:val="1"/>
                <w:bCs w:val="1"/>
                <w:color w:val="auto"/>
              </w:rPr>
              <w:t>Amounts recognized on the consolidated balance sheet:</w:t>
            </w:r>
          </w:p>
        </w:tc>
        <w:tc>
          <w:tcPr>
            <w:tcW w:w="5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20" w:type="dxa"/>
            <w:vAlign w:val="bottom"/>
            <w:shd w:val="clear" w:color="auto" w:fill="CCEEFF"/>
          </w:tcPr>
          <w:p>
            <w:pPr>
              <w:ind w:left="60"/>
              <w:spacing w:after="0" w:line="144" w:lineRule="exact"/>
              <w:rPr>
                <w:sz w:val="20"/>
                <w:szCs w:val="20"/>
                <w:color w:val="auto"/>
              </w:rPr>
            </w:pPr>
            <w:r>
              <w:rPr>
                <w:rFonts w:ascii="Arial" w:cs="Arial" w:eastAsia="Arial" w:hAnsi="Arial"/>
                <w:sz w:val="13"/>
                <w:szCs w:val="13"/>
                <w:color w:val="auto"/>
              </w:rPr>
              <w:t>Other assets</w:t>
            </w:r>
          </w:p>
        </w:tc>
        <w:tc>
          <w:tcPr>
            <w:tcW w:w="500" w:type="dxa"/>
            <w:vAlign w:val="bottom"/>
            <w:shd w:val="clear" w:color="auto" w:fill="CCEEFF"/>
          </w:tcPr>
          <w:p>
            <w:pPr>
              <w:jc w:val="right"/>
              <w:ind w:right="95"/>
              <w:spacing w:after="0" w:line="144" w:lineRule="exact"/>
              <w:rPr>
                <w:sz w:val="20"/>
                <w:szCs w:val="20"/>
                <w:color w:val="auto"/>
              </w:rPr>
            </w:pPr>
            <w:r>
              <w:rPr>
                <w:rFonts w:ascii="Arial" w:cs="Arial" w:eastAsia="Arial" w:hAnsi="Arial"/>
                <w:sz w:val="13"/>
                <w:szCs w:val="13"/>
                <w:b w:val="1"/>
                <w:bCs w:val="1"/>
                <w:color w:val="auto"/>
              </w:rPr>
              <w:t>$</w:t>
            </w:r>
          </w:p>
        </w:tc>
        <w:tc>
          <w:tcPr>
            <w:tcW w:w="94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b w:val="1"/>
                <w:bCs w:val="1"/>
                <w:color w:val="auto"/>
              </w:rPr>
              <w:t>3</w:t>
            </w:r>
          </w:p>
        </w:tc>
        <w:tc>
          <w:tcPr>
            <w:tcW w:w="860" w:type="dxa"/>
            <w:vAlign w:val="bottom"/>
            <w:shd w:val="clear" w:color="auto" w:fill="CCEEFF"/>
          </w:tcPr>
          <w:p>
            <w:pPr>
              <w:jc w:val="right"/>
              <w:ind w:right="615"/>
              <w:spacing w:after="0" w:line="144" w:lineRule="exact"/>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3</w:t>
            </w:r>
          </w:p>
        </w:tc>
        <w:tc>
          <w:tcPr>
            <w:tcW w:w="340" w:type="dxa"/>
            <w:vAlign w:val="bottom"/>
            <w:shd w:val="clear" w:color="auto" w:fill="CCEEFF"/>
          </w:tcPr>
          <w:p>
            <w:pPr>
              <w:jc w:val="right"/>
              <w:ind w:right="95"/>
              <w:spacing w:after="0" w:line="144" w:lineRule="exact"/>
              <w:rPr>
                <w:sz w:val="20"/>
                <w:szCs w:val="20"/>
                <w:color w:val="auto"/>
              </w:rPr>
            </w:pPr>
            <w:r>
              <w:rPr>
                <w:rFonts w:ascii="Arial" w:cs="Arial" w:eastAsia="Arial" w:hAnsi="Arial"/>
                <w:sz w:val="13"/>
                <w:szCs w:val="13"/>
                <w:b w:val="1"/>
                <w:bCs w:val="1"/>
                <w:color w:val="auto"/>
              </w:rPr>
              <w:t>$</w:t>
            </w:r>
          </w:p>
        </w:tc>
        <w:tc>
          <w:tcPr>
            <w:tcW w:w="96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b w:val="1"/>
                <w:bCs w:val="1"/>
                <w:color w:val="auto"/>
              </w:rPr>
              <w:t>—</w:t>
            </w:r>
          </w:p>
        </w:tc>
        <w:tc>
          <w:tcPr>
            <w:tcW w:w="320" w:type="dxa"/>
            <w:vAlign w:val="bottom"/>
            <w:shd w:val="clear" w:color="auto" w:fill="CCEEFF"/>
          </w:tcPr>
          <w:p>
            <w:pPr>
              <w:jc w:val="right"/>
              <w:ind w:right="95"/>
              <w:spacing w:after="0" w:line="144" w:lineRule="exact"/>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20" w:type="dxa"/>
            <w:vAlign w:val="bottom"/>
          </w:tcPr>
          <w:p>
            <w:pPr>
              <w:ind w:left="60"/>
              <w:spacing w:after="0" w:line="144" w:lineRule="exact"/>
              <w:rPr>
                <w:sz w:val="20"/>
                <w:szCs w:val="20"/>
                <w:color w:val="auto"/>
              </w:rPr>
            </w:pPr>
            <w:r>
              <w:rPr>
                <w:rFonts w:ascii="Arial" w:cs="Arial" w:eastAsia="Arial" w:hAnsi="Arial"/>
                <w:sz w:val="13"/>
                <w:szCs w:val="13"/>
                <w:color w:val="auto"/>
              </w:rPr>
              <w:t>Accrued and other liabilities</w:t>
            </w:r>
          </w:p>
        </w:tc>
        <w:tc>
          <w:tcPr>
            <w:tcW w:w="500" w:type="dxa"/>
            <w:vAlign w:val="bottom"/>
          </w:tcPr>
          <w:p>
            <w:pPr>
              <w:spacing w:after="0"/>
              <w:rPr>
                <w:sz w:val="12"/>
                <w:szCs w:val="12"/>
                <w:color w:val="auto"/>
              </w:rPr>
            </w:pPr>
          </w:p>
        </w:tc>
        <w:tc>
          <w:tcPr>
            <w:tcW w:w="940" w:type="dxa"/>
            <w:vAlign w:val="bottom"/>
          </w:tcPr>
          <w:p>
            <w:pPr>
              <w:jc w:val="right"/>
              <w:ind w:right="15"/>
              <w:spacing w:after="0" w:line="144" w:lineRule="exact"/>
              <w:rPr>
                <w:sz w:val="20"/>
                <w:szCs w:val="20"/>
                <w:color w:val="auto"/>
              </w:rPr>
            </w:pPr>
            <w:r>
              <w:rPr>
                <w:rFonts w:ascii="Arial" w:cs="Arial" w:eastAsia="Arial" w:hAnsi="Arial"/>
                <w:sz w:val="13"/>
                <w:szCs w:val="13"/>
                <w:b w:val="1"/>
                <w:bCs w:val="1"/>
                <w:color w:val="auto"/>
              </w:rPr>
              <w:t>(2)</w:t>
            </w:r>
          </w:p>
        </w:tc>
        <w:tc>
          <w:tcPr>
            <w:tcW w:w="860" w:type="dxa"/>
            <w:vAlign w:val="bottom"/>
          </w:tcPr>
          <w:p>
            <w:pPr>
              <w:spacing w:after="0"/>
              <w:rPr>
                <w:sz w:val="12"/>
                <w:szCs w:val="12"/>
                <w:color w:val="auto"/>
              </w:rPr>
            </w:pPr>
          </w:p>
        </w:tc>
        <w:tc>
          <w:tcPr>
            <w:tcW w:w="420" w:type="dxa"/>
            <w:vAlign w:val="bottom"/>
          </w:tcPr>
          <w:p>
            <w:pPr>
              <w:jc w:val="right"/>
              <w:ind w:right="15"/>
              <w:spacing w:after="0" w:line="144" w:lineRule="exact"/>
              <w:rPr>
                <w:sz w:val="20"/>
                <w:szCs w:val="20"/>
                <w:color w:val="auto"/>
              </w:rPr>
            </w:pPr>
            <w:r>
              <w:rPr>
                <w:rFonts w:ascii="Arial" w:cs="Arial" w:eastAsia="Arial" w:hAnsi="Arial"/>
                <w:sz w:val="13"/>
                <w:szCs w:val="13"/>
                <w:color w:val="auto"/>
              </w:rPr>
              <w:t>(2)</w:t>
            </w:r>
          </w:p>
        </w:tc>
        <w:tc>
          <w:tcPr>
            <w:tcW w:w="340" w:type="dxa"/>
            <w:vAlign w:val="bottom"/>
          </w:tcPr>
          <w:p>
            <w:pPr>
              <w:spacing w:after="0"/>
              <w:rPr>
                <w:sz w:val="12"/>
                <w:szCs w:val="12"/>
                <w:color w:val="auto"/>
              </w:rPr>
            </w:pPr>
          </w:p>
        </w:tc>
        <w:tc>
          <w:tcPr>
            <w:tcW w:w="960" w:type="dxa"/>
            <w:vAlign w:val="bottom"/>
          </w:tcPr>
          <w:p>
            <w:pPr>
              <w:jc w:val="right"/>
              <w:ind w:right="35"/>
              <w:spacing w:after="0" w:line="144" w:lineRule="exact"/>
              <w:rPr>
                <w:sz w:val="20"/>
                <w:szCs w:val="20"/>
                <w:color w:val="auto"/>
              </w:rPr>
            </w:pPr>
            <w:r>
              <w:rPr>
                <w:rFonts w:ascii="Arial" w:cs="Arial" w:eastAsia="Arial" w:hAnsi="Arial"/>
                <w:sz w:val="13"/>
                <w:szCs w:val="13"/>
                <w:b w:val="1"/>
                <w:bCs w:val="1"/>
                <w:color w:val="auto"/>
              </w:rPr>
              <w:t>(1)</w:t>
            </w:r>
          </w:p>
        </w:tc>
        <w:tc>
          <w:tcPr>
            <w:tcW w:w="320" w:type="dxa"/>
            <w:vAlign w:val="bottom"/>
          </w:tcPr>
          <w:p>
            <w:pPr>
              <w:spacing w:after="0"/>
              <w:rPr>
                <w:sz w:val="12"/>
                <w:szCs w:val="12"/>
                <w:color w:val="auto"/>
              </w:rPr>
            </w:pPr>
          </w:p>
        </w:tc>
        <w:tc>
          <w:tcPr>
            <w:tcW w:w="860" w:type="dxa"/>
            <w:vAlign w:val="bottom"/>
          </w:tcPr>
          <w:p>
            <w:pPr>
              <w:jc w:val="right"/>
              <w:spacing w:after="0" w:line="144" w:lineRule="exact"/>
              <w:rPr>
                <w:sz w:val="20"/>
                <w:szCs w:val="20"/>
                <w:color w:val="auto"/>
              </w:rPr>
            </w:pPr>
            <w:r>
              <w:rPr>
                <w:rFonts w:ascii="Arial" w:cs="Arial" w:eastAsia="Arial" w:hAnsi="Arial"/>
                <w:sz w:val="13"/>
                <w:szCs w:val="13"/>
                <w:color w:val="auto"/>
              </w:rPr>
              <w:t>(1)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720" w:type="dxa"/>
            <w:vAlign w:val="bottom"/>
            <w:tcBorders>
              <w:bottom w:val="single" w:sz="8" w:color="auto"/>
            </w:tcBorders>
            <w:shd w:val="clear" w:color="auto" w:fill="CCEEFF"/>
          </w:tcPr>
          <w:p>
            <w:pPr>
              <w:ind w:left="60"/>
              <w:spacing w:after="0" w:line="144" w:lineRule="exact"/>
              <w:rPr>
                <w:sz w:val="20"/>
                <w:szCs w:val="20"/>
                <w:color w:val="auto"/>
              </w:rPr>
            </w:pPr>
            <w:r>
              <w:rPr>
                <w:rFonts w:ascii="Arial" w:cs="Arial" w:eastAsia="Arial" w:hAnsi="Arial"/>
                <w:sz w:val="13"/>
                <w:szCs w:val="13"/>
                <w:color w:val="auto"/>
              </w:rPr>
              <w:t>Other liabilities</w:t>
            </w:r>
          </w:p>
        </w:tc>
        <w:tc>
          <w:tcPr>
            <w:tcW w:w="50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ind w:right="35"/>
              <w:spacing w:after="0" w:line="144" w:lineRule="exact"/>
              <w:rPr>
                <w:sz w:val="20"/>
                <w:szCs w:val="20"/>
                <w:color w:val="auto"/>
              </w:rPr>
            </w:pPr>
            <w:r>
              <w:rPr>
                <w:rFonts w:ascii="Arial" w:cs="Arial" w:eastAsia="Arial" w:hAnsi="Arial"/>
                <w:sz w:val="13"/>
                <w:szCs w:val="13"/>
                <w:b w:val="1"/>
                <w:bCs w:val="1"/>
                <w:color w:val="auto"/>
              </w:rPr>
              <w:t>(38)</w:t>
            </w:r>
          </w:p>
        </w:tc>
        <w:tc>
          <w:tcPr>
            <w:tcW w:w="860" w:type="dxa"/>
            <w:vAlign w:val="bottom"/>
            <w:tcBorders>
              <w:bottom w:val="single" w:sz="8" w:color="auto"/>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ind w:right="15"/>
              <w:spacing w:after="0" w:line="144" w:lineRule="exact"/>
              <w:rPr>
                <w:sz w:val="20"/>
                <w:szCs w:val="20"/>
                <w:color w:val="auto"/>
              </w:rPr>
            </w:pPr>
            <w:r>
              <w:rPr>
                <w:rFonts w:ascii="Arial" w:cs="Arial" w:eastAsia="Arial" w:hAnsi="Arial"/>
                <w:sz w:val="13"/>
                <w:szCs w:val="13"/>
                <w:color w:val="auto"/>
              </w:rPr>
              <w:t>(61)</w:t>
            </w:r>
          </w:p>
        </w:tc>
        <w:tc>
          <w:tcPr>
            <w:tcW w:w="34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ind w:right="35"/>
              <w:spacing w:after="0" w:line="144" w:lineRule="exact"/>
              <w:rPr>
                <w:sz w:val="20"/>
                <w:szCs w:val="20"/>
                <w:color w:val="auto"/>
              </w:rPr>
            </w:pPr>
            <w:r>
              <w:rPr>
                <w:rFonts w:ascii="Arial" w:cs="Arial" w:eastAsia="Arial" w:hAnsi="Arial"/>
                <w:sz w:val="13"/>
                <w:szCs w:val="13"/>
                <w:b w:val="1"/>
                <w:bCs w:val="1"/>
                <w:color w:val="auto"/>
              </w:rPr>
              <w:t>(12)</w:t>
            </w:r>
          </w:p>
        </w:tc>
        <w:tc>
          <w:tcPr>
            <w:tcW w:w="3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7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95"/>
              <w:spacing w:after="0" w:line="134" w:lineRule="exact"/>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tcPr>
          <w:p>
            <w:pPr>
              <w:jc w:val="right"/>
              <w:ind w:right="35"/>
              <w:spacing w:after="0" w:line="134" w:lineRule="exact"/>
              <w:rPr>
                <w:sz w:val="20"/>
                <w:szCs w:val="20"/>
                <w:color w:val="auto"/>
              </w:rPr>
            </w:pPr>
            <w:r>
              <w:rPr>
                <w:rFonts w:ascii="Arial" w:cs="Arial" w:eastAsia="Arial" w:hAnsi="Arial"/>
                <w:sz w:val="13"/>
                <w:szCs w:val="13"/>
                <w:b w:val="1"/>
                <w:bCs w:val="1"/>
                <w:color w:val="auto"/>
              </w:rPr>
              <w:t>(37)</w:t>
            </w:r>
          </w:p>
        </w:tc>
        <w:tc>
          <w:tcPr>
            <w:tcW w:w="860" w:type="dxa"/>
            <w:vAlign w:val="bottom"/>
            <w:tcBorders>
              <w:bottom w:val="single" w:sz="8" w:color="auto"/>
            </w:tcBorders>
          </w:tcPr>
          <w:p>
            <w:pPr>
              <w:jc w:val="right"/>
              <w:ind w:right="615"/>
              <w:spacing w:after="0" w:line="134" w:lineRule="exact"/>
              <w:rPr>
                <w:sz w:val="20"/>
                <w:szCs w:val="20"/>
                <w:color w:val="auto"/>
              </w:rPr>
            </w:pPr>
            <w:r>
              <w:rPr>
                <w:rFonts w:ascii="Arial" w:cs="Arial" w:eastAsia="Arial" w:hAnsi="Arial"/>
                <w:sz w:val="13"/>
                <w:szCs w:val="13"/>
                <w:color w:val="auto"/>
              </w:rPr>
              <w:t>$</w:t>
            </w:r>
          </w:p>
        </w:tc>
        <w:tc>
          <w:tcPr>
            <w:tcW w:w="420" w:type="dxa"/>
            <w:vAlign w:val="bottom"/>
            <w:tcBorders>
              <w:bottom w:val="single" w:sz="8" w:color="auto"/>
            </w:tcBorders>
          </w:tcPr>
          <w:p>
            <w:pPr>
              <w:jc w:val="right"/>
              <w:ind w:right="15"/>
              <w:spacing w:after="0" w:line="134" w:lineRule="exact"/>
              <w:rPr>
                <w:sz w:val="20"/>
                <w:szCs w:val="20"/>
                <w:color w:val="auto"/>
              </w:rPr>
            </w:pPr>
            <w:r>
              <w:rPr>
                <w:rFonts w:ascii="Arial" w:cs="Arial" w:eastAsia="Arial" w:hAnsi="Arial"/>
                <w:sz w:val="13"/>
                <w:szCs w:val="13"/>
                <w:color w:val="auto"/>
              </w:rPr>
              <w:t>(60)</w:t>
            </w:r>
          </w:p>
        </w:tc>
        <w:tc>
          <w:tcPr>
            <w:tcW w:w="340" w:type="dxa"/>
            <w:vAlign w:val="bottom"/>
            <w:tcBorders>
              <w:bottom w:val="single" w:sz="8" w:color="auto"/>
            </w:tcBorders>
          </w:tcPr>
          <w:p>
            <w:pPr>
              <w:jc w:val="right"/>
              <w:ind w:right="95"/>
              <w:spacing w:after="0" w:line="134" w:lineRule="exact"/>
              <w:rPr>
                <w:sz w:val="20"/>
                <w:szCs w:val="20"/>
                <w:color w:val="auto"/>
              </w:rPr>
            </w:pPr>
            <w:r>
              <w:rPr>
                <w:rFonts w:ascii="Arial" w:cs="Arial" w:eastAsia="Arial" w:hAnsi="Arial"/>
                <w:sz w:val="13"/>
                <w:szCs w:val="13"/>
                <w:b w:val="1"/>
                <w:bCs w:val="1"/>
                <w:color w:val="auto"/>
              </w:rPr>
              <w:t>$</w:t>
            </w:r>
          </w:p>
        </w:tc>
        <w:tc>
          <w:tcPr>
            <w:tcW w:w="960" w:type="dxa"/>
            <w:vAlign w:val="bottom"/>
            <w:tcBorders>
              <w:bottom w:val="single" w:sz="8" w:color="auto"/>
            </w:tcBorders>
          </w:tcPr>
          <w:p>
            <w:pPr>
              <w:jc w:val="right"/>
              <w:ind w:right="35"/>
              <w:spacing w:after="0" w:line="134" w:lineRule="exact"/>
              <w:rPr>
                <w:sz w:val="20"/>
                <w:szCs w:val="20"/>
                <w:color w:val="auto"/>
              </w:rPr>
            </w:pPr>
            <w:r>
              <w:rPr>
                <w:rFonts w:ascii="Arial" w:cs="Arial" w:eastAsia="Arial" w:hAnsi="Arial"/>
                <w:sz w:val="13"/>
                <w:szCs w:val="13"/>
                <w:b w:val="1"/>
                <w:bCs w:val="1"/>
                <w:color w:val="auto"/>
              </w:rPr>
              <w:t>(13)</w:t>
            </w:r>
          </w:p>
        </w:tc>
        <w:tc>
          <w:tcPr>
            <w:tcW w:w="320" w:type="dxa"/>
            <w:vAlign w:val="bottom"/>
            <w:tcBorders>
              <w:bottom w:val="single" w:sz="8" w:color="auto"/>
            </w:tcBorders>
          </w:tcPr>
          <w:p>
            <w:pPr>
              <w:jc w:val="right"/>
              <w:ind w:right="95"/>
              <w:spacing w:after="0" w:line="134" w:lineRule="exact"/>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(11)</w:t>
            </w: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both"/>
        <w:ind w:left="20" w:right="39"/>
        <w:spacing w:after="0" w:line="236" w:lineRule="auto"/>
        <w:rPr>
          <w:sz w:val="20"/>
          <w:szCs w:val="20"/>
          <w:color w:val="auto"/>
        </w:rPr>
      </w:pPr>
      <w:r>
        <w:rPr>
          <w:rFonts w:ascii="Arial" w:cs="Arial" w:eastAsia="Arial" w:hAnsi="Arial"/>
          <w:sz w:val="13"/>
          <w:szCs w:val="13"/>
          <w:color w:val="auto"/>
        </w:rPr>
        <w:t>The Canadian qualified pension plan’s assets exceeded its accumulated benefit obligation for both 2020 and 2019. Our non-qualified pension plans have an accumulated benefit obligation in excess of plan assets, as these plans are unfunded. Accordingly, the table below reflects both the U.S. qualified plan and the non-qualified plans for both 2020 and 2019.</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164"/>
        </w:trPr>
        <w:tc>
          <w:tcPr>
            <w:tcW w:w="5260" w:type="dxa"/>
            <w:vAlign w:val="bottom"/>
            <w:gridSpan w:val="2"/>
          </w:tcPr>
          <w:p>
            <w:pPr>
              <w:ind w:left="20"/>
              <w:spacing w:after="0"/>
              <w:rPr>
                <w:sz w:val="20"/>
                <w:szCs w:val="20"/>
                <w:color w:val="auto"/>
              </w:rPr>
            </w:pPr>
            <w:r>
              <w:rPr>
                <w:rFonts w:ascii="Arial" w:cs="Arial" w:eastAsia="Arial" w:hAnsi="Arial"/>
                <w:sz w:val="13"/>
                <w:szCs w:val="13"/>
                <w:color w:val="auto"/>
              </w:rPr>
              <w:t>($ in millions)</w:t>
            </w:r>
          </w:p>
        </w:tc>
        <w:tc>
          <w:tcPr>
            <w:tcW w:w="1660" w:type="dxa"/>
            <w:vAlign w:val="bottom"/>
          </w:tcPr>
          <w:p>
            <w:pPr>
              <w:jc w:val="center"/>
              <w:ind w:left="895"/>
              <w:spacing w:after="0"/>
              <w:rPr>
                <w:sz w:val="20"/>
                <w:szCs w:val="20"/>
                <w:color w:val="auto"/>
              </w:rPr>
            </w:pPr>
            <w:r>
              <w:rPr>
                <w:rFonts w:ascii="Arial" w:cs="Arial" w:eastAsia="Arial" w:hAnsi="Arial"/>
                <w:sz w:val="13"/>
                <w:szCs w:val="13"/>
                <w:b w:val="1"/>
                <w:bCs w:val="1"/>
                <w:color w:val="auto"/>
              </w:rPr>
              <w:t>2020</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center"/>
              <w:ind w:right="95"/>
              <w:spacing w:after="0"/>
              <w:rPr>
                <w:sz w:val="20"/>
                <w:szCs w:val="20"/>
                <w:color w:val="auto"/>
              </w:rPr>
            </w:pPr>
            <w:r>
              <w:rPr>
                <w:rFonts w:ascii="Arial" w:cs="Arial" w:eastAsia="Arial" w:hAnsi="Arial"/>
                <w:sz w:val="13"/>
                <w:szCs w:val="13"/>
                <w:color w:val="auto"/>
                <w:w w:val="96"/>
              </w:rPr>
              <w:t>2019</w:t>
            </w:r>
          </w:p>
        </w:tc>
      </w:tr>
      <w:tr>
        <w:trPr>
          <w:trHeight w:val="134"/>
        </w:trPr>
        <w:tc>
          <w:tcPr>
            <w:tcW w:w="20" w:type="dxa"/>
            <w:vAlign w:val="bottom"/>
          </w:tcPr>
          <w:p>
            <w:pPr>
              <w:spacing w:after="0"/>
              <w:rPr>
                <w:sz w:val="11"/>
                <w:szCs w:val="11"/>
                <w:color w:val="auto"/>
              </w:rPr>
            </w:pPr>
          </w:p>
        </w:tc>
        <w:tc>
          <w:tcPr>
            <w:tcW w:w="5240" w:type="dxa"/>
            <w:vAlign w:val="bottom"/>
            <w:tcBorders>
              <w:top w:val="single" w:sz="8" w:color="auto"/>
            </w:tcBorders>
            <w:shd w:val="clear" w:color="auto" w:fill="CCEEFF"/>
          </w:tcPr>
          <w:p>
            <w:pPr>
              <w:spacing w:after="0" w:line="134" w:lineRule="exact"/>
              <w:rPr>
                <w:sz w:val="20"/>
                <w:szCs w:val="20"/>
                <w:color w:val="auto"/>
              </w:rPr>
            </w:pPr>
            <w:r>
              <w:rPr>
                <w:rFonts w:ascii="Arial" w:cs="Arial" w:eastAsia="Arial" w:hAnsi="Arial"/>
                <w:sz w:val="13"/>
                <w:szCs w:val="13"/>
                <w:color w:val="auto"/>
              </w:rPr>
              <w:t>Projected benefit obligation</w:t>
            </w:r>
          </w:p>
        </w:tc>
        <w:tc>
          <w:tcPr>
            <w:tcW w:w="1660" w:type="dxa"/>
            <w:vAlign w:val="bottom"/>
            <w:tcBorders>
              <w:top w:val="single" w:sz="8" w:color="auto"/>
            </w:tcBorders>
            <w:shd w:val="clear" w:color="auto" w:fill="CCEEFF"/>
          </w:tcPr>
          <w:p>
            <w:pPr>
              <w:jc w:val="right"/>
              <w:ind w:right="915"/>
              <w:spacing w:after="0" w:line="134" w:lineRule="exact"/>
              <w:rPr>
                <w:sz w:val="20"/>
                <w:szCs w:val="20"/>
                <w:color w:val="auto"/>
              </w:rPr>
            </w:pPr>
            <w:r>
              <w:rPr>
                <w:rFonts w:ascii="Arial" w:cs="Arial" w:eastAsia="Arial" w:hAnsi="Arial"/>
                <w:sz w:val="13"/>
                <w:szCs w:val="13"/>
                <w:b w:val="1"/>
                <w:bCs w:val="1"/>
                <w:color w:val="auto"/>
              </w:rPr>
              <w:t>$</w:t>
            </w:r>
          </w:p>
        </w:tc>
        <w:tc>
          <w:tcPr>
            <w:tcW w:w="480" w:type="dxa"/>
            <w:vAlign w:val="bottom"/>
            <w:tcBorders>
              <w:top w:val="single" w:sz="8" w:color="auto"/>
            </w:tcBorders>
            <w:shd w:val="clear" w:color="auto" w:fill="CCEEFF"/>
          </w:tcPr>
          <w:p>
            <w:pPr>
              <w:jc w:val="right"/>
              <w:ind w:right="95"/>
              <w:spacing w:after="0" w:line="134" w:lineRule="exact"/>
              <w:rPr>
                <w:sz w:val="20"/>
                <w:szCs w:val="20"/>
                <w:color w:val="auto"/>
              </w:rPr>
            </w:pPr>
            <w:r>
              <w:rPr>
                <w:rFonts w:ascii="Arial" w:cs="Arial" w:eastAsia="Arial" w:hAnsi="Arial"/>
                <w:sz w:val="13"/>
                <w:szCs w:val="13"/>
                <w:b w:val="1"/>
                <w:bCs w:val="1"/>
                <w:color w:val="auto"/>
              </w:rPr>
              <w:t>706</w:t>
            </w:r>
          </w:p>
        </w:tc>
        <w:tc>
          <w:tcPr>
            <w:tcW w:w="280" w:type="dxa"/>
            <w:vAlign w:val="bottom"/>
            <w:tcBorders>
              <w:top w:val="single" w:sz="8" w:color="auto"/>
            </w:tcBorders>
            <w:shd w:val="clear" w:color="auto" w:fill="CCEEFF"/>
          </w:tcPr>
          <w:p>
            <w:pPr>
              <w:jc w:val="right"/>
              <w:ind w:right="15"/>
              <w:spacing w:after="0" w:line="134" w:lineRule="exact"/>
              <w:rPr>
                <w:sz w:val="20"/>
                <w:szCs w:val="20"/>
                <w:color w:val="auto"/>
              </w:rPr>
            </w:pPr>
            <w:r>
              <w:rPr>
                <w:rFonts w:ascii="Arial" w:cs="Arial" w:eastAsia="Arial" w:hAnsi="Arial"/>
                <w:sz w:val="13"/>
                <w:szCs w:val="13"/>
                <w:color w:val="auto"/>
              </w:rPr>
              <w:t>$</w:t>
            </w:r>
          </w:p>
        </w:tc>
        <w:tc>
          <w:tcPr>
            <w:tcW w:w="128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727</w:t>
            </w:r>
          </w:p>
        </w:tc>
      </w:tr>
      <w:tr>
        <w:trPr>
          <w:trHeight w:val="144"/>
        </w:trPr>
        <w:tc>
          <w:tcPr>
            <w:tcW w:w="20" w:type="dxa"/>
            <w:vAlign w:val="bottom"/>
          </w:tcPr>
          <w:p>
            <w:pPr>
              <w:spacing w:after="0"/>
              <w:rPr>
                <w:sz w:val="12"/>
                <w:szCs w:val="12"/>
                <w:color w:val="auto"/>
              </w:rPr>
            </w:pPr>
          </w:p>
        </w:tc>
        <w:tc>
          <w:tcPr>
            <w:tcW w:w="5240" w:type="dxa"/>
            <w:vAlign w:val="bottom"/>
          </w:tcPr>
          <w:p>
            <w:pPr>
              <w:spacing w:after="0" w:line="144" w:lineRule="exact"/>
              <w:rPr>
                <w:sz w:val="20"/>
                <w:szCs w:val="20"/>
                <w:color w:val="auto"/>
              </w:rPr>
            </w:pPr>
            <w:r>
              <w:rPr>
                <w:rFonts w:ascii="Arial" w:cs="Arial" w:eastAsia="Arial" w:hAnsi="Arial"/>
                <w:sz w:val="13"/>
                <w:szCs w:val="13"/>
                <w:color w:val="auto"/>
              </w:rPr>
              <w:t>Accumulated benefit obligation</w:t>
            </w:r>
          </w:p>
        </w:tc>
        <w:tc>
          <w:tcPr>
            <w:tcW w:w="1660" w:type="dxa"/>
            <w:vAlign w:val="bottom"/>
          </w:tcPr>
          <w:p>
            <w:pPr>
              <w:spacing w:after="0"/>
              <w:rPr>
                <w:sz w:val="12"/>
                <w:szCs w:val="12"/>
                <w:color w:val="auto"/>
              </w:rPr>
            </w:pPr>
          </w:p>
        </w:tc>
        <w:tc>
          <w:tcPr>
            <w:tcW w:w="480" w:type="dxa"/>
            <w:vAlign w:val="bottom"/>
          </w:tcPr>
          <w:p>
            <w:pPr>
              <w:jc w:val="right"/>
              <w:ind w:right="95"/>
              <w:spacing w:after="0" w:line="144" w:lineRule="exact"/>
              <w:rPr>
                <w:sz w:val="20"/>
                <w:szCs w:val="20"/>
                <w:color w:val="auto"/>
              </w:rPr>
            </w:pPr>
            <w:r>
              <w:rPr>
                <w:rFonts w:ascii="Arial" w:cs="Arial" w:eastAsia="Arial" w:hAnsi="Arial"/>
                <w:sz w:val="13"/>
                <w:szCs w:val="13"/>
                <w:b w:val="1"/>
                <w:bCs w:val="1"/>
                <w:color w:val="auto"/>
              </w:rPr>
              <w:t>706</w:t>
            </w:r>
          </w:p>
        </w:tc>
        <w:tc>
          <w:tcPr>
            <w:tcW w:w="280" w:type="dxa"/>
            <w:vAlign w:val="bottom"/>
          </w:tcPr>
          <w:p>
            <w:pPr>
              <w:spacing w:after="0"/>
              <w:rPr>
                <w:sz w:val="12"/>
                <w:szCs w:val="12"/>
                <w:color w:val="auto"/>
              </w:rPr>
            </w:pPr>
          </w:p>
        </w:tc>
        <w:tc>
          <w:tcPr>
            <w:tcW w:w="1280" w:type="dxa"/>
            <w:vAlign w:val="bottom"/>
          </w:tcPr>
          <w:p>
            <w:pPr>
              <w:jc w:val="right"/>
              <w:spacing w:after="0" w:line="144" w:lineRule="exact"/>
              <w:rPr>
                <w:sz w:val="20"/>
                <w:szCs w:val="20"/>
                <w:color w:val="auto"/>
              </w:rPr>
            </w:pPr>
            <w:r>
              <w:rPr>
                <w:rFonts w:ascii="Arial" w:cs="Arial" w:eastAsia="Arial" w:hAnsi="Arial"/>
                <w:sz w:val="13"/>
                <w:szCs w:val="13"/>
                <w:color w:val="auto"/>
              </w:rPr>
              <w:t>727</w:t>
            </w:r>
          </w:p>
        </w:tc>
      </w:tr>
      <w:tr>
        <w:trPr>
          <w:trHeight w:val="144"/>
        </w:trPr>
        <w:tc>
          <w:tcPr>
            <w:tcW w:w="20" w:type="dxa"/>
            <w:vAlign w:val="bottom"/>
          </w:tcPr>
          <w:p>
            <w:pPr>
              <w:spacing w:after="0"/>
              <w:rPr>
                <w:sz w:val="12"/>
                <w:szCs w:val="12"/>
                <w:color w:val="auto"/>
              </w:rPr>
            </w:pPr>
          </w:p>
        </w:tc>
        <w:tc>
          <w:tcPr>
            <w:tcW w:w="5240" w:type="dxa"/>
            <w:vAlign w:val="bottom"/>
            <w:tcBorders>
              <w:bottom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rPr>
              <w:t>Fair value of plan assets</w:t>
            </w:r>
          </w:p>
        </w:tc>
        <w:tc>
          <w:tcPr>
            <w:tcW w:w="16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ind w:right="95"/>
              <w:spacing w:after="0" w:line="144" w:lineRule="exact"/>
              <w:rPr>
                <w:sz w:val="20"/>
                <w:szCs w:val="20"/>
                <w:color w:val="auto"/>
              </w:rPr>
            </w:pPr>
            <w:r>
              <w:rPr>
                <w:rFonts w:ascii="Arial" w:cs="Arial" w:eastAsia="Arial" w:hAnsi="Arial"/>
                <w:sz w:val="13"/>
                <w:szCs w:val="13"/>
                <w:b w:val="1"/>
                <w:bCs w:val="1"/>
                <w:color w:val="auto"/>
              </w:rPr>
              <w:t>666</w:t>
            </w:r>
          </w:p>
        </w:tc>
        <w:tc>
          <w:tcPr>
            <w:tcW w:w="280" w:type="dxa"/>
            <w:vAlign w:val="bottom"/>
            <w:tcBorders>
              <w:bottom w:val="single" w:sz="8" w:color="auto"/>
            </w:tcBorders>
            <w:shd w:val="clear" w:color="auto" w:fill="CCEEFF"/>
          </w:tcPr>
          <w:p>
            <w:pPr>
              <w:spacing w:after="0"/>
              <w:rPr>
                <w:sz w:val="12"/>
                <w:szCs w:val="12"/>
                <w:color w:val="auto"/>
              </w:rPr>
            </w:pPr>
          </w:p>
        </w:tc>
        <w:tc>
          <w:tcPr>
            <w:tcW w:w="128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664</w:t>
            </w:r>
          </w:p>
        </w:tc>
      </w:tr>
      <w:tr>
        <w:trPr>
          <w:trHeight w:val="305"/>
        </w:trPr>
        <w:tc>
          <w:tcPr>
            <w:tcW w:w="5260" w:type="dxa"/>
            <w:vAlign w:val="bottom"/>
            <w:gridSpan w:val="2"/>
          </w:tcPr>
          <w:p>
            <w:pPr>
              <w:spacing w:after="0"/>
              <w:rPr>
                <w:sz w:val="20"/>
                <w:szCs w:val="20"/>
                <w:color w:val="auto"/>
              </w:rPr>
            </w:pPr>
            <w:r>
              <w:rPr>
                <w:rFonts w:ascii="Arial" w:cs="Arial" w:eastAsia="Arial" w:hAnsi="Arial"/>
                <w:sz w:val="13"/>
                <w:szCs w:val="13"/>
                <w:color w:val="auto"/>
              </w:rPr>
              <w:t>The following table provides the amounts recognized in AOCL on a pre-tax basis:</w:t>
            </w:r>
          </w:p>
        </w:tc>
        <w:tc>
          <w:tcPr>
            <w:tcW w:w="1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90"/>
        </w:trPr>
        <w:tc>
          <w:tcPr>
            <w:tcW w:w="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660" w:type="dxa"/>
            <w:vAlign w:val="bottom"/>
          </w:tcPr>
          <w:p>
            <w:pPr>
              <w:jc w:val="center"/>
              <w:ind w:left="895"/>
              <w:spacing w:after="0"/>
              <w:rPr>
                <w:sz w:val="20"/>
                <w:szCs w:val="20"/>
                <w:color w:val="auto"/>
              </w:rPr>
            </w:pPr>
            <w:r>
              <w:rPr>
                <w:rFonts w:ascii="Arial" w:cs="Arial" w:eastAsia="Arial" w:hAnsi="Arial"/>
                <w:sz w:val="13"/>
                <w:szCs w:val="13"/>
                <w:b w:val="1"/>
                <w:bCs w:val="1"/>
                <w:color w:val="auto"/>
                <w:w w:val="98"/>
              </w:rPr>
              <w:t>Pension</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tcPr>
          <w:p>
            <w:pPr>
              <w:jc w:val="center"/>
              <w:ind w:right="95"/>
              <w:spacing w:after="0"/>
              <w:rPr>
                <w:sz w:val="20"/>
                <w:szCs w:val="20"/>
                <w:color w:val="auto"/>
              </w:rPr>
            </w:pPr>
            <w:r>
              <w:rPr>
                <w:rFonts w:ascii="Arial" w:cs="Arial" w:eastAsia="Arial" w:hAnsi="Arial"/>
                <w:sz w:val="13"/>
                <w:szCs w:val="13"/>
                <w:b w:val="1"/>
                <w:bCs w:val="1"/>
                <w:color w:val="auto"/>
              </w:rPr>
              <w:t>Postretirement</w:t>
            </w:r>
          </w:p>
        </w:tc>
      </w:tr>
      <w:tr>
        <w:trPr>
          <w:trHeight w:val="164"/>
        </w:trPr>
        <w:tc>
          <w:tcPr>
            <w:tcW w:w="5260" w:type="dxa"/>
            <w:vAlign w:val="bottom"/>
            <w:gridSpan w:val="2"/>
          </w:tcPr>
          <w:p>
            <w:pPr>
              <w:ind w:left="20"/>
              <w:spacing w:after="0"/>
              <w:rPr>
                <w:sz w:val="20"/>
                <w:szCs w:val="20"/>
                <w:color w:val="auto"/>
              </w:rPr>
            </w:pPr>
            <w:r>
              <w:rPr>
                <w:rFonts w:ascii="Arial" w:cs="Arial" w:eastAsia="Arial" w:hAnsi="Arial"/>
                <w:sz w:val="13"/>
                <w:szCs w:val="13"/>
                <w:color w:val="auto"/>
              </w:rPr>
              <w:t>($ in millions)</w:t>
            </w:r>
          </w:p>
        </w:tc>
        <w:tc>
          <w:tcPr>
            <w:tcW w:w="1660" w:type="dxa"/>
            <w:vAlign w:val="bottom"/>
          </w:tcPr>
          <w:p>
            <w:pPr>
              <w:jc w:val="center"/>
              <w:ind w:left="895"/>
              <w:spacing w:after="0"/>
              <w:rPr>
                <w:sz w:val="20"/>
                <w:szCs w:val="20"/>
                <w:color w:val="auto"/>
              </w:rPr>
            </w:pPr>
            <w:r>
              <w:rPr>
                <w:rFonts w:ascii="Arial" w:cs="Arial" w:eastAsia="Arial" w:hAnsi="Arial"/>
                <w:sz w:val="13"/>
                <w:szCs w:val="13"/>
                <w:b w:val="1"/>
                <w:bCs w:val="1"/>
                <w:color w:val="auto"/>
                <w:w w:val="97"/>
              </w:rPr>
              <w:t>Benefits</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jc w:val="center"/>
              <w:ind w:right="95"/>
              <w:spacing w:after="0"/>
              <w:rPr>
                <w:sz w:val="20"/>
                <w:szCs w:val="20"/>
                <w:color w:val="auto"/>
              </w:rPr>
            </w:pPr>
            <w:r>
              <w:rPr>
                <w:rFonts w:ascii="Arial" w:cs="Arial" w:eastAsia="Arial" w:hAnsi="Arial"/>
                <w:sz w:val="13"/>
                <w:szCs w:val="13"/>
                <w:b w:val="1"/>
                <w:bCs w:val="1"/>
                <w:color w:val="auto"/>
              </w:rPr>
              <w:t>Benefits</w:t>
            </w:r>
          </w:p>
        </w:tc>
      </w:tr>
      <w:tr>
        <w:trPr>
          <w:trHeight w:val="134"/>
        </w:trPr>
        <w:tc>
          <w:tcPr>
            <w:tcW w:w="20" w:type="dxa"/>
            <w:vAlign w:val="bottom"/>
          </w:tcPr>
          <w:p>
            <w:pPr>
              <w:spacing w:after="0"/>
              <w:rPr>
                <w:sz w:val="11"/>
                <w:szCs w:val="11"/>
                <w:color w:val="auto"/>
              </w:rPr>
            </w:pPr>
          </w:p>
        </w:tc>
        <w:tc>
          <w:tcPr>
            <w:tcW w:w="5240" w:type="dxa"/>
            <w:vAlign w:val="bottom"/>
            <w:tcBorders>
              <w:top w:val="single" w:sz="8" w:color="auto"/>
            </w:tcBorders>
            <w:shd w:val="clear" w:color="auto" w:fill="CCEEFF"/>
          </w:tcPr>
          <w:p>
            <w:pPr>
              <w:spacing w:after="0" w:line="134" w:lineRule="exact"/>
              <w:rPr>
                <w:sz w:val="20"/>
                <w:szCs w:val="20"/>
                <w:color w:val="auto"/>
              </w:rPr>
            </w:pPr>
            <w:r>
              <w:rPr>
                <w:rFonts w:ascii="Arial" w:cs="Arial" w:eastAsia="Arial" w:hAnsi="Arial"/>
                <w:sz w:val="13"/>
                <w:szCs w:val="13"/>
                <w:color w:val="auto"/>
              </w:rPr>
              <w:t>Net actuarial loss (gain) at beginning of year</w:t>
            </w:r>
          </w:p>
        </w:tc>
        <w:tc>
          <w:tcPr>
            <w:tcW w:w="1660" w:type="dxa"/>
            <w:vAlign w:val="bottom"/>
            <w:tcBorders>
              <w:top w:val="single" w:sz="8" w:color="auto"/>
            </w:tcBorders>
            <w:shd w:val="clear" w:color="auto" w:fill="CCEEFF"/>
          </w:tcPr>
          <w:p>
            <w:pPr>
              <w:jc w:val="right"/>
              <w:ind w:right="915"/>
              <w:spacing w:after="0" w:line="134" w:lineRule="exact"/>
              <w:rPr>
                <w:sz w:val="20"/>
                <w:szCs w:val="20"/>
                <w:color w:val="auto"/>
              </w:rPr>
            </w:pPr>
            <w:r>
              <w:rPr>
                <w:rFonts w:ascii="Arial" w:cs="Arial" w:eastAsia="Arial" w:hAnsi="Arial"/>
                <w:sz w:val="13"/>
                <w:szCs w:val="13"/>
                <w:color w:val="auto"/>
              </w:rPr>
              <w:t>$</w:t>
            </w:r>
          </w:p>
        </w:tc>
        <w:tc>
          <w:tcPr>
            <w:tcW w:w="480" w:type="dxa"/>
            <w:vAlign w:val="bottom"/>
            <w:tcBorders>
              <w:top w:val="single" w:sz="8" w:color="auto"/>
            </w:tcBorders>
            <w:shd w:val="clear" w:color="auto" w:fill="CCEEFF"/>
          </w:tcPr>
          <w:p>
            <w:pPr>
              <w:jc w:val="right"/>
              <w:ind w:right="95"/>
              <w:spacing w:after="0" w:line="134" w:lineRule="exact"/>
              <w:rPr>
                <w:sz w:val="20"/>
                <w:szCs w:val="20"/>
                <w:color w:val="auto"/>
              </w:rPr>
            </w:pPr>
            <w:r>
              <w:rPr>
                <w:rFonts w:ascii="Arial" w:cs="Arial" w:eastAsia="Arial" w:hAnsi="Arial"/>
                <w:sz w:val="13"/>
                <w:szCs w:val="13"/>
                <w:color w:val="auto"/>
              </w:rPr>
              <w:t>392</w:t>
            </w:r>
          </w:p>
        </w:tc>
        <w:tc>
          <w:tcPr>
            <w:tcW w:w="280" w:type="dxa"/>
            <w:vAlign w:val="bottom"/>
            <w:tcBorders>
              <w:top w:val="single" w:sz="8" w:color="auto"/>
            </w:tcBorders>
            <w:shd w:val="clear" w:color="auto" w:fill="CCEEFF"/>
          </w:tcPr>
          <w:p>
            <w:pPr>
              <w:jc w:val="right"/>
              <w:ind w:right="15"/>
              <w:spacing w:after="0" w:line="134" w:lineRule="exact"/>
              <w:rPr>
                <w:sz w:val="20"/>
                <w:szCs w:val="20"/>
                <w:color w:val="auto"/>
              </w:rPr>
            </w:pPr>
            <w:r>
              <w:rPr>
                <w:rFonts w:ascii="Arial" w:cs="Arial" w:eastAsia="Arial" w:hAnsi="Arial"/>
                <w:sz w:val="13"/>
                <w:szCs w:val="13"/>
                <w:color w:val="auto"/>
              </w:rPr>
              <w:t>$</w:t>
            </w:r>
          </w:p>
        </w:tc>
        <w:tc>
          <w:tcPr>
            <w:tcW w:w="128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(5)</w:t>
            </w:r>
          </w:p>
        </w:tc>
      </w:tr>
      <w:tr>
        <w:trPr>
          <w:trHeight w:val="144"/>
        </w:trPr>
        <w:tc>
          <w:tcPr>
            <w:tcW w:w="20" w:type="dxa"/>
            <w:vAlign w:val="bottom"/>
          </w:tcPr>
          <w:p>
            <w:pPr>
              <w:spacing w:after="0"/>
              <w:rPr>
                <w:sz w:val="12"/>
                <w:szCs w:val="12"/>
                <w:color w:val="auto"/>
              </w:rPr>
            </w:pPr>
          </w:p>
        </w:tc>
        <w:tc>
          <w:tcPr>
            <w:tcW w:w="5240" w:type="dxa"/>
            <w:vAlign w:val="bottom"/>
          </w:tcPr>
          <w:p>
            <w:pPr>
              <w:spacing w:after="0" w:line="144" w:lineRule="exact"/>
              <w:rPr>
                <w:sz w:val="20"/>
                <w:szCs w:val="20"/>
                <w:color w:val="auto"/>
              </w:rPr>
            </w:pPr>
            <w:r>
              <w:rPr>
                <w:rFonts w:ascii="Arial" w:cs="Arial" w:eastAsia="Arial" w:hAnsi="Arial"/>
                <w:sz w:val="13"/>
                <w:szCs w:val="13"/>
                <w:color w:val="auto"/>
              </w:rPr>
              <w:t>Amortization of net (loss) gain</w:t>
            </w:r>
          </w:p>
        </w:tc>
        <w:tc>
          <w:tcPr>
            <w:tcW w:w="1660" w:type="dxa"/>
            <w:vAlign w:val="bottom"/>
          </w:tcPr>
          <w:p>
            <w:pPr>
              <w:spacing w:after="0"/>
              <w:rPr>
                <w:sz w:val="12"/>
                <w:szCs w:val="12"/>
                <w:color w:val="auto"/>
              </w:rPr>
            </w:pPr>
          </w:p>
        </w:tc>
        <w:tc>
          <w:tcPr>
            <w:tcW w:w="480" w:type="dxa"/>
            <w:vAlign w:val="bottom"/>
          </w:tcPr>
          <w:p>
            <w:pPr>
              <w:jc w:val="right"/>
              <w:ind w:right="55"/>
              <w:spacing w:after="0" w:line="144" w:lineRule="exact"/>
              <w:rPr>
                <w:sz w:val="20"/>
                <w:szCs w:val="20"/>
                <w:color w:val="auto"/>
              </w:rPr>
            </w:pPr>
            <w:r>
              <w:rPr>
                <w:rFonts w:ascii="Arial" w:cs="Arial" w:eastAsia="Arial" w:hAnsi="Arial"/>
                <w:sz w:val="13"/>
                <w:szCs w:val="13"/>
                <w:color w:val="auto"/>
              </w:rPr>
              <w:t>(12)</w:t>
            </w:r>
          </w:p>
        </w:tc>
        <w:tc>
          <w:tcPr>
            <w:tcW w:w="280" w:type="dxa"/>
            <w:vAlign w:val="bottom"/>
          </w:tcPr>
          <w:p>
            <w:pPr>
              <w:spacing w:after="0"/>
              <w:rPr>
                <w:sz w:val="12"/>
                <w:szCs w:val="12"/>
                <w:color w:val="auto"/>
              </w:rPr>
            </w:pPr>
          </w:p>
        </w:tc>
        <w:tc>
          <w:tcPr>
            <w:tcW w:w="1280" w:type="dxa"/>
            <w:vAlign w:val="bottom"/>
          </w:tcPr>
          <w:p>
            <w:pPr>
              <w:jc w:val="right"/>
              <w:spacing w:after="0" w:line="144" w:lineRule="exact"/>
              <w:rPr>
                <w:sz w:val="20"/>
                <w:szCs w:val="20"/>
                <w:color w:val="auto"/>
              </w:rPr>
            </w:pPr>
            <w:r>
              <w:rPr>
                <w:rFonts w:ascii="Arial" w:cs="Arial" w:eastAsia="Arial" w:hAnsi="Arial"/>
                <w:sz w:val="13"/>
                <w:szCs w:val="13"/>
                <w:color w:val="auto"/>
              </w:rPr>
              <w:t>1</w:t>
            </w:r>
          </w:p>
        </w:tc>
      </w:tr>
      <w:tr>
        <w:trPr>
          <w:trHeight w:val="144"/>
        </w:trPr>
        <w:tc>
          <w:tcPr>
            <w:tcW w:w="20" w:type="dxa"/>
            <w:vAlign w:val="bottom"/>
          </w:tcPr>
          <w:p>
            <w:pPr>
              <w:spacing w:after="0"/>
              <w:rPr>
                <w:sz w:val="12"/>
                <w:szCs w:val="12"/>
                <w:color w:val="auto"/>
              </w:rPr>
            </w:pPr>
          </w:p>
        </w:tc>
        <w:tc>
          <w:tcPr>
            <w:tcW w:w="52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(Gain) loss arising during the year</w:t>
            </w:r>
          </w:p>
        </w:tc>
        <w:tc>
          <w:tcPr>
            <w:tcW w:w="166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(20)</w:t>
            </w:r>
          </w:p>
        </w:tc>
        <w:tc>
          <w:tcPr>
            <w:tcW w:w="28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w:t>
            </w:r>
          </w:p>
        </w:tc>
      </w:tr>
      <w:tr>
        <w:trPr>
          <w:trHeight w:val="144"/>
        </w:trPr>
        <w:tc>
          <w:tcPr>
            <w:tcW w:w="20" w:type="dxa"/>
            <w:vAlign w:val="bottom"/>
          </w:tcPr>
          <w:p>
            <w:pPr>
              <w:spacing w:after="0"/>
              <w:rPr>
                <w:sz w:val="12"/>
                <w:szCs w:val="12"/>
                <w:color w:val="auto"/>
              </w:rPr>
            </w:pPr>
          </w:p>
        </w:tc>
        <w:tc>
          <w:tcPr>
            <w:tcW w:w="524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color w:val="auto"/>
              </w:rPr>
              <w:t>Foreign currency fluctuations</w:t>
            </w:r>
          </w:p>
        </w:tc>
        <w:tc>
          <w:tcPr>
            <w:tcW w:w="16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5"/>
              <w:spacing w:after="0" w:line="144" w:lineRule="exact"/>
              <w:rPr>
                <w:sz w:val="20"/>
                <w:szCs w:val="20"/>
                <w:color w:val="auto"/>
              </w:rPr>
            </w:pPr>
            <w:r>
              <w:rPr>
                <w:rFonts w:ascii="Arial" w:cs="Arial" w:eastAsia="Arial" w:hAnsi="Arial"/>
                <w:sz w:val="13"/>
                <w:szCs w:val="13"/>
                <w:color w:val="auto"/>
              </w:rPr>
              <w:t>1</w:t>
            </w:r>
          </w:p>
        </w:tc>
        <w:tc>
          <w:tcPr>
            <w:tcW w:w="2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w:t>
            </w:r>
          </w:p>
        </w:tc>
      </w:tr>
      <w:tr>
        <w:trPr>
          <w:trHeight w:val="134"/>
        </w:trPr>
        <w:tc>
          <w:tcPr>
            <w:tcW w:w="20" w:type="dxa"/>
            <w:vAlign w:val="bottom"/>
          </w:tcPr>
          <w:p>
            <w:pPr>
              <w:spacing w:after="0"/>
              <w:rPr>
                <w:sz w:val="11"/>
                <w:szCs w:val="11"/>
                <w:color w:val="auto"/>
              </w:rPr>
            </w:pPr>
          </w:p>
        </w:tc>
        <w:tc>
          <w:tcPr>
            <w:tcW w:w="5240" w:type="dxa"/>
            <w:vAlign w:val="bottom"/>
            <w:tcBorders>
              <w:bottom w:val="single" w:sz="8" w:color="auto"/>
            </w:tcBorders>
            <w:shd w:val="clear" w:color="auto" w:fill="CCEEFF"/>
          </w:tcPr>
          <w:p>
            <w:pPr>
              <w:spacing w:after="0" w:line="134" w:lineRule="exact"/>
              <w:rPr>
                <w:sz w:val="20"/>
                <w:szCs w:val="20"/>
                <w:color w:val="auto"/>
              </w:rPr>
            </w:pPr>
            <w:r>
              <w:rPr>
                <w:rFonts w:ascii="Arial" w:cs="Arial" w:eastAsia="Arial" w:hAnsi="Arial"/>
                <w:sz w:val="13"/>
                <w:szCs w:val="13"/>
                <w:color w:val="auto"/>
              </w:rPr>
              <w:t>Net actuarial loss (gain) at end of year</w:t>
            </w:r>
          </w:p>
        </w:tc>
        <w:tc>
          <w:tcPr>
            <w:tcW w:w="1660" w:type="dxa"/>
            <w:vAlign w:val="bottom"/>
            <w:tcBorders>
              <w:bottom w:val="single" w:sz="8" w:color="auto"/>
            </w:tcBorders>
            <w:shd w:val="clear" w:color="auto" w:fill="CCEEFF"/>
          </w:tcPr>
          <w:p>
            <w:pPr>
              <w:jc w:val="right"/>
              <w:ind w:right="915"/>
              <w:spacing w:after="0" w:line="134" w:lineRule="exact"/>
              <w:rPr>
                <w:sz w:val="20"/>
                <w:szCs w:val="20"/>
                <w:color w:val="auto"/>
              </w:rPr>
            </w:pPr>
            <w:r>
              <w:rPr>
                <w:rFonts w:ascii="Arial" w:cs="Arial" w:eastAsia="Arial" w:hAnsi="Arial"/>
                <w:sz w:val="13"/>
                <w:szCs w:val="13"/>
                <w:color w:val="auto"/>
              </w:rPr>
              <w:t>$</w:t>
            </w:r>
          </w:p>
        </w:tc>
        <w:tc>
          <w:tcPr>
            <w:tcW w:w="480" w:type="dxa"/>
            <w:vAlign w:val="bottom"/>
            <w:tcBorders>
              <w:bottom w:val="single" w:sz="8" w:color="auto"/>
            </w:tcBorders>
            <w:shd w:val="clear" w:color="auto" w:fill="CCEEFF"/>
          </w:tcPr>
          <w:p>
            <w:pPr>
              <w:jc w:val="right"/>
              <w:ind w:right="95"/>
              <w:spacing w:after="0" w:line="134" w:lineRule="exact"/>
              <w:rPr>
                <w:sz w:val="20"/>
                <w:szCs w:val="20"/>
                <w:color w:val="auto"/>
              </w:rPr>
            </w:pPr>
            <w:r>
              <w:rPr>
                <w:rFonts w:ascii="Arial" w:cs="Arial" w:eastAsia="Arial" w:hAnsi="Arial"/>
                <w:sz w:val="13"/>
                <w:szCs w:val="13"/>
                <w:color w:val="auto"/>
              </w:rPr>
              <w:t>361</w:t>
            </w:r>
          </w:p>
        </w:tc>
        <w:tc>
          <w:tcPr>
            <w:tcW w:w="280" w:type="dxa"/>
            <w:vAlign w:val="bottom"/>
            <w:tcBorders>
              <w:bottom w:val="single" w:sz="8" w:color="auto"/>
            </w:tcBorders>
            <w:shd w:val="clear" w:color="auto" w:fill="CCEEFF"/>
          </w:tcPr>
          <w:p>
            <w:pPr>
              <w:jc w:val="right"/>
              <w:ind w:right="15"/>
              <w:spacing w:after="0" w:line="134" w:lineRule="exact"/>
              <w:rPr>
                <w:sz w:val="20"/>
                <w:szCs w:val="20"/>
                <w:color w:val="auto"/>
              </w:rPr>
            </w:pPr>
            <w:r>
              <w:rPr>
                <w:rFonts w:ascii="Arial" w:cs="Arial" w:eastAsia="Arial" w:hAnsi="Arial"/>
                <w:sz w:val="13"/>
                <w:szCs w:val="13"/>
                <w:color w:val="auto"/>
              </w:rPr>
              <w:t>$</w:t>
            </w:r>
          </w:p>
        </w:tc>
        <w:tc>
          <w:tcPr>
            <w:tcW w:w="128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(2)</w:t>
            </w:r>
          </w:p>
        </w:tc>
      </w:tr>
      <w:tr>
        <w:trPr>
          <w:trHeight w:val="20"/>
        </w:trPr>
        <w:tc>
          <w:tcPr>
            <w:tcW w:w="20" w:type="dxa"/>
            <w:vAlign w:val="bottom"/>
          </w:tcPr>
          <w:p>
            <w:pPr>
              <w:spacing w:after="0" w:line="20" w:lineRule="exact"/>
              <w:rPr>
                <w:sz w:val="1"/>
                <w:szCs w:val="1"/>
                <w:color w:val="auto"/>
              </w:rPr>
            </w:pPr>
          </w:p>
        </w:tc>
        <w:tc>
          <w:tcPr>
            <w:tcW w:w="5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57" w:lineRule="exact"/>
        <w:rPr>
          <w:sz w:val="20"/>
          <w:szCs w:val="20"/>
          <w:color w:val="auto"/>
        </w:rPr>
      </w:pPr>
    </w:p>
    <w:p>
      <w:pPr>
        <w:ind w:left="7520"/>
        <w:spacing w:after="0"/>
        <w:rPr>
          <w:sz w:val="20"/>
          <w:szCs w:val="20"/>
          <w:color w:val="auto"/>
        </w:rPr>
      </w:pPr>
      <w:r>
        <w:rPr>
          <w:rFonts w:ascii="Arial" w:cs="Arial" w:eastAsia="Arial" w:hAnsi="Arial"/>
          <w:sz w:val="12"/>
          <w:szCs w:val="12"/>
          <w:color w:val="auto"/>
        </w:rPr>
        <w:t>2020 Form 10-K Page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365125</wp:posOffset>
            </wp:positionV>
            <wp:extent cx="5680075" cy="133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80075" cy="13335"/>
                    </a:xfrm>
                    <a:prstGeom prst="rect">
                      <a:avLst/>
                    </a:prstGeom>
                    <a:noFill/>
                  </pic:spPr>
                </pic:pic>
              </a:graphicData>
            </a:graphic>
          </wp:anchor>
        </w:drawing>
      </w:r>
    </w:p>
    <w:p>
      <w:pPr>
        <w:sectPr>
          <w:pgSz w:w="11900" w:h="16838" w:orient="portrait"/>
          <w:cols w:equalWidth="0" w:num="1">
            <w:col w:w="9019"/>
          </w:cols>
          <w:pgMar w:left="1440" w:top="995" w:right="1440"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2992755</wp:posOffset>
            </wp:positionH>
            <wp:positionV relativeFrom="page">
              <wp:posOffset>375285</wp:posOffset>
            </wp:positionV>
            <wp:extent cx="1563370" cy="169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1563370" cy="169545"/>
                    </a:xfrm>
                    <a:prstGeom prst="rect">
                      <a:avLst/>
                    </a:prstGeom>
                    <a:noFill/>
                  </pic:spPr>
                </pic:pic>
              </a:graphicData>
            </a:graphic>
          </wp:anchor>
        </w:drawing>
        <w:t>NOTES TO CONSOLIDATED FINANCIAL STATEMENTS</w:t>
      </w:r>
    </w:p>
    <w:p>
      <w:pPr>
        <w:spacing w:after="0" w:line="159" w:lineRule="exact"/>
        <w:rPr>
          <w:sz w:val="20"/>
          <w:szCs w:val="20"/>
          <w:color w:val="auto"/>
        </w:rPr>
      </w:pPr>
    </w:p>
    <w:p>
      <w:pPr>
        <w:jc w:val="both"/>
        <w:ind w:left="20" w:right="39"/>
        <w:spacing w:after="0" w:line="236" w:lineRule="auto"/>
        <w:rPr>
          <w:sz w:val="20"/>
          <w:szCs w:val="20"/>
          <w:color w:val="auto"/>
        </w:rPr>
      </w:pPr>
      <w:r>
        <w:rPr>
          <w:rFonts w:ascii="Arial" w:cs="Arial" w:eastAsia="Arial" w:hAnsi="Arial"/>
          <w:sz w:val="13"/>
          <w:szCs w:val="13"/>
          <w:color w:val="auto"/>
        </w:rPr>
        <w:t>The actuarial losses incurred during 2020 were primarily driven from a decrease in discount rates applied against future expected benefit payments and resulted in an increase in the benefit obligation for the pension benefit plans. This was partially offset by higher actual return over expected return on plan assets and liability gains from the U.S. qualified plan.</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3"/>
          <w:szCs w:val="13"/>
          <w:color w:val="auto"/>
        </w:rPr>
        <w:t>The following weighted-average assumptions were used to determine the benefit obligations under the plans:</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47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95"/>
              <w:spacing w:after="0"/>
              <w:rPr>
                <w:sz w:val="20"/>
                <w:szCs w:val="20"/>
                <w:color w:val="auto"/>
              </w:rPr>
            </w:pPr>
            <w:r>
              <w:rPr>
                <w:rFonts w:ascii="Arial" w:cs="Arial" w:eastAsia="Arial" w:hAnsi="Arial"/>
                <w:sz w:val="13"/>
                <w:szCs w:val="13"/>
                <w:b w:val="1"/>
                <w:bCs w:val="1"/>
                <w:color w:val="auto"/>
              </w:rPr>
              <w:t>Pension Benefits</w:t>
            </w:r>
          </w:p>
        </w:tc>
        <w:tc>
          <w:tcPr>
            <w:tcW w:w="6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2"/>
          </w:tcPr>
          <w:p>
            <w:pPr>
              <w:jc w:val="right"/>
              <w:ind w:right="495"/>
              <w:spacing w:after="0"/>
              <w:rPr>
                <w:sz w:val="20"/>
                <w:szCs w:val="20"/>
                <w:color w:val="auto"/>
              </w:rPr>
            </w:pPr>
            <w:r>
              <w:rPr>
                <w:rFonts w:ascii="Arial" w:cs="Arial" w:eastAsia="Arial" w:hAnsi="Arial"/>
                <w:sz w:val="13"/>
                <w:szCs w:val="13"/>
                <w:b w:val="1"/>
                <w:bCs w:val="1"/>
                <w:color w:val="auto"/>
              </w:rPr>
              <w:t>Postretirement Benefits</w:t>
            </w:r>
          </w:p>
        </w:tc>
      </w:tr>
      <w:tr>
        <w:trPr>
          <w:trHeight w:val="134"/>
        </w:trPr>
        <w:tc>
          <w:tcPr>
            <w:tcW w:w="20" w:type="dxa"/>
            <w:vAlign w:val="bottom"/>
          </w:tcPr>
          <w:p>
            <w:pPr>
              <w:spacing w:after="0"/>
              <w:rPr>
                <w:sz w:val="11"/>
                <w:szCs w:val="11"/>
                <w:color w:val="auto"/>
              </w:rPr>
            </w:pPr>
          </w:p>
        </w:tc>
        <w:tc>
          <w:tcPr>
            <w:tcW w:w="47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2020</w:t>
            </w:r>
          </w:p>
        </w:tc>
        <w:tc>
          <w:tcPr>
            <w:tcW w:w="12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2019</w:t>
            </w:r>
          </w:p>
        </w:tc>
        <w:tc>
          <w:tcPr>
            <w:tcW w:w="6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right"/>
              <w:ind w:right="635"/>
              <w:spacing w:after="0" w:line="134" w:lineRule="exact"/>
              <w:rPr>
                <w:sz w:val="20"/>
                <w:szCs w:val="20"/>
                <w:color w:val="auto"/>
              </w:rPr>
            </w:pPr>
            <w:r>
              <w:rPr>
                <w:rFonts w:ascii="Arial" w:cs="Arial" w:eastAsia="Arial" w:hAnsi="Arial"/>
                <w:sz w:val="13"/>
                <w:szCs w:val="13"/>
                <w:b w:val="1"/>
                <w:bCs w:val="1"/>
                <w:color w:val="auto"/>
              </w:rPr>
              <w:t>2020</w:t>
            </w:r>
          </w:p>
        </w:tc>
        <w:tc>
          <w:tcPr>
            <w:tcW w:w="1060" w:type="dxa"/>
            <w:vAlign w:val="bottom"/>
            <w:tcBorders>
              <w:bottom w:val="single" w:sz="8" w:color="auto"/>
            </w:tcBorders>
          </w:tcPr>
          <w:p>
            <w:pPr>
              <w:jc w:val="right"/>
              <w:ind w:right="475"/>
              <w:spacing w:after="0" w:line="134" w:lineRule="exact"/>
              <w:rPr>
                <w:sz w:val="20"/>
                <w:szCs w:val="20"/>
                <w:color w:val="auto"/>
              </w:rPr>
            </w:pPr>
            <w:r>
              <w:rPr>
                <w:rFonts w:ascii="Arial" w:cs="Arial" w:eastAsia="Arial" w:hAnsi="Arial"/>
                <w:sz w:val="13"/>
                <w:szCs w:val="13"/>
                <w:color w:val="auto"/>
              </w:rPr>
              <w:t>2019</w:t>
            </w:r>
          </w:p>
        </w:tc>
      </w:tr>
      <w:tr>
        <w:trPr>
          <w:trHeight w:val="134"/>
        </w:trPr>
        <w:tc>
          <w:tcPr>
            <w:tcW w:w="20" w:type="dxa"/>
            <w:vAlign w:val="bottom"/>
          </w:tcPr>
          <w:p>
            <w:pPr>
              <w:spacing w:after="0"/>
              <w:rPr>
                <w:sz w:val="11"/>
                <w:szCs w:val="11"/>
                <w:color w:val="auto"/>
              </w:rPr>
            </w:pPr>
          </w:p>
        </w:tc>
        <w:tc>
          <w:tcPr>
            <w:tcW w:w="476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Discount rate</w:t>
            </w:r>
          </w:p>
        </w:tc>
        <w:tc>
          <w:tcPr>
            <w:tcW w:w="1240" w:type="dxa"/>
            <w:vAlign w:val="bottom"/>
            <w:shd w:val="clear" w:color="auto" w:fill="CCEEFF"/>
          </w:tcPr>
          <w:p>
            <w:pPr>
              <w:jc w:val="right"/>
              <w:ind w:right="755"/>
              <w:spacing w:after="0" w:line="134" w:lineRule="exact"/>
              <w:rPr>
                <w:sz w:val="20"/>
                <w:szCs w:val="20"/>
                <w:color w:val="auto"/>
              </w:rPr>
            </w:pPr>
            <w:r>
              <w:rPr>
                <w:rFonts w:ascii="Arial" w:cs="Arial" w:eastAsia="Arial" w:hAnsi="Arial"/>
                <w:sz w:val="13"/>
                <w:szCs w:val="13"/>
                <w:b w:val="1"/>
                <w:bCs w:val="1"/>
                <w:color w:val="auto"/>
              </w:rPr>
              <w:t>2.5 %</w:t>
            </w:r>
          </w:p>
        </w:tc>
        <w:tc>
          <w:tcPr>
            <w:tcW w:w="640" w:type="dxa"/>
            <w:vAlign w:val="bottom"/>
            <w:shd w:val="clear" w:color="auto" w:fill="CCEEFF"/>
          </w:tcPr>
          <w:p>
            <w:pPr>
              <w:jc w:val="right"/>
              <w:ind w:right="175"/>
              <w:spacing w:after="0" w:line="134" w:lineRule="exact"/>
              <w:rPr>
                <w:sz w:val="20"/>
                <w:szCs w:val="20"/>
                <w:color w:val="auto"/>
              </w:rPr>
            </w:pPr>
            <w:r>
              <w:rPr>
                <w:rFonts w:ascii="Arial" w:cs="Arial" w:eastAsia="Arial" w:hAnsi="Arial"/>
                <w:sz w:val="13"/>
                <w:szCs w:val="13"/>
                <w:color w:val="auto"/>
              </w:rPr>
              <w:t>2.9 %</w:t>
            </w:r>
          </w:p>
        </w:tc>
        <w:tc>
          <w:tcPr>
            <w:tcW w:w="1220" w:type="dxa"/>
            <w:vAlign w:val="bottom"/>
            <w:shd w:val="clear" w:color="auto" w:fill="CCEEFF"/>
          </w:tcPr>
          <w:p>
            <w:pPr>
              <w:jc w:val="right"/>
              <w:ind w:right="175"/>
              <w:spacing w:after="0" w:line="134" w:lineRule="exact"/>
              <w:rPr>
                <w:sz w:val="20"/>
                <w:szCs w:val="20"/>
                <w:color w:val="auto"/>
              </w:rPr>
            </w:pPr>
            <w:r>
              <w:rPr>
                <w:rFonts w:ascii="Arial" w:cs="Arial" w:eastAsia="Arial" w:hAnsi="Arial"/>
                <w:sz w:val="13"/>
                <w:szCs w:val="13"/>
                <w:b w:val="1"/>
                <w:bCs w:val="1"/>
                <w:color w:val="auto"/>
              </w:rPr>
              <w:t>2.8 %</w:t>
            </w:r>
          </w:p>
        </w:tc>
        <w:tc>
          <w:tcPr>
            <w:tcW w:w="1060" w:type="dxa"/>
            <w:vAlign w:val="bottom"/>
            <w:shd w:val="clear" w:color="auto" w:fill="CCEEFF"/>
          </w:tcPr>
          <w:p>
            <w:pPr>
              <w:jc w:val="right"/>
              <w:ind w:right="15"/>
              <w:spacing w:after="0" w:line="134" w:lineRule="exact"/>
              <w:rPr>
                <w:sz w:val="20"/>
                <w:szCs w:val="20"/>
                <w:color w:val="auto"/>
              </w:rPr>
            </w:pPr>
            <w:r>
              <w:rPr>
                <w:rFonts w:ascii="Arial" w:cs="Arial" w:eastAsia="Arial" w:hAnsi="Arial"/>
                <w:sz w:val="13"/>
                <w:szCs w:val="13"/>
                <w:color w:val="auto"/>
              </w:rPr>
              <w:t>3.0 %</w:t>
            </w:r>
          </w:p>
        </w:tc>
      </w:tr>
      <w:tr>
        <w:trPr>
          <w:trHeight w:val="144"/>
        </w:trPr>
        <w:tc>
          <w:tcPr>
            <w:tcW w:w="20" w:type="dxa"/>
            <w:vAlign w:val="bottom"/>
            <w:tcBorders>
              <w:bottom w:val="single" w:sz="8" w:color="auto"/>
            </w:tcBorders>
          </w:tcPr>
          <w:p>
            <w:pPr>
              <w:spacing w:after="0"/>
              <w:rPr>
                <w:sz w:val="12"/>
                <w:szCs w:val="12"/>
                <w:color w:val="auto"/>
              </w:rPr>
            </w:pPr>
          </w:p>
        </w:tc>
        <w:tc>
          <w:tcPr>
            <w:tcW w:w="476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color w:val="auto"/>
              </w:rPr>
              <w:t>Rate of compensation increase</w:t>
            </w:r>
          </w:p>
        </w:tc>
        <w:tc>
          <w:tcPr>
            <w:tcW w:w="1240" w:type="dxa"/>
            <w:vAlign w:val="bottom"/>
            <w:tcBorders>
              <w:bottom w:val="single" w:sz="8" w:color="auto"/>
            </w:tcBorders>
          </w:tcPr>
          <w:p>
            <w:pPr>
              <w:jc w:val="right"/>
              <w:ind w:right="755"/>
              <w:spacing w:after="0" w:line="144" w:lineRule="exact"/>
              <w:rPr>
                <w:sz w:val="20"/>
                <w:szCs w:val="20"/>
                <w:color w:val="auto"/>
              </w:rPr>
            </w:pPr>
            <w:r>
              <w:rPr>
                <w:rFonts w:ascii="Arial" w:cs="Arial" w:eastAsia="Arial" w:hAnsi="Arial"/>
                <w:sz w:val="13"/>
                <w:szCs w:val="13"/>
                <w:b w:val="1"/>
                <w:bCs w:val="1"/>
                <w:color w:val="auto"/>
              </w:rPr>
              <w:t>3.6 %</w:t>
            </w:r>
          </w:p>
        </w:tc>
        <w:tc>
          <w:tcPr>
            <w:tcW w:w="640" w:type="dxa"/>
            <w:vAlign w:val="bottom"/>
            <w:tcBorders>
              <w:bottom w:val="single" w:sz="8" w:color="auto"/>
            </w:tcBorders>
          </w:tcPr>
          <w:p>
            <w:pPr>
              <w:jc w:val="right"/>
              <w:ind w:right="175"/>
              <w:spacing w:after="0" w:line="144" w:lineRule="exact"/>
              <w:rPr>
                <w:sz w:val="20"/>
                <w:szCs w:val="20"/>
                <w:color w:val="auto"/>
              </w:rPr>
            </w:pPr>
            <w:r>
              <w:rPr>
                <w:rFonts w:ascii="Arial" w:cs="Arial" w:eastAsia="Arial" w:hAnsi="Arial"/>
                <w:sz w:val="13"/>
                <w:szCs w:val="13"/>
                <w:color w:val="auto"/>
              </w:rPr>
              <w:t>3.6 %</w:t>
            </w:r>
          </w:p>
        </w:tc>
        <w:tc>
          <w:tcPr>
            <w:tcW w:w="1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r>
    </w:tbl>
    <w:p>
      <w:pPr>
        <w:spacing w:after="0" w:line="139" w:lineRule="exact"/>
        <w:rPr>
          <w:sz w:val="20"/>
          <w:szCs w:val="20"/>
          <w:color w:val="auto"/>
        </w:rPr>
      </w:pPr>
    </w:p>
    <w:p>
      <w:pPr>
        <w:jc w:val="both"/>
        <w:ind w:left="20" w:right="39"/>
        <w:spacing w:after="0" w:line="234" w:lineRule="auto"/>
        <w:rPr>
          <w:sz w:val="20"/>
          <w:szCs w:val="20"/>
          <w:color w:val="auto"/>
        </w:rPr>
      </w:pPr>
      <w:r>
        <w:rPr>
          <w:rFonts w:ascii="Arial" w:cs="Arial" w:eastAsia="Arial" w:hAnsi="Arial"/>
          <w:sz w:val="13"/>
          <w:szCs w:val="13"/>
          <w:color w:val="auto"/>
        </w:rPr>
        <w:t>Pension expense is actuarially calculated annually based on data available at the beginning of each year. The expected return on plan assets is determined by multiplying the expected long-term rate of return on assets by the market-related value of plan assets for the U.S. qualified pension plan and market value for the Canadian qualified pension plan. The market-related value of plan assets is a calculated value that recognizes investment gains and losses in fair value related to equities over three or five years, depending on which computation results in a market-related value closer to market value. Market-related value for the U.S. qualified plan was $661 million and $601 million for 2020 and 2019, respectively.</w:t>
      </w:r>
    </w:p>
    <w:p>
      <w:pPr>
        <w:spacing w:after="0" w:line="92" w:lineRule="exact"/>
        <w:rPr>
          <w:sz w:val="20"/>
          <w:szCs w:val="20"/>
          <w:color w:val="auto"/>
        </w:rPr>
      </w:pPr>
    </w:p>
    <w:p>
      <w:pPr>
        <w:jc w:val="both"/>
        <w:ind w:left="20" w:right="39"/>
        <w:spacing w:after="0"/>
        <w:rPr>
          <w:sz w:val="20"/>
          <w:szCs w:val="20"/>
          <w:color w:val="auto"/>
        </w:rPr>
      </w:pPr>
      <w:r>
        <w:rPr>
          <w:rFonts w:ascii="Arial" w:cs="Arial" w:eastAsia="Arial" w:hAnsi="Arial"/>
          <w:sz w:val="13"/>
          <w:szCs w:val="13"/>
          <w:color w:val="auto"/>
        </w:rPr>
        <w:t>Assumptions used in the calculation of net benefit cost include the discount rate selected and disclosed at the end of the previous year, as well as other assumptions detailed in the table below:</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29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3"/>
                <w:szCs w:val="13"/>
                <w:b w:val="1"/>
                <w:bCs w:val="1"/>
                <w:color w:val="auto"/>
              </w:rPr>
              <w:t>Pension Benefits</w:t>
            </w:r>
          </w:p>
        </w:tc>
        <w:tc>
          <w:tcPr>
            <w:tcW w:w="88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2"/>
          </w:tcPr>
          <w:p>
            <w:pPr>
              <w:jc w:val="center"/>
              <w:ind w:left="455"/>
              <w:spacing w:after="0"/>
              <w:rPr>
                <w:sz w:val="20"/>
                <w:szCs w:val="20"/>
                <w:color w:val="auto"/>
              </w:rPr>
            </w:pPr>
            <w:r>
              <w:rPr>
                <w:rFonts w:ascii="Arial" w:cs="Arial" w:eastAsia="Arial" w:hAnsi="Arial"/>
                <w:sz w:val="13"/>
                <w:szCs w:val="13"/>
                <w:b w:val="1"/>
                <w:bCs w:val="1"/>
                <w:color w:val="auto"/>
                <w:w w:val="99"/>
              </w:rPr>
              <w:t>Postretirement Benefits</w:t>
            </w:r>
          </w:p>
        </w:tc>
        <w:tc>
          <w:tcPr>
            <w:tcW w:w="720" w:type="dxa"/>
            <w:vAlign w:val="bottom"/>
            <w:tcBorders>
              <w:bottom w:val="single" w:sz="8" w:color="auto"/>
            </w:tcBorders>
          </w:tcPr>
          <w:p>
            <w:pPr>
              <w:spacing w:after="0"/>
              <w:rPr>
                <w:sz w:val="14"/>
                <w:szCs w:val="14"/>
                <w:color w:val="auto"/>
              </w:rPr>
            </w:pPr>
          </w:p>
        </w:tc>
      </w:tr>
      <w:tr>
        <w:trPr>
          <w:trHeight w:val="134"/>
        </w:trPr>
        <w:tc>
          <w:tcPr>
            <w:tcW w:w="29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295"/>
              <w:spacing w:after="0" w:line="134" w:lineRule="exact"/>
              <w:rPr>
                <w:sz w:val="20"/>
                <w:szCs w:val="20"/>
                <w:color w:val="auto"/>
              </w:rPr>
            </w:pPr>
            <w:r>
              <w:rPr>
                <w:rFonts w:ascii="Arial" w:cs="Arial" w:eastAsia="Arial" w:hAnsi="Arial"/>
                <w:sz w:val="13"/>
                <w:szCs w:val="13"/>
                <w:b w:val="1"/>
                <w:bCs w:val="1"/>
                <w:color w:val="auto"/>
              </w:rPr>
              <w:t>2020</w:t>
            </w:r>
          </w:p>
        </w:tc>
        <w:tc>
          <w:tcPr>
            <w:tcW w:w="1180" w:type="dxa"/>
            <w:vAlign w:val="bottom"/>
            <w:tcBorders>
              <w:bottom w:val="single" w:sz="8" w:color="auto"/>
            </w:tcBorders>
          </w:tcPr>
          <w:p>
            <w:pPr>
              <w:jc w:val="right"/>
              <w:ind w:right="515"/>
              <w:spacing w:after="0" w:line="134" w:lineRule="exact"/>
              <w:rPr>
                <w:sz w:val="20"/>
                <w:szCs w:val="20"/>
                <w:color w:val="auto"/>
              </w:rPr>
            </w:pPr>
            <w:r>
              <w:rPr>
                <w:rFonts w:ascii="Arial" w:cs="Arial" w:eastAsia="Arial" w:hAnsi="Arial"/>
                <w:sz w:val="13"/>
                <w:szCs w:val="13"/>
                <w:color w:val="auto"/>
              </w:rPr>
              <w:t>2019</w:t>
            </w:r>
          </w:p>
        </w:tc>
        <w:tc>
          <w:tcPr>
            <w:tcW w:w="880" w:type="dxa"/>
            <w:vAlign w:val="bottom"/>
            <w:tcBorders>
              <w:bottom w:val="single" w:sz="8" w:color="auto"/>
            </w:tcBorders>
          </w:tcPr>
          <w:p>
            <w:pPr>
              <w:jc w:val="right"/>
              <w:ind w:right="435"/>
              <w:spacing w:after="0" w:line="134" w:lineRule="exact"/>
              <w:rPr>
                <w:sz w:val="20"/>
                <w:szCs w:val="20"/>
                <w:color w:val="auto"/>
              </w:rPr>
            </w:pPr>
            <w:r>
              <w:rPr>
                <w:rFonts w:ascii="Arial" w:cs="Arial" w:eastAsia="Arial" w:hAnsi="Arial"/>
                <w:sz w:val="13"/>
                <w:szCs w:val="13"/>
                <w:color w:val="auto"/>
              </w:rPr>
              <w:t>2018</w:t>
            </w:r>
          </w:p>
        </w:tc>
        <w:tc>
          <w:tcPr>
            <w:tcW w:w="960" w:type="dxa"/>
            <w:vAlign w:val="bottom"/>
            <w:tcBorders>
              <w:bottom w:val="single" w:sz="8" w:color="auto"/>
            </w:tcBorders>
          </w:tcPr>
          <w:p>
            <w:pPr>
              <w:jc w:val="right"/>
              <w:ind w:right="435"/>
              <w:spacing w:after="0" w:line="134" w:lineRule="exact"/>
              <w:rPr>
                <w:sz w:val="20"/>
                <w:szCs w:val="20"/>
                <w:color w:val="auto"/>
              </w:rPr>
            </w:pPr>
            <w:r>
              <w:rPr>
                <w:rFonts w:ascii="Arial" w:cs="Arial" w:eastAsia="Arial" w:hAnsi="Arial"/>
                <w:sz w:val="13"/>
                <w:szCs w:val="13"/>
                <w:b w:val="1"/>
                <w:bCs w:val="1"/>
                <w:color w:val="auto"/>
              </w:rPr>
              <w:t>2020</w:t>
            </w:r>
          </w:p>
        </w:tc>
        <w:tc>
          <w:tcPr>
            <w:tcW w:w="1100" w:type="dxa"/>
            <w:vAlign w:val="bottom"/>
            <w:tcBorders>
              <w:bottom w:val="single" w:sz="8" w:color="auto"/>
            </w:tcBorders>
          </w:tcPr>
          <w:p>
            <w:pPr>
              <w:jc w:val="right"/>
              <w:ind w:right="575"/>
              <w:spacing w:after="0" w:line="134" w:lineRule="exact"/>
              <w:rPr>
                <w:sz w:val="20"/>
                <w:szCs w:val="20"/>
                <w:color w:val="auto"/>
              </w:rPr>
            </w:pPr>
            <w:r>
              <w:rPr>
                <w:rFonts w:ascii="Arial" w:cs="Arial" w:eastAsia="Arial" w:hAnsi="Arial"/>
                <w:sz w:val="13"/>
                <w:szCs w:val="13"/>
                <w:color w:val="auto"/>
              </w:rPr>
              <w:t>2019</w:t>
            </w:r>
          </w:p>
        </w:tc>
        <w:tc>
          <w:tcPr>
            <w:tcW w:w="720" w:type="dxa"/>
            <w:vAlign w:val="bottom"/>
            <w:tcBorders>
              <w:bottom w:val="single" w:sz="8" w:color="auto"/>
            </w:tcBorders>
          </w:tcPr>
          <w:p>
            <w:pPr>
              <w:jc w:val="right"/>
              <w:ind w:right="315"/>
              <w:spacing w:after="0" w:line="134" w:lineRule="exact"/>
              <w:rPr>
                <w:sz w:val="20"/>
                <w:szCs w:val="20"/>
                <w:color w:val="auto"/>
              </w:rPr>
            </w:pPr>
            <w:r>
              <w:rPr>
                <w:rFonts w:ascii="Arial" w:cs="Arial" w:eastAsia="Arial" w:hAnsi="Arial"/>
                <w:sz w:val="13"/>
                <w:szCs w:val="13"/>
                <w:color w:val="auto"/>
              </w:rPr>
              <w:t>2018</w:t>
            </w:r>
          </w:p>
        </w:tc>
      </w:tr>
      <w:tr>
        <w:trPr>
          <w:trHeight w:val="134"/>
        </w:trPr>
        <w:tc>
          <w:tcPr>
            <w:tcW w:w="2980" w:type="dxa"/>
            <w:vAlign w:val="bottom"/>
            <w:shd w:val="clear" w:color="auto" w:fill="CCEEFF"/>
          </w:tcPr>
          <w:p>
            <w:pPr>
              <w:spacing w:after="0" w:line="134" w:lineRule="exact"/>
              <w:rPr>
                <w:sz w:val="20"/>
                <w:szCs w:val="20"/>
                <w:color w:val="auto"/>
              </w:rPr>
            </w:pPr>
            <w:r>
              <w:rPr>
                <w:rFonts w:ascii="Arial" w:cs="Arial" w:eastAsia="Arial" w:hAnsi="Arial"/>
                <w:sz w:val="11"/>
                <w:szCs w:val="11"/>
                <w:color w:val="auto"/>
              </w:rPr>
              <w:t xml:space="preserve">Discount rate </w:t>
            </w:r>
            <w:r>
              <w:rPr>
                <w:rFonts w:ascii="Arial" w:cs="Arial" w:eastAsia="Arial" w:hAnsi="Arial"/>
                <w:sz w:val="15"/>
                <w:szCs w:val="15"/>
                <w:color w:val="auto"/>
                <w:vertAlign w:val="superscript"/>
              </w:rPr>
              <w:t>(1)</w:t>
            </w:r>
          </w:p>
        </w:tc>
        <w:tc>
          <w:tcPr>
            <w:tcW w:w="112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2.9 %</w:t>
            </w:r>
          </w:p>
        </w:tc>
        <w:tc>
          <w:tcPr>
            <w:tcW w:w="1180" w:type="dxa"/>
            <w:vAlign w:val="bottom"/>
            <w:shd w:val="clear" w:color="auto" w:fill="CCEEFF"/>
          </w:tcPr>
          <w:p>
            <w:pPr>
              <w:jc w:val="right"/>
              <w:ind w:right="195"/>
              <w:spacing w:after="0" w:line="134" w:lineRule="exact"/>
              <w:rPr>
                <w:sz w:val="20"/>
                <w:szCs w:val="20"/>
                <w:color w:val="auto"/>
              </w:rPr>
            </w:pPr>
            <w:r>
              <w:rPr>
                <w:rFonts w:ascii="Arial" w:cs="Arial" w:eastAsia="Arial" w:hAnsi="Arial"/>
                <w:sz w:val="13"/>
                <w:szCs w:val="13"/>
                <w:color w:val="auto"/>
              </w:rPr>
              <w:t>4.0 %</w:t>
            </w:r>
          </w:p>
        </w:tc>
        <w:tc>
          <w:tcPr>
            <w:tcW w:w="880" w:type="dxa"/>
            <w:vAlign w:val="bottom"/>
            <w:shd w:val="clear" w:color="auto" w:fill="CCEEFF"/>
          </w:tcPr>
          <w:p>
            <w:pPr>
              <w:jc w:val="right"/>
              <w:ind w:right="115"/>
              <w:spacing w:after="0" w:line="134" w:lineRule="exact"/>
              <w:rPr>
                <w:sz w:val="20"/>
                <w:szCs w:val="20"/>
                <w:color w:val="auto"/>
              </w:rPr>
            </w:pPr>
            <w:r>
              <w:rPr>
                <w:rFonts w:ascii="Arial" w:cs="Arial" w:eastAsia="Arial" w:hAnsi="Arial"/>
                <w:sz w:val="13"/>
                <w:szCs w:val="13"/>
                <w:color w:val="auto"/>
              </w:rPr>
              <w:t>4.0 %</w:t>
            </w:r>
          </w:p>
        </w:tc>
        <w:tc>
          <w:tcPr>
            <w:tcW w:w="960" w:type="dxa"/>
            <w:vAlign w:val="bottom"/>
            <w:shd w:val="clear" w:color="auto" w:fill="CCEEFF"/>
          </w:tcPr>
          <w:p>
            <w:pPr>
              <w:jc w:val="right"/>
              <w:ind w:right="115"/>
              <w:spacing w:after="0" w:line="134" w:lineRule="exact"/>
              <w:rPr>
                <w:sz w:val="20"/>
                <w:szCs w:val="20"/>
                <w:color w:val="auto"/>
              </w:rPr>
            </w:pPr>
            <w:r>
              <w:rPr>
                <w:rFonts w:ascii="Arial" w:cs="Arial" w:eastAsia="Arial" w:hAnsi="Arial"/>
                <w:sz w:val="13"/>
                <w:szCs w:val="13"/>
                <w:b w:val="1"/>
                <w:bCs w:val="1"/>
                <w:color w:val="auto"/>
              </w:rPr>
              <w:t>3.0 %</w:t>
            </w:r>
          </w:p>
        </w:tc>
        <w:tc>
          <w:tcPr>
            <w:tcW w:w="1100" w:type="dxa"/>
            <w:vAlign w:val="bottom"/>
            <w:shd w:val="clear" w:color="auto" w:fill="CCEEFF"/>
          </w:tcPr>
          <w:p>
            <w:pPr>
              <w:jc w:val="right"/>
              <w:ind w:right="235"/>
              <w:spacing w:after="0" w:line="134" w:lineRule="exact"/>
              <w:rPr>
                <w:sz w:val="20"/>
                <w:szCs w:val="20"/>
                <w:color w:val="auto"/>
              </w:rPr>
            </w:pPr>
            <w:r>
              <w:rPr>
                <w:rFonts w:ascii="Arial" w:cs="Arial" w:eastAsia="Arial" w:hAnsi="Arial"/>
                <w:sz w:val="13"/>
                <w:szCs w:val="13"/>
                <w:color w:val="auto"/>
              </w:rPr>
              <w:t>4.1 %</w:t>
            </w:r>
          </w:p>
        </w:tc>
        <w:tc>
          <w:tcPr>
            <w:tcW w:w="72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3.7 %</w:t>
            </w:r>
          </w:p>
        </w:tc>
      </w:tr>
      <w:tr>
        <w:trPr>
          <w:trHeight w:val="144"/>
        </w:trPr>
        <w:tc>
          <w:tcPr>
            <w:tcW w:w="2980" w:type="dxa"/>
            <w:vAlign w:val="bottom"/>
          </w:tcPr>
          <w:p>
            <w:pPr>
              <w:spacing w:after="0" w:line="144" w:lineRule="exact"/>
              <w:rPr>
                <w:sz w:val="20"/>
                <w:szCs w:val="20"/>
                <w:color w:val="auto"/>
              </w:rPr>
            </w:pPr>
            <w:r>
              <w:rPr>
                <w:rFonts w:ascii="Arial" w:cs="Arial" w:eastAsia="Arial" w:hAnsi="Arial"/>
                <w:sz w:val="13"/>
                <w:szCs w:val="13"/>
                <w:color w:val="auto"/>
              </w:rPr>
              <w:t>Rate of compensation increase</w:t>
            </w:r>
          </w:p>
        </w:tc>
        <w:tc>
          <w:tcPr>
            <w:tcW w:w="112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3.6 %</w:t>
            </w:r>
          </w:p>
        </w:tc>
        <w:tc>
          <w:tcPr>
            <w:tcW w:w="1180" w:type="dxa"/>
            <w:vAlign w:val="bottom"/>
          </w:tcPr>
          <w:p>
            <w:pPr>
              <w:jc w:val="right"/>
              <w:ind w:right="195"/>
              <w:spacing w:after="0" w:line="144" w:lineRule="exact"/>
              <w:rPr>
                <w:sz w:val="20"/>
                <w:szCs w:val="20"/>
                <w:color w:val="auto"/>
              </w:rPr>
            </w:pPr>
            <w:r>
              <w:rPr>
                <w:rFonts w:ascii="Arial" w:cs="Arial" w:eastAsia="Arial" w:hAnsi="Arial"/>
                <w:sz w:val="13"/>
                <w:szCs w:val="13"/>
                <w:color w:val="auto"/>
              </w:rPr>
              <w:t>3.6 %</w:t>
            </w:r>
          </w:p>
        </w:tc>
        <w:tc>
          <w:tcPr>
            <w:tcW w:w="880" w:type="dxa"/>
            <w:vAlign w:val="bottom"/>
          </w:tcPr>
          <w:p>
            <w:pPr>
              <w:jc w:val="right"/>
              <w:ind w:right="115"/>
              <w:spacing w:after="0" w:line="144" w:lineRule="exact"/>
              <w:rPr>
                <w:sz w:val="20"/>
                <w:szCs w:val="20"/>
                <w:color w:val="auto"/>
              </w:rPr>
            </w:pPr>
            <w:r>
              <w:rPr>
                <w:rFonts w:ascii="Arial" w:cs="Arial" w:eastAsia="Arial" w:hAnsi="Arial"/>
                <w:sz w:val="13"/>
                <w:szCs w:val="13"/>
                <w:color w:val="auto"/>
              </w:rPr>
              <w:t>3.6 %</w:t>
            </w:r>
          </w:p>
        </w:tc>
        <w:tc>
          <w:tcPr>
            <w:tcW w:w="9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144"/>
        </w:trPr>
        <w:tc>
          <w:tcPr>
            <w:tcW w:w="2980" w:type="dxa"/>
            <w:vAlign w:val="bottom"/>
            <w:tcBorders>
              <w:bottom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rPr>
              <w:t>Expected long-term rate of return on assets</w:t>
            </w:r>
          </w:p>
        </w:tc>
        <w:tc>
          <w:tcPr>
            <w:tcW w:w="112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5.5 %</w:t>
            </w:r>
          </w:p>
        </w:tc>
        <w:tc>
          <w:tcPr>
            <w:tcW w:w="1180" w:type="dxa"/>
            <w:vAlign w:val="bottom"/>
            <w:tcBorders>
              <w:bottom w:val="single" w:sz="8" w:color="auto"/>
            </w:tcBorders>
            <w:shd w:val="clear" w:color="auto" w:fill="CCEEFF"/>
          </w:tcPr>
          <w:p>
            <w:pPr>
              <w:jc w:val="right"/>
              <w:ind w:right="195"/>
              <w:spacing w:after="0" w:line="144" w:lineRule="exact"/>
              <w:rPr>
                <w:sz w:val="20"/>
                <w:szCs w:val="20"/>
                <w:color w:val="auto"/>
              </w:rPr>
            </w:pPr>
            <w:r>
              <w:rPr>
                <w:rFonts w:ascii="Arial" w:cs="Arial" w:eastAsia="Arial" w:hAnsi="Arial"/>
                <w:sz w:val="13"/>
                <w:szCs w:val="13"/>
                <w:color w:val="auto"/>
              </w:rPr>
              <w:t>5.8 %</w:t>
            </w:r>
          </w:p>
        </w:tc>
        <w:tc>
          <w:tcPr>
            <w:tcW w:w="880" w:type="dxa"/>
            <w:vAlign w:val="bottom"/>
            <w:tcBorders>
              <w:bottom w:val="single" w:sz="8" w:color="auto"/>
            </w:tcBorders>
            <w:shd w:val="clear" w:color="auto" w:fill="CCEEFF"/>
          </w:tcPr>
          <w:p>
            <w:pPr>
              <w:jc w:val="right"/>
              <w:ind w:right="115"/>
              <w:spacing w:after="0" w:line="144" w:lineRule="exact"/>
              <w:rPr>
                <w:sz w:val="20"/>
                <w:szCs w:val="20"/>
                <w:color w:val="auto"/>
              </w:rPr>
            </w:pPr>
            <w:r>
              <w:rPr>
                <w:rFonts w:ascii="Arial" w:cs="Arial" w:eastAsia="Arial" w:hAnsi="Arial"/>
                <w:sz w:val="13"/>
                <w:szCs w:val="13"/>
                <w:color w:val="auto"/>
              </w:rPr>
              <w:t>5.9 %</w:t>
            </w:r>
          </w:p>
        </w:tc>
        <w:tc>
          <w:tcPr>
            <w:tcW w:w="96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spacing w:after="0"/>
              <w:rPr>
                <w:sz w:val="12"/>
                <w:szCs w:val="12"/>
                <w:color w:val="auto"/>
              </w:rPr>
            </w:pPr>
          </w:p>
        </w:tc>
      </w:tr>
    </w:tbl>
    <w:p>
      <w:pPr>
        <w:spacing w:after="0" w:line="102" w:lineRule="exact"/>
        <w:rPr>
          <w:sz w:val="20"/>
          <w:szCs w:val="20"/>
          <w:color w:val="auto"/>
        </w:rPr>
      </w:pPr>
    </w:p>
    <w:p>
      <w:pPr>
        <w:ind w:left="280" w:right="59" w:hanging="250"/>
        <w:spacing w:after="0" w:line="251" w:lineRule="auto"/>
        <w:tabs>
          <w:tab w:leader="none" w:pos="280" w:val="left"/>
        </w:tabs>
        <w:numPr>
          <w:ilvl w:val="0"/>
          <w:numId w:val="22"/>
        </w:numPr>
        <w:rPr>
          <w:rFonts w:ascii="Arial" w:cs="Arial" w:eastAsia="Arial" w:hAnsi="Arial"/>
          <w:sz w:val="10"/>
          <w:szCs w:val="10"/>
          <w:color w:val="auto"/>
        </w:rPr>
      </w:pPr>
      <w:r>
        <w:rPr>
          <w:rFonts w:ascii="Arial" w:cs="Arial" w:eastAsia="Arial" w:hAnsi="Arial"/>
          <w:sz w:val="10"/>
          <w:szCs w:val="10"/>
          <w:color w:val="auto"/>
        </w:rPr>
        <w:t>The U.S qualified pension plan was remeasured during the second quarter of 2018 in connection with the pension litigation. The discount rate used to determine the benefit obligation in 2018 before the remeasurement was 3.7%.</w:t>
      </w:r>
    </w:p>
    <w:p>
      <w:pPr>
        <w:spacing w:after="0" w:line="84" w:lineRule="exact"/>
        <w:rPr>
          <w:sz w:val="20"/>
          <w:szCs w:val="20"/>
          <w:color w:val="auto"/>
        </w:rPr>
      </w:pPr>
    </w:p>
    <w:p>
      <w:pPr>
        <w:jc w:val="both"/>
        <w:ind w:left="20" w:right="39"/>
        <w:spacing w:after="0" w:line="236" w:lineRule="auto"/>
        <w:rPr>
          <w:sz w:val="20"/>
          <w:szCs w:val="20"/>
          <w:color w:val="auto"/>
        </w:rPr>
      </w:pPr>
      <w:r>
        <w:rPr>
          <w:rFonts w:ascii="Arial" w:cs="Arial" w:eastAsia="Arial" w:hAnsi="Arial"/>
          <w:sz w:val="13"/>
          <w:szCs w:val="13"/>
          <w:color w:val="auto"/>
        </w:rPr>
        <w:t>The expected long-term rate of return on invested plan assets is based on the plans’ weighted-average target asset allocation, as well as historical and future expected performance of those assets. The target asset allocation is selected to obtain an investment return that is sufficient to cover the expected benefit payments and to reduce the variability of our future contributions.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3"/>
          <w:szCs w:val="13"/>
          <w:color w:val="auto"/>
        </w:rPr>
        <w:t>The following are the components of net periodic pension benefit cost and net periodic postretirement benefit income.</w:t>
      </w:r>
    </w:p>
    <w:p>
      <w:pPr>
        <w:spacing w:after="0" w:line="81"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23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rPr>
              <w:t>Pension Benefits</w:t>
            </w:r>
          </w:p>
        </w:tc>
        <w:tc>
          <w:tcPr>
            <w:tcW w:w="7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15"/>
              <w:spacing w:after="0"/>
              <w:rPr>
                <w:sz w:val="20"/>
                <w:szCs w:val="20"/>
                <w:color w:val="auto"/>
              </w:rPr>
            </w:pPr>
            <w:r>
              <w:rPr>
                <w:rFonts w:ascii="Arial" w:cs="Arial" w:eastAsia="Arial" w:hAnsi="Arial"/>
                <w:sz w:val="13"/>
                <w:szCs w:val="13"/>
                <w:b w:val="1"/>
                <w:bCs w:val="1"/>
                <w:color w:val="auto"/>
              </w:rPr>
              <w:t>Postretirement Benefits</w:t>
            </w:r>
          </w:p>
        </w:tc>
        <w:tc>
          <w:tcPr>
            <w:tcW w:w="660" w:type="dxa"/>
            <w:vAlign w:val="bottom"/>
            <w:tcBorders>
              <w:bottom w:val="single" w:sz="8" w:color="auto"/>
            </w:tcBorders>
          </w:tcPr>
          <w:p>
            <w:pPr>
              <w:spacing w:after="0"/>
              <w:rPr>
                <w:sz w:val="14"/>
                <w:szCs w:val="14"/>
                <w:color w:val="auto"/>
              </w:rPr>
            </w:pPr>
          </w:p>
        </w:tc>
      </w:tr>
      <w:tr>
        <w:trPr>
          <w:trHeight w:val="134"/>
        </w:trPr>
        <w:tc>
          <w:tcPr>
            <w:tcW w:w="20" w:type="dxa"/>
            <w:vAlign w:val="bottom"/>
          </w:tcPr>
          <w:p>
            <w:pPr>
              <w:spacing w:after="0"/>
              <w:rPr>
                <w:sz w:val="11"/>
                <w:szCs w:val="11"/>
                <w:color w:val="auto"/>
              </w:rPr>
            </w:pPr>
          </w:p>
        </w:tc>
        <w:tc>
          <w:tcPr>
            <w:tcW w:w="2340" w:type="dxa"/>
            <w:vAlign w:val="bottom"/>
            <w:tcBorders>
              <w:bottom w:val="single" w:sz="8" w:color="auto"/>
            </w:tcBorders>
          </w:tcPr>
          <w:p>
            <w:pPr>
              <w:spacing w:after="0" w:line="134" w:lineRule="exact"/>
              <w:rPr>
                <w:sz w:val="20"/>
                <w:szCs w:val="20"/>
                <w:color w:val="auto"/>
              </w:rPr>
            </w:pPr>
            <w:r>
              <w:rPr>
                <w:rFonts w:ascii="Arial" w:cs="Arial" w:eastAsia="Arial" w:hAnsi="Arial"/>
                <w:sz w:val="13"/>
                <w:szCs w:val="13"/>
                <w:color w:val="auto"/>
              </w:rPr>
              <w:t>($ in millions)</w:t>
            </w:r>
          </w:p>
        </w:tc>
        <w:tc>
          <w:tcPr>
            <w:tcW w:w="7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95"/>
              <w:spacing w:after="0" w:line="134" w:lineRule="exact"/>
              <w:rPr>
                <w:sz w:val="20"/>
                <w:szCs w:val="20"/>
                <w:color w:val="auto"/>
              </w:rPr>
            </w:pPr>
            <w:r>
              <w:rPr>
                <w:rFonts w:ascii="Arial" w:cs="Arial" w:eastAsia="Arial" w:hAnsi="Arial"/>
                <w:sz w:val="13"/>
                <w:szCs w:val="13"/>
                <w:b w:val="1"/>
                <w:bCs w:val="1"/>
                <w:color w:val="auto"/>
              </w:rPr>
              <w:t>2020</w:t>
            </w:r>
          </w:p>
        </w:tc>
        <w:tc>
          <w:tcPr>
            <w:tcW w:w="2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95"/>
              <w:spacing w:after="0" w:line="134" w:lineRule="exact"/>
              <w:rPr>
                <w:sz w:val="20"/>
                <w:szCs w:val="20"/>
                <w:color w:val="auto"/>
              </w:rPr>
            </w:pPr>
            <w:r>
              <w:rPr>
                <w:rFonts w:ascii="Arial" w:cs="Arial" w:eastAsia="Arial" w:hAnsi="Arial"/>
                <w:sz w:val="13"/>
                <w:szCs w:val="13"/>
                <w:color w:val="auto"/>
              </w:rPr>
              <w:t>2019</w:t>
            </w:r>
          </w:p>
        </w:tc>
        <w:tc>
          <w:tcPr>
            <w:tcW w:w="2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15"/>
              <w:spacing w:after="0" w:line="134" w:lineRule="exact"/>
              <w:rPr>
                <w:sz w:val="20"/>
                <w:szCs w:val="20"/>
                <w:color w:val="auto"/>
              </w:rPr>
            </w:pPr>
            <w:r>
              <w:rPr>
                <w:rFonts w:ascii="Arial" w:cs="Arial" w:eastAsia="Arial" w:hAnsi="Arial"/>
                <w:sz w:val="13"/>
                <w:szCs w:val="13"/>
                <w:color w:val="auto"/>
              </w:rPr>
              <w:t>2018</w:t>
            </w:r>
          </w:p>
        </w:tc>
        <w:tc>
          <w:tcPr>
            <w:tcW w:w="7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2020</w:t>
            </w:r>
          </w:p>
        </w:tc>
        <w:tc>
          <w:tcPr>
            <w:tcW w:w="3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95"/>
              <w:spacing w:after="0" w:line="134" w:lineRule="exact"/>
              <w:rPr>
                <w:sz w:val="20"/>
                <w:szCs w:val="20"/>
                <w:color w:val="auto"/>
              </w:rPr>
            </w:pPr>
            <w:r>
              <w:rPr>
                <w:rFonts w:ascii="Arial" w:cs="Arial" w:eastAsia="Arial" w:hAnsi="Arial"/>
                <w:sz w:val="13"/>
                <w:szCs w:val="13"/>
                <w:color w:val="auto"/>
              </w:rPr>
              <w:t>2019</w:t>
            </w:r>
          </w:p>
        </w:tc>
        <w:tc>
          <w:tcPr>
            <w:tcW w:w="3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15"/>
              <w:spacing w:after="0" w:line="134" w:lineRule="exact"/>
              <w:rPr>
                <w:sz w:val="20"/>
                <w:szCs w:val="20"/>
                <w:color w:val="auto"/>
              </w:rPr>
            </w:pPr>
            <w:r>
              <w:rPr>
                <w:rFonts w:ascii="Arial" w:cs="Arial" w:eastAsia="Arial" w:hAnsi="Arial"/>
                <w:sz w:val="13"/>
                <w:szCs w:val="13"/>
                <w:color w:val="auto"/>
              </w:rPr>
              <w:t>2018</w:t>
            </w:r>
          </w:p>
        </w:tc>
      </w:tr>
      <w:tr>
        <w:trPr>
          <w:trHeight w:val="134"/>
        </w:trPr>
        <w:tc>
          <w:tcPr>
            <w:tcW w:w="20" w:type="dxa"/>
            <w:vAlign w:val="bottom"/>
          </w:tcPr>
          <w:p>
            <w:pPr>
              <w:spacing w:after="0"/>
              <w:rPr>
                <w:sz w:val="11"/>
                <w:szCs w:val="11"/>
                <w:color w:val="auto"/>
              </w:rPr>
            </w:pPr>
          </w:p>
        </w:tc>
        <w:tc>
          <w:tcPr>
            <w:tcW w:w="234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Service cost</w:t>
            </w:r>
          </w:p>
        </w:tc>
        <w:tc>
          <w:tcPr>
            <w:tcW w:w="760" w:type="dxa"/>
            <w:vAlign w:val="bottom"/>
            <w:shd w:val="clear" w:color="auto" w:fill="CCEEFF"/>
          </w:tcPr>
          <w:p>
            <w:pPr>
              <w:jc w:val="right"/>
              <w:ind w:right="35"/>
              <w:spacing w:after="0" w:line="134" w:lineRule="exact"/>
              <w:rPr>
                <w:sz w:val="20"/>
                <w:szCs w:val="20"/>
                <w:color w:val="auto"/>
              </w:rPr>
            </w:pPr>
            <w:r>
              <w:rPr>
                <w:rFonts w:ascii="Arial" w:cs="Arial" w:eastAsia="Arial" w:hAnsi="Arial"/>
                <w:sz w:val="13"/>
                <w:szCs w:val="13"/>
                <w:b w:val="1"/>
                <w:bCs w:val="1"/>
                <w:color w:val="auto"/>
              </w:rPr>
              <w:t>$</w:t>
            </w:r>
          </w:p>
        </w:tc>
        <w:tc>
          <w:tcPr>
            <w:tcW w:w="740" w:type="dxa"/>
            <w:vAlign w:val="bottom"/>
            <w:shd w:val="clear" w:color="auto" w:fill="CCEEFF"/>
          </w:tcPr>
          <w:p>
            <w:pPr>
              <w:jc w:val="right"/>
              <w:ind w:right="75"/>
              <w:spacing w:after="0" w:line="134" w:lineRule="exact"/>
              <w:rPr>
                <w:sz w:val="20"/>
                <w:szCs w:val="20"/>
                <w:color w:val="auto"/>
              </w:rPr>
            </w:pPr>
            <w:r>
              <w:rPr>
                <w:rFonts w:ascii="Arial" w:cs="Arial" w:eastAsia="Arial" w:hAnsi="Arial"/>
                <w:sz w:val="13"/>
                <w:szCs w:val="13"/>
                <w:b w:val="1"/>
                <w:bCs w:val="1"/>
                <w:color w:val="auto"/>
              </w:rPr>
              <w:t>14</w:t>
            </w:r>
          </w:p>
        </w:tc>
        <w:tc>
          <w:tcPr>
            <w:tcW w:w="280" w:type="dxa"/>
            <w:vAlign w:val="bottom"/>
            <w:shd w:val="clear" w:color="auto" w:fill="CCEEFF"/>
          </w:tcPr>
          <w:p>
            <w:pPr>
              <w:ind w:left="100"/>
              <w:spacing w:after="0" w:line="134"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ind w:right="55"/>
              <w:spacing w:after="0" w:line="134" w:lineRule="exact"/>
              <w:rPr>
                <w:sz w:val="20"/>
                <w:szCs w:val="20"/>
                <w:color w:val="auto"/>
              </w:rPr>
            </w:pPr>
            <w:r>
              <w:rPr>
                <w:rFonts w:ascii="Arial" w:cs="Arial" w:eastAsia="Arial" w:hAnsi="Arial"/>
                <w:sz w:val="13"/>
                <w:szCs w:val="13"/>
                <w:color w:val="auto"/>
              </w:rPr>
              <w:t>20</w:t>
            </w:r>
          </w:p>
        </w:tc>
        <w:tc>
          <w:tcPr>
            <w:tcW w:w="280" w:type="dxa"/>
            <w:vAlign w:val="bottom"/>
            <w:shd w:val="clear" w:color="auto" w:fill="CCEEFF"/>
          </w:tcPr>
          <w:p>
            <w:pPr>
              <w:jc w:val="right"/>
              <w:ind w:right="35"/>
              <w:spacing w:after="0" w:line="134"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75"/>
              <w:spacing w:after="0" w:line="134" w:lineRule="exact"/>
              <w:rPr>
                <w:sz w:val="20"/>
                <w:szCs w:val="20"/>
                <w:color w:val="auto"/>
              </w:rPr>
            </w:pPr>
            <w:r>
              <w:rPr>
                <w:rFonts w:ascii="Arial" w:cs="Arial" w:eastAsia="Arial" w:hAnsi="Arial"/>
                <w:sz w:val="13"/>
                <w:szCs w:val="13"/>
                <w:color w:val="auto"/>
              </w:rPr>
              <w:t>18</w:t>
            </w:r>
          </w:p>
        </w:tc>
        <w:tc>
          <w:tcPr>
            <w:tcW w:w="720" w:type="dxa"/>
            <w:vAlign w:val="bottom"/>
            <w:shd w:val="clear" w:color="auto" w:fill="CCEEFF"/>
          </w:tcPr>
          <w:p>
            <w:pPr>
              <w:jc w:val="right"/>
              <w:ind w:right="495"/>
              <w:spacing w:after="0" w:line="134" w:lineRule="exact"/>
              <w:rPr>
                <w:sz w:val="20"/>
                <w:szCs w:val="20"/>
                <w:color w:val="auto"/>
              </w:rPr>
            </w:pPr>
            <w:r>
              <w:rPr>
                <w:rFonts w:ascii="Arial" w:cs="Arial" w:eastAsia="Arial" w:hAnsi="Arial"/>
                <w:sz w:val="13"/>
                <w:szCs w:val="13"/>
                <w:b w:val="1"/>
                <w:bCs w:val="1"/>
                <w:color w:val="auto"/>
              </w:rPr>
              <w:t>$</w:t>
            </w:r>
          </w:p>
        </w:tc>
        <w:tc>
          <w:tcPr>
            <w:tcW w:w="320" w:type="dxa"/>
            <w:vAlign w:val="bottom"/>
            <w:shd w:val="clear" w:color="auto" w:fill="CCEEFF"/>
          </w:tcPr>
          <w:p>
            <w:pPr>
              <w:jc w:val="right"/>
              <w:ind w:right="75"/>
              <w:spacing w:after="0" w:line="134" w:lineRule="exact"/>
              <w:rPr>
                <w:sz w:val="20"/>
                <w:szCs w:val="20"/>
                <w:color w:val="auto"/>
              </w:rPr>
            </w:pPr>
            <w:r>
              <w:rPr>
                <w:rFonts w:ascii="Arial" w:cs="Arial" w:eastAsia="Arial" w:hAnsi="Arial"/>
                <w:sz w:val="13"/>
                <w:szCs w:val="13"/>
                <w:b w:val="1"/>
                <w:bCs w:val="1"/>
                <w:color w:val="auto"/>
              </w:rPr>
              <w:t>—</w:t>
            </w:r>
          </w:p>
        </w:tc>
        <w:tc>
          <w:tcPr>
            <w:tcW w:w="260" w:type="dxa"/>
            <w:vAlign w:val="bottom"/>
            <w:shd w:val="clear" w:color="auto" w:fill="CCEEFF"/>
          </w:tcPr>
          <w:p>
            <w:pPr>
              <w:jc w:val="right"/>
              <w:ind w:right="35"/>
              <w:spacing w:after="0" w:line="134"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75"/>
              <w:spacing w:after="0" w:line="134"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jc w:val="right"/>
              <w:ind w:right="55"/>
              <w:spacing w:after="0" w:line="134"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r>
      <w:tr>
        <w:trPr>
          <w:trHeight w:val="144"/>
        </w:trPr>
        <w:tc>
          <w:tcPr>
            <w:tcW w:w="20" w:type="dxa"/>
            <w:vAlign w:val="bottom"/>
          </w:tcPr>
          <w:p>
            <w:pPr>
              <w:spacing w:after="0"/>
              <w:rPr>
                <w:sz w:val="12"/>
                <w:szCs w:val="12"/>
                <w:color w:val="auto"/>
              </w:rPr>
            </w:pPr>
          </w:p>
        </w:tc>
        <w:tc>
          <w:tcPr>
            <w:tcW w:w="2340" w:type="dxa"/>
            <w:vAlign w:val="bottom"/>
          </w:tcPr>
          <w:p>
            <w:pPr>
              <w:spacing w:after="0" w:line="144" w:lineRule="exact"/>
              <w:rPr>
                <w:sz w:val="20"/>
                <w:szCs w:val="20"/>
                <w:color w:val="auto"/>
              </w:rPr>
            </w:pPr>
            <w:r>
              <w:rPr>
                <w:rFonts w:ascii="Arial" w:cs="Arial" w:eastAsia="Arial" w:hAnsi="Arial"/>
                <w:sz w:val="13"/>
                <w:szCs w:val="13"/>
                <w:color w:val="auto"/>
              </w:rPr>
              <w:t>Interest cost</w:t>
            </w:r>
          </w:p>
        </w:tc>
        <w:tc>
          <w:tcPr>
            <w:tcW w:w="760" w:type="dxa"/>
            <w:vAlign w:val="bottom"/>
          </w:tcPr>
          <w:p>
            <w:pPr>
              <w:spacing w:after="0"/>
              <w:rPr>
                <w:sz w:val="12"/>
                <w:szCs w:val="12"/>
                <w:color w:val="auto"/>
              </w:rPr>
            </w:pPr>
          </w:p>
        </w:tc>
        <w:tc>
          <w:tcPr>
            <w:tcW w:w="740" w:type="dxa"/>
            <w:vAlign w:val="bottom"/>
          </w:tcPr>
          <w:p>
            <w:pPr>
              <w:jc w:val="right"/>
              <w:ind w:right="75"/>
              <w:spacing w:after="0" w:line="144" w:lineRule="exact"/>
              <w:rPr>
                <w:sz w:val="20"/>
                <w:szCs w:val="20"/>
                <w:color w:val="auto"/>
              </w:rPr>
            </w:pPr>
            <w:r>
              <w:rPr>
                <w:rFonts w:ascii="Arial" w:cs="Arial" w:eastAsia="Arial" w:hAnsi="Arial"/>
                <w:sz w:val="13"/>
                <w:szCs w:val="13"/>
                <w:b w:val="1"/>
                <w:bCs w:val="1"/>
                <w:color w:val="auto"/>
              </w:rPr>
              <w:t>21</w:t>
            </w:r>
          </w:p>
        </w:tc>
        <w:tc>
          <w:tcPr>
            <w:tcW w:w="280" w:type="dxa"/>
            <w:vAlign w:val="bottom"/>
          </w:tcPr>
          <w:p>
            <w:pPr>
              <w:spacing w:after="0"/>
              <w:rPr>
                <w:sz w:val="12"/>
                <w:szCs w:val="12"/>
                <w:color w:val="auto"/>
              </w:rPr>
            </w:pPr>
          </w:p>
        </w:tc>
        <w:tc>
          <w:tcPr>
            <w:tcW w:w="740" w:type="dxa"/>
            <w:vAlign w:val="bottom"/>
          </w:tcPr>
          <w:p>
            <w:pPr>
              <w:jc w:val="right"/>
              <w:ind w:right="55"/>
              <w:spacing w:after="0" w:line="144" w:lineRule="exact"/>
              <w:rPr>
                <w:sz w:val="20"/>
                <w:szCs w:val="20"/>
                <w:color w:val="auto"/>
              </w:rPr>
            </w:pPr>
            <w:r>
              <w:rPr>
                <w:rFonts w:ascii="Arial" w:cs="Arial" w:eastAsia="Arial" w:hAnsi="Arial"/>
                <w:sz w:val="13"/>
                <w:szCs w:val="13"/>
                <w:color w:val="auto"/>
              </w:rPr>
              <w:t>27</w:t>
            </w:r>
          </w:p>
        </w:tc>
        <w:tc>
          <w:tcPr>
            <w:tcW w:w="280" w:type="dxa"/>
            <w:vAlign w:val="bottom"/>
          </w:tcPr>
          <w:p>
            <w:pPr>
              <w:spacing w:after="0"/>
              <w:rPr>
                <w:sz w:val="12"/>
                <w:szCs w:val="12"/>
                <w:color w:val="auto"/>
              </w:rPr>
            </w:pPr>
          </w:p>
        </w:tc>
        <w:tc>
          <w:tcPr>
            <w:tcW w:w="760" w:type="dxa"/>
            <w:vAlign w:val="bottom"/>
          </w:tcPr>
          <w:p>
            <w:pPr>
              <w:jc w:val="right"/>
              <w:ind w:right="75"/>
              <w:spacing w:after="0" w:line="144" w:lineRule="exact"/>
              <w:rPr>
                <w:sz w:val="20"/>
                <w:szCs w:val="20"/>
                <w:color w:val="auto"/>
              </w:rPr>
            </w:pPr>
            <w:r>
              <w:rPr>
                <w:rFonts w:ascii="Arial" w:cs="Arial" w:eastAsia="Arial" w:hAnsi="Arial"/>
                <w:sz w:val="13"/>
                <w:szCs w:val="13"/>
                <w:color w:val="auto"/>
              </w:rPr>
              <w:t>29</w:t>
            </w:r>
          </w:p>
        </w:tc>
        <w:tc>
          <w:tcPr>
            <w:tcW w:w="720" w:type="dxa"/>
            <w:vAlign w:val="bottom"/>
          </w:tcPr>
          <w:p>
            <w:pPr>
              <w:spacing w:after="0"/>
              <w:rPr>
                <w:sz w:val="12"/>
                <w:szCs w:val="12"/>
                <w:color w:val="auto"/>
              </w:rPr>
            </w:pPr>
          </w:p>
        </w:tc>
        <w:tc>
          <w:tcPr>
            <w:tcW w:w="320" w:type="dxa"/>
            <w:vAlign w:val="bottom"/>
          </w:tcPr>
          <w:p>
            <w:pPr>
              <w:jc w:val="right"/>
              <w:ind w:right="75"/>
              <w:spacing w:after="0" w:line="144"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2"/>
                <w:szCs w:val="12"/>
                <w:color w:val="auto"/>
              </w:rPr>
            </w:pPr>
          </w:p>
        </w:tc>
        <w:tc>
          <w:tcPr>
            <w:tcW w:w="760" w:type="dxa"/>
            <w:vAlign w:val="bottom"/>
          </w:tcPr>
          <w:p>
            <w:pPr>
              <w:jc w:val="right"/>
              <w:ind w:right="75"/>
              <w:spacing w:after="0" w:line="144"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6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r>
      <w:tr>
        <w:trPr>
          <w:trHeight w:val="144"/>
        </w:trPr>
        <w:tc>
          <w:tcPr>
            <w:tcW w:w="20" w:type="dxa"/>
            <w:vAlign w:val="bottom"/>
          </w:tcPr>
          <w:p>
            <w:pPr>
              <w:spacing w:after="0"/>
              <w:rPr>
                <w:sz w:val="12"/>
                <w:szCs w:val="12"/>
                <w:color w:val="auto"/>
              </w:rPr>
            </w:pPr>
          </w:p>
        </w:tc>
        <w:tc>
          <w:tcPr>
            <w:tcW w:w="234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Expected return on plan assets</w:t>
            </w:r>
          </w:p>
        </w:tc>
        <w:tc>
          <w:tcPr>
            <w:tcW w:w="76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35"/>
              <w:spacing w:after="0" w:line="144" w:lineRule="exact"/>
              <w:rPr>
                <w:sz w:val="20"/>
                <w:szCs w:val="20"/>
                <w:color w:val="auto"/>
              </w:rPr>
            </w:pPr>
            <w:r>
              <w:rPr>
                <w:rFonts w:ascii="Arial" w:cs="Arial" w:eastAsia="Arial" w:hAnsi="Arial"/>
                <w:sz w:val="13"/>
                <w:szCs w:val="13"/>
                <w:b w:val="1"/>
                <w:bCs w:val="1"/>
                <w:color w:val="auto"/>
              </w:rPr>
              <w:t>(37)</w:t>
            </w: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15"/>
              <w:spacing w:after="0" w:line="144" w:lineRule="exact"/>
              <w:rPr>
                <w:sz w:val="20"/>
                <w:szCs w:val="20"/>
                <w:color w:val="auto"/>
              </w:rPr>
            </w:pPr>
            <w:r>
              <w:rPr>
                <w:rFonts w:ascii="Arial" w:cs="Arial" w:eastAsia="Arial" w:hAnsi="Arial"/>
                <w:sz w:val="13"/>
                <w:szCs w:val="13"/>
                <w:color w:val="auto"/>
              </w:rPr>
              <w:t>(37)</w:t>
            </w: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35"/>
              <w:spacing w:after="0" w:line="144" w:lineRule="exact"/>
              <w:rPr>
                <w:sz w:val="20"/>
                <w:szCs w:val="20"/>
                <w:color w:val="auto"/>
              </w:rPr>
            </w:pPr>
            <w:r>
              <w:rPr>
                <w:rFonts w:ascii="Arial" w:cs="Arial" w:eastAsia="Arial" w:hAnsi="Arial"/>
                <w:sz w:val="13"/>
                <w:szCs w:val="13"/>
                <w:color w:val="auto"/>
              </w:rPr>
              <w:t>(38)</w:t>
            </w: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b w:val="1"/>
                <w:bCs w:val="1"/>
                <w:color w:val="auto"/>
              </w:rPr>
              <w:t>—</w:t>
            </w: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r>
      <w:tr>
        <w:trPr>
          <w:trHeight w:val="144"/>
        </w:trPr>
        <w:tc>
          <w:tcPr>
            <w:tcW w:w="20" w:type="dxa"/>
            <w:vAlign w:val="bottom"/>
          </w:tcPr>
          <w:p>
            <w:pPr>
              <w:spacing w:after="0"/>
              <w:rPr>
                <w:sz w:val="12"/>
                <w:szCs w:val="12"/>
                <w:color w:val="auto"/>
              </w:rPr>
            </w:pPr>
          </w:p>
        </w:tc>
        <w:tc>
          <w:tcPr>
            <w:tcW w:w="234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color w:val="auto"/>
              </w:rPr>
              <w:t>Amortization of net loss (gain)</w:t>
            </w:r>
          </w:p>
        </w:tc>
        <w:tc>
          <w:tcPr>
            <w:tcW w:w="7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75"/>
              <w:spacing w:after="0" w:line="144" w:lineRule="exact"/>
              <w:rPr>
                <w:sz w:val="20"/>
                <w:szCs w:val="20"/>
                <w:color w:val="auto"/>
              </w:rPr>
            </w:pPr>
            <w:r>
              <w:rPr>
                <w:rFonts w:ascii="Arial" w:cs="Arial" w:eastAsia="Arial" w:hAnsi="Arial"/>
                <w:sz w:val="13"/>
                <w:szCs w:val="13"/>
                <w:b w:val="1"/>
                <w:bCs w:val="1"/>
                <w:color w:val="auto"/>
              </w:rPr>
              <w:t>12</w:t>
            </w: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55"/>
              <w:spacing w:after="0" w:line="144" w:lineRule="exact"/>
              <w:rPr>
                <w:sz w:val="20"/>
                <w:szCs w:val="20"/>
                <w:color w:val="auto"/>
              </w:rPr>
            </w:pPr>
            <w:r>
              <w:rPr>
                <w:rFonts w:ascii="Arial" w:cs="Arial" w:eastAsia="Arial" w:hAnsi="Arial"/>
                <w:sz w:val="13"/>
                <w:szCs w:val="13"/>
                <w:color w:val="auto"/>
              </w:rPr>
              <w:t>12</w:t>
            </w: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75"/>
              <w:spacing w:after="0" w:line="144" w:lineRule="exact"/>
              <w:rPr>
                <w:sz w:val="20"/>
                <w:szCs w:val="20"/>
                <w:color w:val="auto"/>
              </w:rPr>
            </w:pPr>
            <w:r>
              <w:rPr>
                <w:rFonts w:ascii="Arial" w:cs="Arial" w:eastAsia="Arial" w:hAnsi="Arial"/>
                <w:sz w:val="13"/>
                <w:szCs w:val="13"/>
                <w:color w:val="auto"/>
              </w:rPr>
              <w:t>12</w:t>
            </w:r>
          </w:p>
        </w:tc>
        <w:tc>
          <w:tcPr>
            <w:tcW w:w="7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ind w:right="35"/>
              <w:spacing w:after="0" w:line="144" w:lineRule="exact"/>
              <w:rPr>
                <w:sz w:val="20"/>
                <w:szCs w:val="20"/>
                <w:color w:val="auto"/>
              </w:rPr>
            </w:pPr>
            <w:r>
              <w:rPr>
                <w:rFonts w:ascii="Arial" w:cs="Arial" w:eastAsia="Arial" w:hAnsi="Arial"/>
                <w:sz w:val="13"/>
                <w:szCs w:val="13"/>
                <w:b w:val="1"/>
                <w:bCs w:val="1"/>
                <w:color w:val="auto"/>
              </w:rPr>
              <w:t>(1)</w:t>
            </w:r>
          </w:p>
        </w:tc>
        <w:tc>
          <w:tcPr>
            <w:tcW w:w="2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5"/>
              <w:spacing w:after="0" w:line="144" w:lineRule="exact"/>
              <w:rPr>
                <w:sz w:val="20"/>
                <w:szCs w:val="20"/>
                <w:color w:val="auto"/>
              </w:rPr>
            </w:pPr>
            <w:r>
              <w:rPr>
                <w:rFonts w:ascii="Arial" w:cs="Arial" w:eastAsia="Arial" w:hAnsi="Arial"/>
                <w:sz w:val="13"/>
                <w:szCs w:val="13"/>
                <w:color w:val="auto"/>
              </w:rPr>
              <w:t>(1)</w:t>
            </w:r>
          </w:p>
        </w:tc>
        <w:tc>
          <w:tcPr>
            <w:tcW w:w="3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w:t>
            </w:r>
          </w:p>
        </w:tc>
      </w:tr>
      <w:tr>
        <w:trPr>
          <w:trHeight w:val="134"/>
        </w:trPr>
        <w:tc>
          <w:tcPr>
            <w:tcW w:w="20" w:type="dxa"/>
            <w:vAlign w:val="bottom"/>
          </w:tcPr>
          <w:p>
            <w:pPr>
              <w:spacing w:after="0"/>
              <w:rPr>
                <w:sz w:val="11"/>
                <w:szCs w:val="11"/>
                <w:color w:val="auto"/>
              </w:rPr>
            </w:pPr>
          </w:p>
        </w:tc>
        <w:tc>
          <w:tcPr>
            <w:tcW w:w="2340" w:type="dxa"/>
            <w:vAlign w:val="bottom"/>
            <w:tcBorders>
              <w:bottom w:val="single" w:sz="8" w:color="auto"/>
            </w:tcBorders>
            <w:shd w:val="clear" w:color="auto" w:fill="CCEEFF"/>
          </w:tcPr>
          <w:p>
            <w:pPr>
              <w:spacing w:after="0" w:line="134" w:lineRule="exact"/>
              <w:rPr>
                <w:sz w:val="20"/>
                <w:szCs w:val="20"/>
                <w:color w:val="auto"/>
              </w:rPr>
            </w:pPr>
            <w:r>
              <w:rPr>
                <w:rFonts w:ascii="Arial" w:cs="Arial" w:eastAsia="Arial" w:hAnsi="Arial"/>
                <w:sz w:val="13"/>
                <w:szCs w:val="13"/>
                <w:color w:val="auto"/>
              </w:rPr>
              <w:t>Net benefit expense (income)</w:t>
            </w:r>
          </w:p>
        </w:tc>
        <w:tc>
          <w:tcPr>
            <w:tcW w:w="760" w:type="dxa"/>
            <w:vAlign w:val="bottom"/>
            <w:tcBorders>
              <w:bottom w:val="single" w:sz="8" w:color="auto"/>
            </w:tcBorders>
            <w:shd w:val="clear" w:color="auto" w:fill="CCEEFF"/>
          </w:tcPr>
          <w:p>
            <w:pPr>
              <w:jc w:val="right"/>
              <w:ind w:right="35"/>
              <w:spacing w:after="0" w:line="134" w:lineRule="exact"/>
              <w:rPr>
                <w:sz w:val="20"/>
                <w:szCs w:val="20"/>
                <w:color w:val="auto"/>
              </w:rPr>
            </w:pPr>
            <w:r>
              <w:rPr>
                <w:rFonts w:ascii="Arial" w:cs="Arial" w:eastAsia="Arial" w:hAnsi="Arial"/>
                <w:sz w:val="13"/>
                <w:szCs w:val="13"/>
                <w:b w:val="1"/>
                <w:bCs w:val="1"/>
                <w:color w:val="auto"/>
              </w:rPr>
              <w:t>$</w:t>
            </w:r>
          </w:p>
        </w:tc>
        <w:tc>
          <w:tcPr>
            <w:tcW w:w="740" w:type="dxa"/>
            <w:vAlign w:val="bottom"/>
            <w:tcBorders>
              <w:bottom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b w:val="1"/>
                <w:bCs w:val="1"/>
                <w:color w:val="auto"/>
              </w:rPr>
              <w:t>10</w:t>
            </w:r>
          </w:p>
        </w:tc>
        <w:tc>
          <w:tcPr>
            <w:tcW w:w="280" w:type="dxa"/>
            <w:vAlign w:val="bottom"/>
            <w:tcBorders>
              <w:bottom w:val="single" w:sz="8" w:color="auto"/>
            </w:tcBorders>
            <w:shd w:val="clear" w:color="auto" w:fill="CCEEFF"/>
          </w:tcPr>
          <w:p>
            <w:pPr>
              <w:ind w:left="100"/>
              <w:spacing w:after="0" w:line="134" w:lineRule="exact"/>
              <w:rPr>
                <w:sz w:val="20"/>
                <w:szCs w:val="20"/>
                <w:color w:val="auto"/>
              </w:rPr>
            </w:pPr>
            <w:r>
              <w:rPr>
                <w:rFonts w:ascii="Arial" w:cs="Arial" w:eastAsia="Arial" w:hAnsi="Arial"/>
                <w:sz w:val="13"/>
                <w:szCs w:val="13"/>
                <w:color w:val="auto"/>
              </w:rPr>
              <w:t>$</w:t>
            </w:r>
          </w:p>
        </w:tc>
        <w:tc>
          <w:tcPr>
            <w:tcW w:w="740" w:type="dxa"/>
            <w:vAlign w:val="bottom"/>
            <w:tcBorders>
              <w:bottom w:val="single" w:sz="8" w:color="auto"/>
            </w:tcBorders>
            <w:shd w:val="clear" w:color="auto" w:fill="CCEEFF"/>
          </w:tcPr>
          <w:p>
            <w:pPr>
              <w:jc w:val="right"/>
              <w:ind w:right="55"/>
              <w:spacing w:after="0" w:line="134" w:lineRule="exact"/>
              <w:rPr>
                <w:sz w:val="20"/>
                <w:szCs w:val="20"/>
                <w:color w:val="auto"/>
              </w:rPr>
            </w:pPr>
            <w:r>
              <w:rPr>
                <w:rFonts w:ascii="Arial" w:cs="Arial" w:eastAsia="Arial" w:hAnsi="Arial"/>
                <w:sz w:val="13"/>
                <w:szCs w:val="13"/>
                <w:color w:val="auto"/>
              </w:rPr>
              <w:t>22</w:t>
            </w:r>
          </w:p>
        </w:tc>
        <w:tc>
          <w:tcPr>
            <w:tcW w:w="280" w:type="dxa"/>
            <w:vAlign w:val="bottom"/>
            <w:tcBorders>
              <w:bottom w:val="single" w:sz="8" w:color="auto"/>
            </w:tcBorders>
            <w:shd w:val="clear" w:color="auto" w:fill="CCEEFF"/>
          </w:tcPr>
          <w:p>
            <w:pPr>
              <w:jc w:val="right"/>
              <w:ind w:right="35"/>
              <w:spacing w:after="0" w:line="134"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color w:val="auto"/>
              </w:rPr>
              <w:t>21</w:t>
            </w:r>
          </w:p>
        </w:tc>
        <w:tc>
          <w:tcPr>
            <w:tcW w:w="720" w:type="dxa"/>
            <w:vAlign w:val="bottom"/>
            <w:tcBorders>
              <w:bottom w:val="single" w:sz="8" w:color="auto"/>
            </w:tcBorders>
            <w:shd w:val="clear" w:color="auto" w:fill="CCEEFF"/>
          </w:tcPr>
          <w:p>
            <w:pPr>
              <w:jc w:val="right"/>
              <w:ind w:right="495"/>
              <w:spacing w:after="0" w:line="134" w:lineRule="exact"/>
              <w:rPr>
                <w:sz w:val="20"/>
                <w:szCs w:val="20"/>
                <w:color w:val="auto"/>
              </w:rPr>
            </w:pPr>
            <w:r>
              <w:rPr>
                <w:rFonts w:ascii="Arial" w:cs="Arial" w:eastAsia="Arial" w:hAnsi="Arial"/>
                <w:sz w:val="13"/>
                <w:szCs w:val="13"/>
                <w:b w:val="1"/>
                <w:bCs w:val="1"/>
                <w:color w:val="auto"/>
              </w:rPr>
              <w:t>$</w:t>
            </w:r>
          </w:p>
        </w:tc>
        <w:tc>
          <w:tcPr>
            <w:tcW w:w="320" w:type="dxa"/>
            <w:vAlign w:val="bottom"/>
            <w:tcBorders>
              <w:bottom w:val="single" w:sz="8" w:color="auto"/>
            </w:tcBorders>
            <w:shd w:val="clear" w:color="auto" w:fill="CCEEFF"/>
          </w:tcPr>
          <w:p>
            <w:pPr>
              <w:jc w:val="right"/>
              <w:ind w:right="35"/>
              <w:spacing w:after="0" w:line="134" w:lineRule="exact"/>
              <w:rPr>
                <w:sz w:val="20"/>
                <w:szCs w:val="20"/>
                <w:color w:val="auto"/>
              </w:rPr>
            </w:pPr>
            <w:r>
              <w:rPr>
                <w:rFonts w:ascii="Arial" w:cs="Arial" w:eastAsia="Arial" w:hAnsi="Arial"/>
                <w:sz w:val="13"/>
                <w:szCs w:val="13"/>
                <w:b w:val="1"/>
                <w:bCs w:val="1"/>
                <w:color w:val="auto"/>
              </w:rPr>
              <w:t>(1)</w:t>
            </w:r>
          </w:p>
        </w:tc>
        <w:tc>
          <w:tcPr>
            <w:tcW w:w="260" w:type="dxa"/>
            <w:vAlign w:val="bottom"/>
            <w:tcBorders>
              <w:bottom w:val="single" w:sz="8" w:color="auto"/>
            </w:tcBorders>
            <w:shd w:val="clear" w:color="auto" w:fill="CCEEFF"/>
          </w:tcPr>
          <w:p>
            <w:pPr>
              <w:jc w:val="right"/>
              <w:ind w:right="35"/>
              <w:spacing w:after="0" w:line="134" w:lineRule="exact"/>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shd w:val="clear" w:color="auto" w:fill="CCEEFF"/>
          </w:tcPr>
          <w:p>
            <w:pPr>
              <w:jc w:val="right"/>
              <w:ind w:right="15"/>
              <w:spacing w:after="0" w:line="134" w:lineRule="exact"/>
              <w:rPr>
                <w:sz w:val="20"/>
                <w:szCs w:val="20"/>
                <w:color w:val="auto"/>
              </w:rPr>
            </w:pPr>
            <w:r>
              <w:rPr>
                <w:rFonts w:ascii="Arial" w:cs="Arial" w:eastAsia="Arial" w:hAnsi="Arial"/>
                <w:sz w:val="13"/>
                <w:szCs w:val="13"/>
                <w:color w:val="auto"/>
              </w:rPr>
              <w:t>(1)</w:t>
            </w:r>
          </w:p>
        </w:tc>
        <w:tc>
          <w:tcPr>
            <w:tcW w:w="300" w:type="dxa"/>
            <w:vAlign w:val="bottom"/>
            <w:tcBorders>
              <w:bottom w:val="single" w:sz="8" w:color="auto"/>
            </w:tcBorders>
            <w:shd w:val="clear" w:color="auto" w:fill="CCEEFF"/>
          </w:tcPr>
          <w:p>
            <w:pPr>
              <w:jc w:val="right"/>
              <w:ind w:right="55"/>
              <w:spacing w:after="0" w:line="134" w:lineRule="exact"/>
              <w:rPr>
                <w:sz w:val="20"/>
                <w:szCs w:val="20"/>
                <w:color w:val="auto"/>
              </w:rPr>
            </w:pPr>
            <w:r>
              <w:rPr>
                <w:rFonts w:ascii="Arial" w:cs="Arial" w:eastAsia="Arial" w:hAnsi="Arial"/>
                <w:sz w:val="13"/>
                <w:szCs w:val="13"/>
                <w:color w:val="auto"/>
              </w:rPr>
              <w:t>$</w:t>
            </w:r>
          </w:p>
        </w:tc>
        <w:tc>
          <w:tcPr>
            <w:tcW w:w="66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w:t>
            </w:r>
          </w:p>
        </w:tc>
      </w:tr>
      <w:tr>
        <w:trPr>
          <w:trHeight w:val="20"/>
        </w:trPr>
        <w:tc>
          <w:tcPr>
            <w:tcW w:w="2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jc w:val="both"/>
        <w:ind w:left="20" w:right="39"/>
        <w:spacing w:after="0"/>
        <w:rPr>
          <w:sz w:val="20"/>
          <w:szCs w:val="20"/>
          <w:color w:val="auto"/>
        </w:rPr>
      </w:pPr>
      <w:r>
        <w:rPr>
          <w:rFonts w:ascii="Arial" w:cs="Arial" w:eastAsia="Arial" w:hAnsi="Arial"/>
          <w:sz w:val="13"/>
          <w:szCs w:val="13"/>
          <w:color w:val="auto"/>
        </w:rPr>
        <w:t>Service cost is recognized as a component of SG&amp;A and the remaining pension and postretirement expense components are recognized as part of Other income, net.</w:t>
      </w:r>
    </w:p>
    <w:p>
      <w:pPr>
        <w:spacing w:after="0" w:line="122" w:lineRule="exact"/>
        <w:rPr>
          <w:sz w:val="20"/>
          <w:szCs w:val="20"/>
          <w:color w:val="auto"/>
        </w:rPr>
      </w:pPr>
    </w:p>
    <w:p>
      <w:pPr>
        <w:jc w:val="both"/>
        <w:ind w:left="20" w:right="39"/>
        <w:spacing w:after="0" w:line="236" w:lineRule="auto"/>
        <w:rPr>
          <w:sz w:val="20"/>
          <w:szCs w:val="20"/>
          <w:color w:val="auto"/>
        </w:rPr>
      </w:pPr>
      <w:r>
        <w:rPr>
          <w:rFonts w:ascii="Arial" w:cs="Arial" w:eastAsia="Arial" w:hAnsi="Arial"/>
          <w:sz w:val="13"/>
          <w:szCs w:val="13"/>
          <w:color w:val="auto"/>
        </w:rPr>
        <w:t>Beginning in 2001, new retirees were charged the expected full cost of the medical plan, and then-existing retirees will incur 100 percent of the expected future increases in medical plan costs. Any changes in the health care cost trend rates assumed would not affect the accumulated benefit obligation or net benefit income, since retirees will incur 100 percent of such expected future increases.</w:t>
      </w:r>
    </w:p>
    <w:p>
      <w:pPr>
        <w:spacing w:after="0" w:line="123" w:lineRule="exact"/>
        <w:rPr>
          <w:sz w:val="20"/>
          <w:szCs w:val="20"/>
          <w:color w:val="auto"/>
        </w:rPr>
      </w:pPr>
    </w:p>
    <w:p>
      <w:pPr>
        <w:ind w:left="7520"/>
        <w:spacing w:after="0"/>
        <w:rPr>
          <w:sz w:val="20"/>
          <w:szCs w:val="20"/>
          <w:color w:val="auto"/>
        </w:rPr>
      </w:pPr>
      <w:r>
        <w:rPr>
          <w:rFonts w:ascii="Arial" w:cs="Arial" w:eastAsia="Arial" w:hAnsi="Arial"/>
          <w:sz w:val="12"/>
          <w:szCs w:val="12"/>
          <w:color w:val="auto"/>
        </w:rPr>
        <w:t>2020 Form 10-K Page 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365125</wp:posOffset>
            </wp:positionV>
            <wp:extent cx="5680075" cy="133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80075" cy="13335"/>
                    </a:xfrm>
                    <a:prstGeom prst="rect">
                      <a:avLst/>
                    </a:prstGeom>
                    <a:noFill/>
                  </pic:spPr>
                </pic:pic>
              </a:graphicData>
            </a:graphic>
          </wp:anchor>
        </w:drawing>
      </w:r>
    </w:p>
    <w:p>
      <w:pPr>
        <w:sectPr>
          <w:pgSz w:w="11900" w:h="16838" w:orient="portrait"/>
          <w:cols w:equalWidth="0" w:num="1">
            <w:col w:w="9019"/>
          </w:cols>
          <w:pgMar w:left="1440" w:top="995" w:right="1440" w:bottom="1440" w:gutter="0" w:footer="0" w:header="0"/>
        </w:sectPr>
      </w:pPr>
    </w:p>
    <w:bookmarkStart w:id="69" w:name="page70"/>
    <w:bookmarkEnd w:id="69"/>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2992755</wp:posOffset>
            </wp:positionH>
            <wp:positionV relativeFrom="page">
              <wp:posOffset>375285</wp:posOffset>
            </wp:positionV>
            <wp:extent cx="1563370" cy="169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1563370" cy="169545"/>
                    </a:xfrm>
                    <a:prstGeom prst="rect">
                      <a:avLst/>
                    </a:prstGeom>
                    <a:noFill/>
                  </pic:spPr>
                </pic:pic>
              </a:graphicData>
            </a:graphic>
          </wp:anchor>
        </w:drawing>
        <w:t>NOTES TO CONSOLIDATED FINANCIAL STATEMENTS</w:t>
      </w:r>
    </w:p>
    <w:p>
      <w:pPr>
        <w:spacing w:after="0" w:line="159" w:lineRule="exact"/>
        <w:rPr>
          <w:sz w:val="20"/>
          <w:szCs w:val="20"/>
          <w:color w:val="auto"/>
        </w:rPr>
      </w:pPr>
    </w:p>
    <w:p>
      <w:pPr>
        <w:jc w:val="both"/>
        <w:ind w:left="20" w:right="39"/>
        <w:spacing w:after="0" w:line="235" w:lineRule="auto"/>
        <w:rPr>
          <w:sz w:val="20"/>
          <w:szCs w:val="20"/>
          <w:color w:val="auto"/>
        </w:rPr>
      </w:pPr>
      <w:r>
        <w:rPr>
          <w:rFonts w:ascii="Arial" w:cs="Arial" w:eastAsia="Arial" w:hAnsi="Arial"/>
          <w:sz w:val="13"/>
          <w:szCs w:val="13"/>
          <w:color w:val="auto"/>
        </w:rPr>
        <w:t>We maintain a Supplemental Executive Retirement Plan (“SERP”), which is an unfunded plan that includes provisions for the continuation of medical and dental insurance benefits to certain executive officers and other key employees of the Company (“SERP Medical Plan”). The SERP Medical Plan’s accumulated projected benefit obligation at January 30, 2021 was $12 million. The following initial and ultimate cost trend rate assumptions were used to determine the benefit obligations under the SERP Medical Plan:</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30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Medical Trend Rate</w:t>
            </w:r>
          </w:p>
        </w:tc>
        <w:tc>
          <w:tcPr>
            <w:tcW w:w="8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2"/>
          </w:tcPr>
          <w:p>
            <w:pPr>
              <w:jc w:val="right"/>
              <w:ind w:right="55"/>
              <w:spacing w:after="0"/>
              <w:rPr>
                <w:sz w:val="20"/>
                <w:szCs w:val="20"/>
                <w:color w:val="auto"/>
              </w:rPr>
            </w:pPr>
            <w:r>
              <w:rPr>
                <w:rFonts w:ascii="Arial" w:cs="Arial" w:eastAsia="Arial" w:hAnsi="Arial"/>
                <w:sz w:val="13"/>
                <w:szCs w:val="13"/>
                <w:b w:val="1"/>
                <w:bCs w:val="1"/>
                <w:color w:val="auto"/>
              </w:rPr>
              <w:t>Dental Trend Rate</w:t>
            </w:r>
          </w:p>
        </w:tc>
        <w:tc>
          <w:tcPr>
            <w:tcW w:w="820" w:type="dxa"/>
            <w:vAlign w:val="bottom"/>
            <w:tcBorders>
              <w:bottom w:val="single" w:sz="8" w:color="auto"/>
            </w:tcBorders>
          </w:tcPr>
          <w:p>
            <w:pPr>
              <w:spacing w:after="0"/>
              <w:rPr>
                <w:sz w:val="14"/>
                <w:szCs w:val="14"/>
                <w:color w:val="auto"/>
              </w:rPr>
            </w:pPr>
          </w:p>
        </w:tc>
      </w:tr>
      <w:tr>
        <w:trPr>
          <w:trHeight w:val="134"/>
        </w:trPr>
        <w:tc>
          <w:tcPr>
            <w:tcW w:w="30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275"/>
              <w:spacing w:after="0" w:line="134" w:lineRule="exact"/>
              <w:rPr>
                <w:sz w:val="20"/>
                <w:szCs w:val="20"/>
                <w:color w:val="auto"/>
              </w:rPr>
            </w:pPr>
            <w:r>
              <w:rPr>
                <w:rFonts w:ascii="Arial" w:cs="Arial" w:eastAsia="Arial" w:hAnsi="Arial"/>
                <w:sz w:val="13"/>
                <w:szCs w:val="13"/>
                <w:b w:val="1"/>
                <w:bCs w:val="1"/>
                <w:color w:val="auto"/>
              </w:rPr>
              <w:t>2020</w:t>
            </w:r>
          </w:p>
        </w:tc>
        <w:tc>
          <w:tcPr>
            <w:tcW w:w="1240" w:type="dxa"/>
            <w:vAlign w:val="bottom"/>
            <w:tcBorders>
              <w:bottom w:val="single" w:sz="8" w:color="auto"/>
            </w:tcBorders>
          </w:tcPr>
          <w:p>
            <w:pPr>
              <w:jc w:val="right"/>
              <w:ind w:right="555"/>
              <w:spacing w:after="0" w:line="134" w:lineRule="exact"/>
              <w:rPr>
                <w:sz w:val="20"/>
                <w:szCs w:val="20"/>
                <w:color w:val="auto"/>
              </w:rPr>
            </w:pPr>
            <w:r>
              <w:rPr>
                <w:rFonts w:ascii="Arial" w:cs="Arial" w:eastAsia="Arial" w:hAnsi="Arial"/>
                <w:sz w:val="13"/>
                <w:szCs w:val="13"/>
                <w:color w:val="auto"/>
              </w:rPr>
              <w:t>2019</w:t>
            </w:r>
          </w:p>
        </w:tc>
        <w:tc>
          <w:tcPr>
            <w:tcW w:w="840" w:type="dxa"/>
            <w:vAlign w:val="bottom"/>
            <w:tcBorders>
              <w:bottom w:val="single" w:sz="8" w:color="auto"/>
            </w:tcBorders>
          </w:tcPr>
          <w:p>
            <w:pPr>
              <w:jc w:val="right"/>
              <w:ind w:right="435"/>
              <w:spacing w:after="0" w:line="134" w:lineRule="exact"/>
              <w:rPr>
                <w:sz w:val="20"/>
                <w:szCs w:val="20"/>
                <w:color w:val="auto"/>
              </w:rPr>
            </w:pPr>
            <w:r>
              <w:rPr>
                <w:rFonts w:ascii="Arial" w:cs="Arial" w:eastAsia="Arial" w:hAnsi="Arial"/>
                <w:sz w:val="13"/>
                <w:szCs w:val="13"/>
                <w:color w:val="auto"/>
              </w:rPr>
              <w:t>2018</w:t>
            </w:r>
          </w:p>
        </w:tc>
        <w:tc>
          <w:tcPr>
            <w:tcW w:w="960" w:type="dxa"/>
            <w:vAlign w:val="bottom"/>
            <w:tcBorders>
              <w:bottom w:val="single" w:sz="8" w:color="auto"/>
            </w:tcBorders>
          </w:tcPr>
          <w:p>
            <w:pPr>
              <w:jc w:val="right"/>
              <w:ind w:right="435"/>
              <w:spacing w:after="0" w:line="134" w:lineRule="exact"/>
              <w:rPr>
                <w:sz w:val="20"/>
                <w:szCs w:val="20"/>
                <w:color w:val="auto"/>
              </w:rPr>
            </w:pPr>
            <w:r>
              <w:rPr>
                <w:rFonts w:ascii="Arial" w:cs="Arial" w:eastAsia="Arial" w:hAnsi="Arial"/>
                <w:sz w:val="13"/>
                <w:szCs w:val="13"/>
                <w:b w:val="1"/>
                <w:bCs w:val="1"/>
                <w:color w:val="auto"/>
              </w:rPr>
              <w:t>2020</w:t>
            </w:r>
          </w:p>
        </w:tc>
        <w:tc>
          <w:tcPr>
            <w:tcW w:w="1000" w:type="dxa"/>
            <w:vAlign w:val="bottom"/>
            <w:tcBorders>
              <w:bottom w:val="single" w:sz="8" w:color="auto"/>
            </w:tcBorders>
          </w:tcPr>
          <w:p>
            <w:pPr>
              <w:jc w:val="right"/>
              <w:ind w:right="475"/>
              <w:spacing w:after="0" w:line="134" w:lineRule="exact"/>
              <w:rPr>
                <w:sz w:val="20"/>
                <w:szCs w:val="20"/>
                <w:color w:val="auto"/>
              </w:rPr>
            </w:pPr>
            <w:r>
              <w:rPr>
                <w:rFonts w:ascii="Arial" w:cs="Arial" w:eastAsia="Arial" w:hAnsi="Arial"/>
                <w:sz w:val="13"/>
                <w:szCs w:val="13"/>
                <w:color w:val="auto"/>
              </w:rPr>
              <w:t>2019</w:t>
            </w:r>
          </w:p>
        </w:tc>
        <w:tc>
          <w:tcPr>
            <w:tcW w:w="820" w:type="dxa"/>
            <w:vAlign w:val="bottom"/>
            <w:tcBorders>
              <w:bottom w:val="single" w:sz="8" w:color="auto"/>
            </w:tcBorders>
          </w:tcPr>
          <w:p>
            <w:pPr>
              <w:jc w:val="right"/>
              <w:ind w:right="315"/>
              <w:spacing w:after="0" w:line="134" w:lineRule="exact"/>
              <w:rPr>
                <w:sz w:val="20"/>
                <w:szCs w:val="20"/>
                <w:color w:val="auto"/>
              </w:rPr>
            </w:pPr>
            <w:r>
              <w:rPr>
                <w:rFonts w:ascii="Arial" w:cs="Arial" w:eastAsia="Arial" w:hAnsi="Arial"/>
                <w:sz w:val="13"/>
                <w:szCs w:val="13"/>
                <w:color w:val="auto"/>
              </w:rPr>
              <w:t>2018</w:t>
            </w:r>
          </w:p>
        </w:tc>
      </w:tr>
      <w:tr>
        <w:trPr>
          <w:trHeight w:val="134"/>
        </w:trPr>
        <w:tc>
          <w:tcPr>
            <w:tcW w:w="308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Initial cost trend rate</w:t>
            </w:r>
          </w:p>
        </w:tc>
        <w:tc>
          <w:tcPr>
            <w:tcW w:w="100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6.3 %</w:t>
            </w:r>
          </w:p>
        </w:tc>
        <w:tc>
          <w:tcPr>
            <w:tcW w:w="1240" w:type="dxa"/>
            <w:vAlign w:val="bottom"/>
            <w:shd w:val="clear" w:color="auto" w:fill="CCEEFF"/>
          </w:tcPr>
          <w:p>
            <w:pPr>
              <w:jc w:val="right"/>
              <w:ind w:right="235"/>
              <w:spacing w:after="0" w:line="134" w:lineRule="exact"/>
              <w:rPr>
                <w:sz w:val="20"/>
                <w:szCs w:val="20"/>
                <w:color w:val="auto"/>
              </w:rPr>
            </w:pPr>
            <w:r>
              <w:rPr>
                <w:rFonts w:ascii="Arial" w:cs="Arial" w:eastAsia="Arial" w:hAnsi="Arial"/>
                <w:sz w:val="13"/>
                <w:szCs w:val="13"/>
                <w:color w:val="auto"/>
              </w:rPr>
              <w:t>6.5 %</w:t>
            </w:r>
          </w:p>
        </w:tc>
        <w:tc>
          <w:tcPr>
            <w:tcW w:w="840" w:type="dxa"/>
            <w:vAlign w:val="bottom"/>
            <w:shd w:val="clear" w:color="auto" w:fill="CCEEFF"/>
          </w:tcPr>
          <w:p>
            <w:pPr>
              <w:jc w:val="right"/>
              <w:ind w:right="115"/>
              <w:spacing w:after="0" w:line="134" w:lineRule="exact"/>
              <w:rPr>
                <w:sz w:val="20"/>
                <w:szCs w:val="20"/>
                <w:color w:val="auto"/>
              </w:rPr>
            </w:pPr>
            <w:r>
              <w:rPr>
                <w:rFonts w:ascii="Arial" w:cs="Arial" w:eastAsia="Arial" w:hAnsi="Arial"/>
                <w:sz w:val="13"/>
                <w:szCs w:val="13"/>
                <w:color w:val="auto"/>
              </w:rPr>
              <w:t>6.5 %</w:t>
            </w:r>
          </w:p>
        </w:tc>
        <w:tc>
          <w:tcPr>
            <w:tcW w:w="960" w:type="dxa"/>
            <w:vAlign w:val="bottom"/>
            <w:shd w:val="clear" w:color="auto" w:fill="CCEEFF"/>
          </w:tcPr>
          <w:p>
            <w:pPr>
              <w:jc w:val="right"/>
              <w:ind w:right="115"/>
              <w:spacing w:after="0" w:line="134" w:lineRule="exact"/>
              <w:rPr>
                <w:sz w:val="20"/>
                <w:szCs w:val="20"/>
                <w:color w:val="auto"/>
              </w:rPr>
            </w:pPr>
            <w:r>
              <w:rPr>
                <w:rFonts w:ascii="Arial" w:cs="Arial" w:eastAsia="Arial" w:hAnsi="Arial"/>
                <w:sz w:val="13"/>
                <w:szCs w:val="13"/>
                <w:b w:val="1"/>
                <w:bCs w:val="1"/>
                <w:color w:val="auto"/>
              </w:rPr>
              <w:t>5.0 %</w:t>
            </w:r>
          </w:p>
        </w:tc>
        <w:tc>
          <w:tcPr>
            <w:tcW w:w="1000" w:type="dxa"/>
            <w:vAlign w:val="bottom"/>
            <w:shd w:val="clear" w:color="auto" w:fill="CCEEFF"/>
          </w:tcPr>
          <w:p>
            <w:pPr>
              <w:jc w:val="right"/>
              <w:ind w:right="135"/>
              <w:spacing w:after="0" w:line="134" w:lineRule="exact"/>
              <w:rPr>
                <w:sz w:val="20"/>
                <w:szCs w:val="20"/>
                <w:color w:val="auto"/>
              </w:rPr>
            </w:pPr>
            <w:r>
              <w:rPr>
                <w:rFonts w:ascii="Arial" w:cs="Arial" w:eastAsia="Arial" w:hAnsi="Arial"/>
                <w:sz w:val="13"/>
                <w:szCs w:val="13"/>
                <w:color w:val="auto"/>
              </w:rPr>
              <w:t>5.0 %</w:t>
            </w:r>
          </w:p>
        </w:tc>
        <w:tc>
          <w:tcPr>
            <w:tcW w:w="82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5.0 %</w:t>
            </w:r>
          </w:p>
        </w:tc>
      </w:tr>
      <w:tr>
        <w:trPr>
          <w:trHeight w:val="144"/>
        </w:trPr>
        <w:tc>
          <w:tcPr>
            <w:tcW w:w="3080" w:type="dxa"/>
            <w:vAlign w:val="bottom"/>
          </w:tcPr>
          <w:p>
            <w:pPr>
              <w:spacing w:after="0" w:line="144" w:lineRule="exact"/>
              <w:rPr>
                <w:sz w:val="20"/>
                <w:szCs w:val="20"/>
                <w:color w:val="auto"/>
              </w:rPr>
            </w:pPr>
            <w:r>
              <w:rPr>
                <w:rFonts w:ascii="Arial" w:cs="Arial" w:eastAsia="Arial" w:hAnsi="Arial"/>
                <w:sz w:val="13"/>
                <w:szCs w:val="13"/>
                <w:color w:val="auto"/>
              </w:rPr>
              <w:t>Ultimate cost trend rate</w:t>
            </w:r>
          </w:p>
        </w:tc>
        <w:tc>
          <w:tcPr>
            <w:tcW w:w="100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5.0 %</w:t>
            </w:r>
          </w:p>
        </w:tc>
        <w:tc>
          <w:tcPr>
            <w:tcW w:w="1240" w:type="dxa"/>
            <w:vAlign w:val="bottom"/>
          </w:tcPr>
          <w:p>
            <w:pPr>
              <w:jc w:val="right"/>
              <w:ind w:right="235"/>
              <w:spacing w:after="0" w:line="144" w:lineRule="exact"/>
              <w:rPr>
                <w:sz w:val="20"/>
                <w:szCs w:val="20"/>
                <w:color w:val="auto"/>
              </w:rPr>
            </w:pPr>
            <w:r>
              <w:rPr>
                <w:rFonts w:ascii="Arial" w:cs="Arial" w:eastAsia="Arial" w:hAnsi="Arial"/>
                <w:sz w:val="13"/>
                <w:szCs w:val="13"/>
                <w:color w:val="auto"/>
              </w:rPr>
              <w:t>5.0 %</w:t>
            </w:r>
          </w:p>
        </w:tc>
        <w:tc>
          <w:tcPr>
            <w:tcW w:w="840" w:type="dxa"/>
            <w:vAlign w:val="bottom"/>
          </w:tcPr>
          <w:p>
            <w:pPr>
              <w:jc w:val="right"/>
              <w:ind w:right="115"/>
              <w:spacing w:after="0" w:line="144" w:lineRule="exact"/>
              <w:rPr>
                <w:sz w:val="20"/>
                <w:szCs w:val="20"/>
                <w:color w:val="auto"/>
              </w:rPr>
            </w:pPr>
            <w:r>
              <w:rPr>
                <w:rFonts w:ascii="Arial" w:cs="Arial" w:eastAsia="Arial" w:hAnsi="Arial"/>
                <w:sz w:val="13"/>
                <w:szCs w:val="13"/>
                <w:color w:val="auto"/>
              </w:rPr>
              <w:t>5.0 %</w:t>
            </w:r>
          </w:p>
        </w:tc>
        <w:tc>
          <w:tcPr>
            <w:tcW w:w="960" w:type="dxa"/>
            <w:vAlign w:val="bottom"/>
          </w:tcPr>
          <w:p>
            <w:pPr>
              <w:jc w:val="right"/>
              <w:ind w:right="115"/>
              <w:spacing w:after="0" w:line="144" w:lineRule="exact"/>
              <w:rPr>
                <w:sz w:val="20"/>
                <w:szCs w:val="20"/>
                <w:color w:val="auto"/>
              </w:rPr>
            </w:pPr>
            <w:r>
              <w:rPr>
                <w:rFonts w:ascii="Arial" w:cs="Arial" w:eastAsia="Arial" w:hAnsi="Arial"/>
                <w:sz w:val="13"/>
                <w:szCs w:val="13"/>
                <w:b w:val="1"/>
                <w:bCs w:val="1"/>
                <w:color w:val="auto"/>
              </w:rPr>
              <w:t>5.0 %</w:t>
            </w:r>
          </w:p>
        </w:tc>
        <w:tc>
          <w:tcPr>
            <w:tcW w:w="1000" w:type="dxa"/>
            <w:vAlign w:val="bottom"/>
          </w:tcPr>
          <w:p>
            <w:pPr>
              <w:jc w:val="right"/>
              <w:ind w:right="135"/>
              <w:spacing w:after="0" w:line="144" w:lineRule="exact"/>
              <w:rPr>
                <w:sz w:val="20"/>
                <w:szCs w:val="20"/>
                <w:color w:val="auto"/>
              </w:rPr>
            </w:pPr>
            <w:r>
              <w:rPr>
                <w:rFonts w:ascii="Arial" w:cs="Arial" w:eastAsia="Arial" w:hAnsi="Arial"/>
                <w:sz w:val="13"/>
                <w:szCs w:val="13"/>
                <w:color w:val="auto"/>
              </w:rPr>
              <w:t>5.0 %</w:t>
            </w:r>
          </w:p>
        </w:tc>
        <w:tc>
          <w:tcPr>
            <w:tcW w:w="820" w:type="dxa"/>
            <w:vAlign w:val="bottom"/>
          </w:tcPr>
          <w:p>
            <w:pPr>
              <w:jc w:val="right"/>
              <w:spacing w:after="0" w:line="144" w:lineRule="exact"/>
              <w:rPr>
                <w:sz w:val="20"/>
                <w:szCs w:val="20"/>
                <w:color w:val="auto"/>
              </w:rPr>
            </w:pPr>
            <w:r>
              <w:rPr>
                <w:rFonts w:ascii="Arial" w:cs="Arial" w:eastAsia="Arial" w:hAnsi="Arial"/>
                <w:sz w:val="13"/>
                <w:szCs w:val="13"/>
                <w:color w:val="auto"/>
              </w:rPr>
              <w:t>5.0 %</w:t>
            </w:r>
          </w:p>
        </w:tc>
      </w:tr>
      <w:tr>
        <w:trPr>
          <w:trHeight w:val="144"/>
        </w:trPr>
        <w:tc>
          <w:tcPr>
            <w:tcW w:w="3080" w:type="dxa"/>
            <w:vAlign w:val="bottom"/>
            <w:tcBorders>
              <w:bottom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rPr>
              <w:t>Year that the ultimate cost trend rate is reached</w:t>
            </w:r>
          </w:p>
        </w:tc>
        <w:tc>
          <w:tcPr>
            <w:tcW w:w="1000" w:type="dxa"/>
            <w:vAlign w:val="bottom"/>
            <w:tcBorders>
              <w:bottom w:val="single" w:sz="8" w:color="auto"/>
            </w:tcBorders>
            <w:shd w:val="clear" w:color="auto" w:fill="CCEEFF"/>
          </w:tcPr>
          <w:p>
            <w:pPr>
              <w:jc w:val="right"/>
              <w:ind w:right="95"/>
              <w:spacing w:after="0" w:line="144" w:lineRule="exact"/>
              <w:rPr>
                <w:sz w:val="20"/>
                <w:szCs w:val="20"/>
                <w:color w:val="auto"/>
              </w:rPr>
            </w:pPr>
            <w:r>
              <w:rPr>
                <w:rFonts w:ascii="Arial" w:cs="Arial" w:eastAsia="Arial" w:hAnsi="Arial"/>
                <w:sz w:val="13"/>
                <w:szCs w:val="13"/>
                <w:b w:val="1"/>
                <w:bCs w:val="1"/>
                <w:color w:val="auto"/>
              </w:rPr>
              <w:t>2025</w:t>
            </w:r>
          </w:p>
        </w:tc>
        <w:tc>
          <w:tcPr>
            <w:tcW w:w="1240" w:type="dxa"/>
            <w:vAlign w:val="bottom"/>
            <w:tcBorders>
              <w:bottom w:val="single" w:sz="8" w:color="auto"/>
            </w:tcBorders>
            <w:shd w:val="clear" w:color="auto" w:fill="CCEEFF"/>
          </w:tcPr>
          <w:p>
            <w:pPr>
              <w:jc w:val="right"/>
              <w:ind w:right="395"/>
              <w:spacing w:after="0" w:line="144" w:lineRule="exact"/>
              <w:rPr>
                <w:sz w:val="20"/>
                <w:szCs w:val="20"/>
                <w:color w:val="auto"/>
              </w:rPr>
            </w:pPr>
            <w:r>
              <w:rPr>
                <w:rFonts w:ascii="Arial" w:cs="Arial" w:eastAsia="Arial" w:hAnsi="Arial"/>
                <w:sz w:val="13"/>
                <w:szCs w:val="13"/>
                <w:color w:val="auto"/>
              </w:rPr>
              <w:t>2025</w:t>
            </w:r>
          </w:p>
        </w:tc>
        <w:tc>
          <w:tcPr>
            <w:tcW w:w="840" w:type="dxa"/>
            <w:vAlign w:val="bottom"/>
            <w:tcBorders>
              <w:bottom w:val="single" w:sz="8" w:color="auto"/>
            </w:tcBorders>
            <w:shd w:val="clear" w:color="auto" w:fill="CCEEFF"/>
          </w:tcPr>
          <w:p>
            <w:pPr>
              <w:jc w:val="right"/>
              <w:ind w:right="275"/>
              <w:spacing w:after="0" w:line="144" w:lineRule="exact"/>
              <w:rPr>
                <w:sz w:val="20"/>
                <w:szCs w:val="20"/>
                <w:color w:val="auto"/>
              </w:rPr>
            </w:pPr>
            <w:r>
              <w:rPr>
                <w:rFonts w:ascii="Arial" w:cs="Arial" w:eastAsia="Arial" w:hAnsi="Arial"/>
                <w:sz w:val="13"/>
                <w:szCs w:val="13"/>
                <w:color w:val="auto"/>
              </w:rPr>
              <w:t>2025</w:t>
            </w:r>
          </w:p>
        </w:tc>
        <w:tc>
          <w:tcPr>
            <w:tcW w:w="960" w:type="dxa"/>
            <w:vAlign w:val="bottom"/>
            <w:tcBorders>
              <w:bottom w:val="single" w:sz="8" w:color="auto"/>
            </w:tcBorders>
            <w:shd w:val="clear" w:color="auto" w:fill="CCEEFF"/>
          </w:tcPr>
          <w:p>
            <w:pPr>
              <w:jc w:val="right"/>
              <w:ind w:right="255"/>
              <w:spacing w:after="0" w:line="144" w:lineRule="exact"/>
              <w:rPr>
                <w:sz w:val="20"/>
                <w:szCs w:val="20"/>
                <w:color w:val="auto"/>
              </w:rPr>
            </w:pPr>
            <w:r>
              <w:rPr>
                <w:rFonts w:ascii="Arial" w:cs="Arial" w:eastAsia="Arial" w:hAnsi="Arial"/>
                <w:sz w:val="13"/>
                <w:szCs w:val="13"/>
                <w:b w:val="1"/>
                <w:bCs w:val="1"/>
                <w:color w:val="auto"/>
              </w:rPr>
              <w:t>2020</w:t>
            </w:r>
          </w:p>
        </w:tc>
        <w:tc>
          <w:tcPr>
            <w:tcW w:w="1000" w:type="dxa"/>
            <w:vAlign w:val="bottom"/>
            <w:tcBorders>
              <w:bottom w:val="single" w:sz="8" w:color="auto"/>
            </w:tcBorders>
            <w:shd w:val="clear" w:color="auto" w:fill="CCEEFF"/>
          </w:tcPr>
          <w:p>
            <w:pPr>
              <w:jc w:val="right"/>
              <w:ind w:right="295"/>
              <w:spacing w:after="0" w:line="144" w:lineRule="exact"/>
              <w:rPr>
                <w:sz w:val="20"/>
                <w:szCs w:val="20"/>
                <w:color w:val="auto"/>
              </w:rPr>
            </w:pPr>
            <w:r>
              <w:rPr>
                <w:rFonts w:ascii="Arial" w:cs="Arial" w:eastAsia="Arial" w:hAnsi="Arial"/>
                <w:sz w:val="13"/>
                <w:szCs w:val="13"/>
                <w:color w:val="auto"/>
              </w:rPr>
              <w:t>2020</w:t>
            </w:r>
          </w:p>
        </w:tc>
        <w:tc>
          <w:tcPr>
            <w:tcW w:w="820" w:type="dxa"/>
            <w:vAlign w:val="bottom"/>
            <w:tcBorders>
              <w:bottom w:val="single" w:sz="8" w:color="auto"/>
            </w:tcBorders>
            <w:shd w:val="clear" w:color="auto" w:fill="CCEEFF"/>
          </w:tcPr>
          <w:p>
            <w:pPr>
              <w:jc w:val="right"/>
              <w:ind w:right="135"/>
              <w:spacing w:after="0" w:line="144" w:lineRule="exact"/>
              <w:rPr>
                <w:sz w:val="20"/>
                <w:szCs w:val="20"/>
                <w:color w:val="auto"/>
              </w:rPr>
            </w:pPr>
            <w:r>
              <w:rPr>
                <w:rFonts w:ascii="Arial" w:cs="Arial" w:eastAsia="Arial" w:hAnsi="Arial"/>
                <w:sz w:val="13"/>
                <w:szCs w:val="13"/>
                <w:color w:val="auto"/>
              </w:rPr>
              <w:t>2019</w:t>
            </w:r>
          </w:p>
        </w:tc>
      </w:tr>
    </w:tbl>
    <w:p>
      <w:pPr>
        <w:spacing w:after="0" w:line="1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The following initial and ultimate cost trend rate assumptions were used to determine the net periodic cost under the SERP Medical Plan:</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30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8"/>
              </w:rPr>
              <w:t>Medical Trend Rate</w:t>
            </w:r>
          </w:p>
        </w:tc>
        <w:tc>
          <w:tcPr>
            <w:tcW w:w="8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2"/>
          </w:tcPr>
          <w:p>
            <w:pPr>
              <w:jc w:val="right"/>
              <w:ind w:right="55"/>
              <w:spacing w:after="0"/>
              <w:rPr>
                <w:sz w:val="20"/>
                <w:szCs w:val="20"/>
                <w:color w:val="auto"/>
              </w:rPr>
            </w:pPr>
            <w:r>
              <w:rPr>
                <w:rFonts w:ascii="Arial" w:cs="Arial" w:eastAsia="Arial" w:hAnsi="Arial"/>
                <w:sz w:val="13"/>
                <w:szCs w:val="13"/>
                <w:b w:val="1"/>
                <w:bCs w:val="1"/>
                <w:color w:val="auto"/>
              </w:rPr>
              <w:t>Dental Trend Rate</w:t>
            </w:r>
          </w:p>
        </w:tc>
        <w:tc>
          <w:tcPr>
            <w:tcW w:w="820" w:type="dxa"/>
            <w:vAlign w:val="bottom"/>
            <w:tcBorders>
              <w:bottom w:val="single" w:sz="8" w:color="auto"/>
            </w:tcBorders>
          </w:tcPr>
          <w:p>
            <w:pPr>
              <w:spacing w:after="0"/>
              <w:rPr>
                <w:sz w:val="14"/>
                <w:szCs w:val="14"/>
                <w:color w:val="auto"/>
              </w:rPr>
            </w:pPr>
          </w:p>
        </w:tc>
      </w:tr>
      <w:tr>
        <w:trPr>
          <w:trHeight w:val="134"/>
        </w:trPr>
        <w:tc>
          <w:tcPr>
            <w:tcW w:w="30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275"/>
              <w:spacing w:after="0" w:line="134" w:lineRule="exact"/>
              <w:rPr>
                <w:sz w:val="20"/>
                <w:szCs w:val="20"/>
                <w:color w:val="auto"/>
              </w:rPr>
            </w:pPr>
            <w:r>
              <w:rPr>
                <w:rFonts w:ascii="Arial" w:cs="Arial" w:eastAsia="Arial" w:hAnsi="Arial"/>
                <w:sz w:val="13"/>
                <w:szCs w:val="13"/>
                <w:b w:val="1"/>
                <w:bCs w:val="1"/>
                <w:color w:val="auto"/>
              </w:rPr>
              <w:t>2020</w:t>
            </w:r>
          </w:p>
        </w:tc>
        <w:tc>
          <w:tcPr>
            <w:tcW w:w="1240" w:type="dxa"/>
            <w:vAlign w:val="bottom"/>
            <w:tcBorders>
              <w:bottom w:val="single" w:sz="8" w:color="auto"/>
            </w:tcBorders>
          </w:tcPr>
          <w:p>
            <w:pPr>
              <w:jc w:val="right"/>
              <w:ind w:right="555"/>
              <w:spacing w:after="0" w:line="134" w:lineRule="exact"/>
              <w:rPr>
                <w:sz w:val="20"/>
                <w:szCs w:val="20"/>
                <w:color w:val="auto"/>
              </w:rPr>
            </w:pPr>
            <w:r>
              <w:rPr>
                <w:rFonts w:ascii="Arial" w:cs="Arial" w:eastAsia="Arial" w:hAnsi="Arial"/>
                <w:sz w:val="13"/>
                <w:szCs w:val="13"/>
                <w:color w:val="auto"/>
              </w:rPr>
              <w:t>2019</w:t>
            </w:r>
          </w:p>
        </w:tc>
        <w:tc>
          <w:tcPr>
            <w:tcW w:w="840" w:type="dxa"/>
            <w:vAlign w:val="bottom"/>
            <w:tcBorders>
              <w:bottom w:val="single" w:sz="8" w:color="auto"/>
            </w:tcBorders>
          </w:tcPr>
          <w:p>
            <w:pPr>
              <w:jc w:val="right"/>
              <w:ind w:right="435"/>
              <w:spacing w:after="0" w:line="134" w:lineRule="exact"/>
              <w:rPr>
                <w:sz w:val="20"/>
                <w:szCs w:val="20"/>
                <w:color w:val="auto"/>
              </w:rPr>
            </w:pPr>
            <w:r>
              <w:rPr>
                <w:rFonts w:ascii="Arial" w:cs="Arial" w:eastAsia="Arial" w:hAnsi="Arial"/>
                <w:sz w:val="13"/>
                <w:szCs w:val="13"/>
                <w:color w:val="auto"/>
              </w:rPr>
              <w:t>2018</w:t>
            </w:r>
          </w:p>
        </w:tc>
        <w:tc>
          <w:tcPr>
            <w:tcW w:w="960" w:type="dxa"/>
            <w:vAlign w:val="bottom"/>
            <w:tcBorders>
              <w:bottom w:val="single" w:sz="8" w:color="auto"/>
            </w:tcBorders>
          </w:tcPr>
          <w:p>
            <w:pPr>
              <w:jc w:val="right"/>
              <w:ind w:right="435"/>
              <w:spacing w:after="0" w:line="134" w:lineRule="exact"/>
              <w:rPr>
                <w:sz w:val="20"/>
                <w:szCs w:val="20"/>
                <w:color w:val="auto"/>
              </w:rPr>
            </w:pPr>
            <w:r>
              <w:rPr>
                <w:rFonts w:ascii="Arial" w:cs="Arial" w:eastAsia="Arial" w:hAnsi="Arial"/>
                <w:sz w:val="13"/>
                <w:szCs w:val="13"/>
                <w:b w:val="1"/>
                <w:bCs w:val="1"/>
                <w:color w:val="auto"/>
              </w:rPr>
              <w:t>2020</w:t>
            </w:r>
          </w:p>
        </w:tc>
        <w:tc>
          <w:tcPr>
            <w:tcW w:w="1000" w:type="dxa"/>
            <w:vAlign w:val="bottom"/>
            <w:tcBorders>
              <w:bottom w:val="single" w:sz="8" w:color="auto"/>
            </w:tcBorders>
          </w:tcPr>
          <w:p>
            <w:pPr>
              <w:jc w:val="right"/>
              <w:ind w:right="475"/>
              <w:spacing w:after="0" w:line="134" w:lineRule="exact"/>
              <w:rPr>
                <w:sz w:val="20"/>
                <w:szCs w:val="20"/>
                <w:color w:val="auto"/>
              </w:rPr>
            </w:pPr>
            <w:r>
              <w:rPr>
                <w:rFonts w:ascii="Arial" w:cs="Arial" w:eastAsia="Arial" w:hAnsi="Arial"/>
                <w:sz w:val="13"/>
                <w:szCs w:val="13"/>
                <w:color w:val="auto"/>
              </w:rPr>
              <w:t>2019</w:t>
            </w:r>
          </w:p>
        </w:tc>
        <w:tc>
          <w:tcPr>
            <w:tcW w:w="820" w:type="dxa"/>
            <w:vAlign w:val="bottom"/>
            <w:tcBorders>
              <w:bottom w:val="single" w:sz="8" w:color="auto"/>
            </w:tcBorders>
          </w:tcPr>
          <w:p>
            <w:pPr>
              <w:jc w:val="right"/>
              <w:ind w:right="315"/>
              <w:spacing w:after="0" w:line="134" w:lineRule="exact"/>
              <w:rPr>
                <w:sz w:val="20"/>
                <w:szCs w:val="20"/>
                <w:color w:val="auto"/>
              </w:rPr>
            </w:pPr>
            <w:r>
              <w:rPr>
                <w:rFonts w:ascii="Arial" w:cs="Arial" w:eastAsia="Arial" w:hAnsi="Arial"/>
                <w:sz w:val="13"/>
                <w:szCs w:val="13"/>
                <w:color w:val="auto"/>
              </w:rPr>
              <w:t>2018</w:t>
            </w:r>
          </w:p>
        </w:tc>
      </w:tr>
      <w:tr>
        <w:trPr>
          <w:trHeight w:val="134"/>
        </w:trPr>
        <w:tc>
          <w:tcPr>
            <w:tcW w:w="308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Initial cost trend rate</w:t>
            </w:r>
          </w:p>
        </w:tc>
        <w:tc>
          <w:tcPr>
            <w:tcW w:w="100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6.5 %</w:t>
            </w:r>
          </w:p>
        </w:tc>
        <w:tc>
          <w:tcPr>
            <w:tcW w:w="1240" w:type="dxa"/>
            <w:vAlign w:val="bottom"/>
            <w:shd w:val="clear" w:color="auto" w:fill="CCEEFF"/>
          </w:tcPr>
          <w:p>
            <w:pPr>
              <w:jc w:val="right"/>
              <w:ind w:right="235"/>
              <w:spacing w:after="0" w:line="134" w:lineRule="exact"/>
              <w:rPr>
                <w:sz w:val="20"/>
                <w:szCs w:val="20"/>
                <w:color w:val="auto"/>
              </w:rPr>
            </w:pPr>
            <w:r>
              <w:rPr>
                <w:rFonts w:ascii="Arial" w:cs="Arial" w:eastAsia="Arial" w:hAnsi="Arial"/>
                <w:sz w:val="13"/>
                <w:szCs w:val="13"/>
                <w:color w:val="auto"/>
              </w:rPr>
              <w:t>6.5 %</w:t>
            </w:r>
          </w:p>
        </w:tc>
        <w:tc>
          <w:tcPr>
            <w:tcW w:w="840" w:type="dxa"/>
            <w:vAlign w:val="bottom"/>
            <w:shd w:val="clear" w:color="auto" w:fill="CCEEFF"/>
          </w:tcPr>
          <w:p>
            <w:pPr>
              <w:jc w:val="right"/>
              <w:ind w:right="115"/>
              <w:spacing w:after="0" w:line="134" w:lineRule="exact"/>
              <w:rPr>
                <w:sz w:val="20"/>
                <w:szCs w:val="20"/>
                <w:color w:val="auto"/>
              </w:rPr>
            </w:pPr>
            <w:r>
              <w:rPr>
                <w:rFonts w:ascii="Arial" w:cs="Arial" w:eastAsia="Arial" w:hAnsi="Arial"/>
                <w:sz w:val="13"/>
                <w:szCs w:val="13"/>
                <w:color w:val="auto"/>
              </w:rPr>
              <w:t>7.0 %</w:t>
            </w:r>
          </w:p>
        </w:tc>
        <w:tc>
          <w:tcPr>
            <w:tcW w:w="960" w:type="dxa"/>
            <w:vAlign w:val="bottom"/>
            <w:shd w:val="clear" w:color="auto" w:fill="CCEEFF"/>
          </w:tcPr>
          <w:p>
            <w:pPr>
              <w:jc w:val="right"/>
              <w:ind w:right="115"/>
              <w:spacing w:after="0" w:line="134" w:lineRule="exact"/>
              <w:rPr>
                <w:sz w:val="20"/>
                <w:szCs w:val="20"/>
                <w:color w:val="auto"/>
              </w:rPr>
            </w:pPr>
            <w:r>
              <w:rPr>
                <w:rFonts w:ascii="Arial" w:cs="Arial" w:eastAsia="Arial" w:hAnsi="Arial"/>
                <w:sz w:val="13"/>
                <w:szCs w:val="13"/>
                <w:b w:val="1"/>
                <w:bCs w:val="1"/>
                <w:color w:val="auto"/>
              </w:rPr>
              <w:t>5.0 %</w:t>
            </w:r>
          </w:p>
        </w:tc>
        <w:tc>
          <w:tcPr>
            <w:tcW w:w="1000" w:type="dxa"/>
            <w:vAlign w:val="bottom"/>
            <w:shd w:val="clear" w:color="auto" w:fill="CCEEFF"/>
          </w:tcPr>
          <w:p>
            <w:pPr>
              <w:jc w:val="right"/>
              <w:ind w:right="135"/>
              <w:spacing w:after="0" w:line="134" w:lineRule="exact"/>
              <w:rPr>
                <w:sz w:val="20"/>
                <w:szCs w:val="20"/>
                <w:color w:val="auto"/>
              </w:rPr>
            </w:pPr>
            <w:r>
              <w:rPr>
                <w:rFonts w:ascii="Arial" w:cs="Arial" w:eastAsia="Arial" w:hAnsi="Arial"/>
                <w:sz w:val="13"/>
                <w:szCs w:val="13"/>
                <w:color w:val="auto"/>
              </w:rPr>
              <w:t>5.0 %</w:t>
            </w:r>
          </w:p>
        </w:tc>
        <w:tc>
          <w:tcPr>
            <w:tcW w:w="82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5.0 %</w:t>
            </w:r>
          </w:p>
        </w:tc>
      </w:tr>
      <w:tr>
        <w:trPr>
          <w:trHeight w:val="144"/>
        </w:trPr>
        <w:tc>
          <w:tcPr>
            <w:tcW w:w="3080" w:type="dxa"/>
            <w:vAlign w:val="bottom"/>
          </w:tcPr>
          <w:p>
            <w:pPr>
              <w:spacing w:after="0" w:line="144" w:lineRule="exact"/>
              <w:rPr>
                <w:sz w:val="20"/>
                <w:szCs w:val="20"/>
                <w:color w:val="auto"/>
              </w:rPr>
            </w:pPr>
            <w:r>
              <w:rPr>
                <w:rFonts w:ascii="Arial" w:cs="Arial" w:eastAsia="Arial" w:hAnsi="Arial"/>
                <w:sz w:val="13"/>
                <w:szCs w:val="13"/>
                <w:color w:val="auto"/>
              </w:rPr>
              <w:t>Ultimate cost trend rate</w:t>
            </w:r>
          </w:p>
        </w:tc>
        <w:tc>
          <w:tcPr>
            <w:tcW w:w="100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5.0 %</w:t>
            </w:r>
          </w:p>
        </w:tc>
        <w:tc>
          <w:tcPr>
            <w:tcW w:w="1240" w:type="dxa"/>
            <w:vAlign w:val="bottom"/>
          </w:tcPr>
          <w:p>
            <w:pPr>
              <w:jc w:val="right"/>
              <w:ind w:right="235"/>
              <w:spacing w:after="0" w:line="144" w:lineRule="exact"/>
              <w:rPr>
                <w:sz w:val="20"/>
                <w:szCs w:val="20"/>
                <w:color w:val="auto"/>
              </w:rPr>
            </w:pPr>
            <w:r>
              <w:rPr>
                <w:rFonts w:ascii="Arial" w:cs="Arial" w:eastAsia="Arial" w:hAnsi="Arial"/>
                <w:sz w:val="13"/>
                <w:szCs w:val="13"/>
                <w:color w:val="auto"/>
              </w:rPr>
              <w:t>5.0 %</w:t>
            </w:r>
          </w:p>
        </w:tc>
        <w:tc>
          <w:tcPr>
            <w:tcW w:w="840" w:type="dxa"/>
            <w:vAlign w:val="bottom"/>
          </w:tcPr>
          <w:p>
            <w:pPr>
              <w:jc w:val="right"/>
              <w:ind w:right="115"/>
              <w:spacing w:after="0" w:line="144" w:lineRule="exact"/>
              <w:rPr>
                <w:sz w:val="20"/>
                <w:szCs w:val="20"/>
                <w:color w:val="auto"/>
              </w:rPr>
            </w:pPr>
            <w:r>
              <w:rPr>
                <w:rFonts w:ascii="Arial" w:cs="Arial" w:eastAsia="Arial" w:hAnsi="Arial"/>
                <w:sz w:val="13"/>
                <w:szCs w:val="13"/>
                <w:color w:val="auto"/>
              </w:rPr>
              <w:t>5.0 %</w:t>
            </w:r>
          </w:p>
        </w:tc>
        <w:tc>
          <w:tcPr>
            <w:tcW w:w="960" w:type="dxa"/>
            <w:vAlign w:val="bottom"/>
          </w:tcPr>
          <w:p>
            <w:pPr>
              <w:jc w:val="right"/>
              <w:ind w:right="115"/>
              <w:spacing w:after="0" w:line="144" w:lineRule="exact"/>
              <w:rPr>
                <w:sz w:val="20"/>
                <w:szCs w:val="20"/>
                <w:color w:val="auto"/>
              </w:rPr>
            </w:pPr>
            <w:r>
              <w:rPr>
                <w:rFonts w:ascii="Arial" w:cs="Arial" w:eastAsia="Arial" w:hAnsi="Arial"/>
                <w:sz w:val="13"/>
                <w:szCs w:val="13"/>
                <w:b w:val="1"/>
                <w:bCs w:val="1"/>
                <w:color w:val="auto"/>
              </w:rPr>
              <w:t>5.0 %</w:t>
            </w:r>
          </w:p>
        </w:tc>
        <w:tc>
          <w:tcPr>
            <w:tcW w:w="1000" w:type="dxa"/>
            <w:vAlign w:val="bottom"/>
          </w:tcPr>
          <w:p>
            <w:pPr>
              <w:jc w:val="right"/>
              <w:ind w:right="135"/>
              <w:spacing w:after="0" w:line="144" w:lineRule="exact"/>
              <w:rPr>
                <w:sz w:val="20"/>
                <w:szCs w:val="20"/>
                <w:color w:val="auto"/>
              </w:rPr>
            </w:pPr>
            <w:r>
              <w:rPr>
                <w:rFonts w:ascii="Arial" w:cs="Arial" w:eastAsia="Arial" w:hAnsi="Arial"/>
                <w:sz w:val="13"/>
                <w:szCs w:val="13"/>
                <w:color w:val="auto"/>
              </w:rPr>
              <w:t>5.0 %</w:t>
            </w:r>
          </w:p>
        </w:tc>
        <w:tc>
          <w:tcPr>
            <w:tcW w:w="820" w:type="dxa"/>
            <w:vAlign w:val="bottom"/>
          </w:tcPr>
          <w:p>
            <w:pPr>
              <w:jc w:val="right"/>
              <w:spacing w:after="0" w:line="144" w:lineRule="exact"/>
              <w:rPr>
                <w:sz w:val="20"/>
                <w:szCs w:val="20"/>
                <w:color w:val="auto"/>
              </w:rPr>
            </w:pPr>
            <w:r>
              <w:rPr>
                <w:rFonts w:ascii="Arial" w:cs="Arial" w:eastAsia="Arial" w:hAnsi="Arial"/>
                <w:sz w:val="13"/>
                <w:szCs w:val="13"/>
                <w:color w:val="auto"/>
              </w:rPr>
              <w:t>5.0 %</w:t>
            </w:r>
          </w:p>
        </w:tc>
      </w:tr>
      <w:tr>
        <w:trPr>
          <w:trHeight w:val="144"/>
        </w:trPr>
        <w:tc>
          <w:tcPr>
            <w:tcW w:w="3080" w:type="dxa"/>
            <w:vAlign w:val="bottom"/>
            <w:tcBorders>
              <w:bottom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rPr>
              <w:t>Year that the ultimate cost trend rate is reached</w:t>
            </w:r>
          </w:p>
        </w:tc>
        <w:tc>
          <w:tcPr>
            <w:tcW w:w="1000" w:type="dxa"/>
            <w:vAlign w:val="bottom"/>
            <w:tcBorders>
              <w:bottom w:val="single" w:sz="8" w:color="auto"/>
            </w:tcBorders>
            <w:shd w:val="clear" w:color="auto" w:fill="CCEEFF"/>
          </w:tcPr>
          <w:p>
            <w:pPr>
              <w:jc w:val="right"/>
              <w:ind w:right="95"/>
              <w:spacing w:after="0" w:line="144" w:lineRule="exact"/>
              <w:rPr>
                <w:sz w:val="20"/>
                <w:szCs w:val="20"/>
                <w:color w:val="auto"/>
              </w:rPr>
            </w:pPr>
            <w:r>
              <w:rPr>
                <w:rFonts w:ascii="Arial" w:cs="Arial" w:eastAsia="Arial" w:hAnsi="Arial"/>
                <w:sz w:val="13"/>
                <w:szCs w:val="13"/>
                <w:b w:val="1"/>
                <w:bCs w:val="1"/>
                <w:color w:val="auto"/>
              </w:rPr>
              <w:t>2025</w:t>
            </w:r>
          </w:p>
        </w:tc>
        <w:tc>
          <w:tcPr>
            <w:tcW w:w="1240" w:type="dxa"/>
            <w:vAlign w:val="bottom"/>
            <w:tcBorders>
              <w:bottom w:val="single" w:sz="8" w:color="auto"/>
            </w:tcBorders>
            <w:shd w:val="clear" w:color="auto" w:fill="CCEEFF"/>
          </w:tcPr>
          <w:p>
            <w:pPr>
              <w:jc w:val="right"/>
              <w:ind w:right="395"/>
              <w:spacing w:after="0" w:line="144" w:lineRule="exact"/>
              <w:rPr>
                <w:sz w:val="20"/>
                <w:szCs w:val="20"/>
                <w:color w:val="auto"/>
              </w:rPr>
            </w:pPr>
            <w:r>
              <w:rPr>
                <w:rFonts w:ascii="Arial" w:cs="Arial" w:eastAsia="Arial" w:hAnsi="Arial"/>
                <w:sz w:val="13"/>
                <w:szCs w:val="13"/>
                <w:color w:val="auto"/>
              </w:rPr>
              <w:t>2025</w:t>
            </w:r>
          </w:p>
        </w:tc>
        <w:tc>
          <w:tcPr>
            <w:tcW w:w="840" w:type="dxa"/>
            <w:vAlign w:val="bottom"/>
            <w:tcBorders>
              <w:bottom w:val="single" w:sz="8" w:color="auto"/>
            </w:tcBorders>
            <w:shd w:val="clear" w:color="auto" w:fill="CCEEFF"/>
          </w:tcPr>
          <w:p>
            <w:pPr>
              <w:jc w:val="right"/>
              <w:ind w:right="275"/>
              <w:spacing w:after="0" w:line="144" w:lineRule="exact"/>
              <w:rPr>
                <w:sz w:val="20"/>
                <w:szCs w:val="20"/>
                <w:color w:val="auto"/>
              </w:rPr>
            </w:pPr>
            <w:r>
              <w:rPr>
                <w:rFonts w:ascii="Arial" w:cs="Arial" w:eastAsia="Arial" w:hAnsi="Arial"/>
                <w:sz w:val="13"/>
                <w:szCs w:val="13"/>
                <w:color w:val="auto"/>
              </w:rPr>
              <w:t>2025</w:t>
            </w:r>
          </w:p>
        </w:tc>
        <w:tc>
          <w:tcPr>
            <w:tcW w:w="960" w:type="dxa"/>
            <w:vAlign w:val="bottom"/>
            <w:tcBorders>
              <w:bottom w:val="single" w:sz="8" w:color="auto"/>
            </w:tcBorders>
            <w:shd w:val="clear" w:color="auto" w:fill="CCEEFF"/>
          </w:tcPr>
          <w:p>
            <w:pPr>
              <w:jc w:val="right"/>
              <w:ind w:right="255"/>
              <w:spacing w:after="0" w:line="144" w:lineRule="exact"/>
              <w:rPr>
                <w:sz w:val="20"/>
                <w:szCs w:val="20"/>
                <w:color w:val="auto"/>
              </w:rPr>
            </w:pPr>
            <w:r>
              <w:rPr>
                <w:rFonts w:ascii="Arial" w:cs="Arial" w:eastAsia="Arial" w:hAnsi="Arial"/>
                <w:sz w:val="13"/>
                <w:szCs w:val="13"/>
                <w:b w:val="1"/>
                <w:bCs w:val="1"/>
                <w:color w:val="auto"/>
              </w:rPr>
              <w:t>2020</w:t>
            </w:r>
          </w:p>
        </w:tc>
        <w:tc>
          <w:tcPr>
            <w:tcW w:w="1000" w:type="dxa"/>
            <w:vAlign w:val="bottom"/>
            <w:tcBorders>
              <w:bottom w:val="single" w:sz="8" w:color="auto"/>
            </w:tcBorders>
            <w:shd w:val="clear" w:color="auto" w:fill="CCEEFF"/>
          </w:tcPr>
          <w:p>
            <w:pPr>
              <w:jc w:val="right"/>
              <w:ind w:right="295"/>
              <w:spacing w:after="0" w:line="144" w:lineRule="exact"/>
              <w:rPr>
                <w:sz w:val="20"/>
                <w:szCs w:val="20"/>
                <w:color w:val="auto"/>
              </w:rPr>
            </w:pPr>
            <w:r>
              <w:rPr>
                <w:rFonts w:ascii="Arial" w:cs="Arial" w:eastAsia="Arial" w:hAnsi="Arial"/>
                <w:sz w:val="13"/>
                <w:szCs w:val="13"/>
                <w:color w:val="auto"/>
              </w:rPr>
              <w:t>2019</w:t>
            </w:r>
          </w:p>
        </w:tc>
        <w:tc>
          <w:tcPr>
            <w:tcW w:w="820" w:type="dxa"/>
            <w:vAlign w:val="bottom"/>
            <w:tcBorders>
              <w:bottom w:val="single" w:sz="8" w:color="auto"/>
            </w:tcBorders>
            <w:shd w:val="clear" w:color="auto" w:fill="CCEEFF"/>
          </w:tcPr>
          <w:p>
            <w:pPr>
              <w:jc w:val="right"/>
              <w:ind w:right="135"/>
              <w:spacing w:after="0" w:line="144" w:lineRule="exact"/>
              <w:rPr>
                <w:sz w:val="20"/>
                <w:szCs w:val="20"/>
                <w:color w:val="auto"/>
              </w:rPr>
            </w:pPr>
            <w:r>
              <w:rPr>
                <w:rFonts w:ascii="Arial" w:cs="Arial" w:eastAsia="Arial" w:hAnsi="Arial"/>
                <w:sz w:val="13"/>
                <w:szCs w:val="13"/>
                <w:color w:val="auto"/>
              </w:rPr>
              <w:t>2018</w:t>
            </w:r>
          </w:p>
        </w:tc>
      </w:tr>
    </w:tbl>
    <w:p>
      <w:pPr>
        <w:spacing w:after="0" w:line="139" w:lineRule="exact"/>
        <w:rPr>
          <w:sz w:val="20"/>
          <w:szCs w:val="20"/>
          <w:color w:val="auto"/>
        </w:rPr>
      </w:pPr>
    </w:p>
    <w:p>
      <w:pPr>
        <w:jc w:val="both"/>
        <w:ind w:left="20" w:right="39"/>
        <w:spacing w:after="0" w:line="233" w:lineRule="auto"/>
        <w:rPr>
          <w:sz w:val="20"/>
          <w:szCs w:val="20"/>
          <w:color w:val="auto"/>
        </w:rPr>
      </w:pPr>
      <w:r>
        <w:rPr>
          <w:rFonts w:ascii="Arial" w:cs="Arial" w:eastAsia="Arial" w:hAnsi="Arial"/>
          <w:sz w:val="13"/>
          <w:szCs w:val="13"/>
          <w:color w:val="auto"/>
        </w:rPr>
        <w:t>The mortality assumption used to value the 2020 U.S. pension obligations was the Pri-2012 mortality table with generational projection using MP-2020 for both males and females, while in the prior year the obligation was valued using the Pri-2012 mortality table with generational projection using MP-2019. For years ended January 30, 2021 and February 1, 2020, we used the 2014 CPM Private Sector mortality table projected generationally with Scale CPM-B for both males and females to value its Canadian pension obligations for 2020. For the SERP Medical Plan, the mortality assumption used to value the 2020 obligation was updated to the PriH-2012 table with generational projection using MP-2020, while in the prior year the obligation was valued using the PriH-2012 table with generational projection using MP-2019.</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Plan Assets</w:t>
      </w:r>
    </w:p>
    <w:p>
      <w:pPr>
        <w:spacing w:after="0" w:line="141" w:lineRule="exact"/>
        <w:rPr>
          <w:sz w:val="20"/>
          <w:szCs w:val="20"/>
          <w:color w:val="auto"/>
        </w:rPr>
      </w:pPr>
    </w:p>
    <w:p>
      <w:pPr>
        <w:jc w:val="both"/>
        <w:ind w:left="20" w:right="39"/>
        <w:spacing w:after="0" w:line="235" w:lineRule="auto"/>
        <w:rPr>
          <w:sz w:val="20"/>
          <w:szCs w:val="20"/>
          <w:color w:val="auto"/>
        </w:rPr>
      </w:pPr>
      <w:r>
        <w:rPr>
          <w:rFonts w:ascii="Arial" w:cs="Arial" w:eastAsia="Arial" w:hAnsi="Arial"/>
          <w:sz w:val="13"/>
          <w:szCs w:val="13"/>
          <w:color w:val="auto"/>
        </w:rPr>
        <w:t>The target composition of our Canadian qualified pension plan assets is 95 percent fixed-income securities and 5 percent equities. We believe plan assets are invested in a conservative manner with the same overall objective and investment strategy as noted below for the U.S. pension plan. The bond portfolio is comprised of government and corporate bonds chosen to match the duration of the pension plan’s benefit payment obligations. This current asset allocation will limit future volatility with regard to the funded status of the plan.</w:t>
      </w:r>
    </w:p>
    <w:p>
      <w:pPr>
        <w:spacing w:after="0" w:line="112" w:lineRule="exact"/>
        <w:rPr>
          <w:sz w:val="20"/>
          <w:szCs w:val="20"/>
          <w:color w:val="auto"/>
        </w:rPr>
      </w:pPr>
    </w:p>
    <w:p>
      <w:pPr>
        <w:jc w:val="both"/>
        <w:ind w:left="20" w:right="39"/>
        <w:spacing w:after="0" w:line="234" w:lineRule="auto"/>
        <w:rPr>
          <w:sz w:val="20"/>
          <w:szCs w:val="20"/>
          <w:color w:val="auto"/>
        </w:rPr>
      </w:pPr>
      <w:r>
        <w:rPr>
          <w:rFonts w:ascii="Arial" w:cs="Arial" w:eastAsia="Arial" w:hAnsi="Arial"/>
          <w:sz w:val="13"/>
          <w:szCs w:val="13"/>
          <w:color w:val="auto"/>
        </w:rPr>
        <w:t>The target composition of our U.S. qualified pension plan assets is 60 percent fixed-income securities, 36.5 percent equities, and 3.5 percent real estate. We may alter the asset allocation targets from time to time depending on market conditions and the funding requirements of the pension plan. This current asset allocation has and is expected to limit volatility with regard to the funded status of the plan, but may result in higher pension expense due to the lower long-term rate of return associated with fixed-income securities. Due to market conditions and other factors, actual asset allocations may vary from the target allocation outlined above.</w:t>
      </w:r>
    </w:p>
    <w:p>
      <w:pPr>
        <w:spacing w:after="0" w:line="123" w:lineRule="exact"/>
        <w:rPr>
          <w:sz w:val="20"/>
          <w:szCs w:val="20"/>
          <w:color w:val="auto"/>
        </w:rPr>
      </w:pPr>
    </w:p>
    <w:p>
      <w:pPr>
        <w:jc w:val="both"/>
        <w:ind w:left="20" w:right="39"/>
        <w:spacing w:after="0" w:line="234" w:lineRule="auto"/>
        <w:rPr>
          <w:sz w:val="20"/>
          <w:szCs w:val="20"/>
          <w:color w:val="auto"/>
        </w:rPr>
      </w:pPr>
      <w:r>
        <w:rPr>
          <w:rFonts w:ascii="Arial" w:cs="Arial" w:eastAsia="Arial" w:hAnsi="Arial"/>
          <w:sz w:val="13"/>
          <w:szCs w:val="13"/>
          <w:color w:val="auto"/>
        </w:rPr>
        <w:t>We believe plan assets are invested in a conservative manner with an objective of providing a total return that, over the long term, provides sufficient assets to fund benefit obligations, taking into account our expected contributions and the level of funding risk deemed appropriate. Our investment strategy seeks to diversify assets among classes of investments with differing rates of return, volatility, and correlation in order to reduce funding risk. Diversification within asset classes is also utilized to ensure that there are no significant concentrations of risk in plan assets and to reduce the effect that the return on any single investment may have on the entire portfolio.</w:t>
      </w:r>
    </w:p>
    <w:p>
      <w:pPr>
        <w:spacing w:after="0" w:line="389" w:lineRule="exact"/>
        <w:rPr>
          <w:sz w:val="20"/>
          <w:szCs w:val="20"/>
          <w:color w:val="auto"/>
        </w:rPr>
      </w:pPr>
    </w:p>
    <w:p>
      <w:pPr>
        <w:ind w:left="7520"/>
        <w:spacing w:after="0"/>
        <w:rPr>
          <w:sz w:val="20"/>
          <w:szCs w:val="20"/>
          <w:color w:val="auto"/>
        </w:rPr>
      </w:pPr>
      <w:r>
        <w:rPr>
          <w:rFonts w:ascii="Arial" w:cs="Arial" w:eastAsia="Arial" w:hAnsi="Arial"/>
          <w:sz w:val="12"/>
          <w:szCs w:val="12"/>
          <w:color w:val="auto"/>
        </w:rPr>
        <w:t>2020 Form 10-K Page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365125</wp:posOffset>
            </wp:positionV>
            <wp:extent cx="5680075" cy="196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80075" cy="19685"/>
                    </a:xfrm>
                    <a:prstGeom prst="rect">
                      <a:avLst/>
                    </a:prstGeom>
                    <a:noFill/>
                  </pic:spPr>
                </pic:pic>
              </a:graphicData>
            </a:graphic>
          </wp:anchor>
        </w:drawing>
      </w:r>
    </w:p>
    <w:p>
      <w:pPr>
        <w:sectPr>
          <w:pgSz w:w="11900" w:h="16838" w:orient="portrait"/>
          <w:cols w:equalWidth="0" w:num="1">
            <w:col w:w="9019"/>
          </w:cols>
          <w:pgMar w:left="1440" w:top="995" w:right="1440" w:bottom="1440" w:gutter="0" w:footer="0" w:header="0"/>
        </w:sectPr>
      </w:pPr>
    </w:p>
    <w:bookmarkStart w:id="70" w:name="page71"/>
    <w:bookmarkEnd w:id="70"/>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2992755</wp:posOffset>
            </wp:positionH>
            <wp:positionV relativeFrom="page">
              <wp:posOffset>375285</wp:posOffset>
            </wp:positionV>
            <wp:extent cx="1563370" cy="169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1563370" cy="169545"/>
                    </a:xfrm>
                    <a:prstGeom prst="rect">
                      <a:avLst/>
                    </a:prstGeom>
                    <a:noFill/>
                  </pic:spPr>
                </pic:pic>
              </a:graphicData>
            </a:graphic>
          </wp:anchor>
        </w:drawing>
        <w:t>NOTES TO CONSOLIDATED FINANCIAL STATEMENTS</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Valuation of Investments</w:t>
      </w:r>
    </w:p>
    <w:p>
      <w:pPr>
        <w:spacing w:after="0" w:line="131" w:lineRule="exact"/>
        <w:rPr>
          <w:sz w:val="20"/>
          <w:szCs w:val="20"/>
          <w:color w:val="auto"/>
        </w:rPr>
      </w:pPr>
    </w:p>
    <w:p>
      <w:pPr>
        <w:jc w:val="both"/>
        <w:ind w:left="20" w:right="39"/>
        <w:spacing w:after="0" w:line="236" w:lineRule="auto"/>
        <w:rPr>
          <w:sz w:val="20"/>
          <w:szCs w:val="20"/>
          <w:color w:val="auto"/>
        </w:rPr>
      </w:pPr>
      <w:r>
        <w:rPr>
          <w:rFonts w:ascii="Arial" w:cs="Arial" w:eastAsia="Arial" w:hAnsi="Arial"/>
          <w:sz w:val="13"/>
          <w:szCs w:val="13"/>
          <w:color w:val="auto"/>
        </w:rPr>
        <w:t>Significant portions of plan assets are invested in commingled trust funds. These funds are valued at the net asset value of units held by the plan at year end. Stocks traded on U.S. and Canadian security exchanges are valued at closing market prices on the measurement date. The fair values of the Canadian pension plan assets at January 30, 2021 and February 1, 2020 were as follows:</w:t>
      </w:r>
    </w:p>
    <w:p>
      <w:pPr>
        <w:spacing w:after="0" w:line="117"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2660" w:type="dxa"/>
            <w:vAlign w:val="bottom"/>
            <w:gridSpan w:val="2"/>
          </w:tcPr>
          <w:p>
            <w:pPr>
              <w:spacing w:after="0"/>
              <w:rPr>
                <w:sz w:val="20"/>
                <w:szCs w:val="20"/>
                <w:color w:val="auto"/>
              </w:rPr>
            </w:pPr>
            <w:r>
              <w:rPr>
                <w:rFonts w:ascii="Arial" w:cs="Arial" w:eastAsia="Arial" w:hAnsi="Arial"/>
                <w:sz w:val="13"/>
                <w:szCs w:val="13"/>
                <w:color w:val="auto"/>
              </w:rPr>
              <w:t>($ in millions)</w:t>
            </w:r>
          </w:p>
        </w:tc>
        <w:tc>
          <w:tcPr>
            <w:tcW w:w="1040" w:type="dxa"/>
            <w:vAlign w:val="bottom"/>
          </w:tcPr>
          <w:p>
            <w:pPr>
              <w:spacing w:after="0"/>
              <w:rPr>
                <w:sz w:val="14"/>
                <w:szCs w:val="14"/>
                <w:color w:val="auto"/>
              </w:rPr>
            </w:pPr>
          </w:p>
        </w:tc>
        <w:tc>
          <w:tcPr>
            <w:tcW w:w="840" w:type="dxa"/>
            <w:vAlign w:val="bottom"/>
          </w:tcPr>
          <w:p>
            <w:pPr>
              <w:jc w:val="right"/>
              <w:ind w:right="255"/>
              <w:spacing w:after="0"/>
              <w:rPr>
                <w:sz w:val="20"/>
                <w:szCs w:val="20"/>
                <w:color w:val="auto"/>
              </w:rPr>
            </w:pPr>
            <w:r>
              <w:rPr>
                <w:rFonts w:ascii="Arial" w:cs="Arial" w:eastAsia="Arial" w:hAnsi="Arial"/>
                <w:sz w:val="13"/>
                <w:szCs w:val="13"/>
                <w:b w:val="1"/>
                <w:bCs w:val="1"/>
                <w:color w:val="auto"/>
              </w:rPr>
              <w:t>Level 1</w:t>
            </w:r>
          </w:p>
        </w:tc>
        <w:tc>
          <w:tcPr>
            <w:tcW w:w="260" w:type="dxa"/>
            <w:vAlign w:val="bottom"/>
          </w:tcPr>
          <w:p>
            <w:pPr>
              <w:spacing w:after="0"/>
              <w:rPr>
                <w:sz w:val="14"/>
                <w:szCs w:val="14"/>
                <w:color w:val="auto"/>
              </w:rPr>
            </w:pPr>
          </w:p>
        </w:tc>
        <w:tc>
          <w:tcPr>
            <w:tcW w:w="840" w:type="dxa"/>
            <w:vAlign w:val="bottom"/>
          </w:tcPr>
          <w:p>
            <w:pPr>
              <w:jc w:val="right"/>
              <w:ind w:right="235"/>
              <w:spacing w:after="0"/>
              <w:rPr>
                <w:sz w:val="20"/>
                <w:szCs w:val="20"/>
                <w:color w:val="auto"/>
              </w:rPr>
            </w:pPr>
            <w:r>
              <w:rPr>
                <w:rFonts w:ascii="Arial" w:cs="Arial" w:eastAsia="Arial" w:hAnsi="Arial"/>
                <w:sz w:val="13"/>
                <w:szCs w:val="13"/>
                <w:b w:val="1"/>
                <w:bCs w:val="1"/>
                <w:color w:val="auto"/>
              </w:rPr>
              <w:t>Level 2</w:t>
            </w:r>
          </w:p>
        </w:tc>
        <w:tc>
          <w:tcPr>
            <w:tcW w:w="280" w:type="dxa"/>
            <w:vAlign w:val="bottom"/>
          </w:tcPr>
          <w:p>
            <w:pPr>
              <w:spacing w:after="0"/>
              <w:rPr>
                <w:sz w:val="14"/>
                <w:szCs w:val="14"/>
                <w:color w:val="auto"/>
              </w:rPr>
            </w:pPr>
          </w:p>
        </w:tc>
        <w:tc>
          <w:tcPr>
            <w:tcW w:w="860" w:type="dxa"/>
            <w:vAlign w:val="bottom"/>
          </w:tcPr>
          <w:p>
            <w:pPr>
              <w:ind w:left="100"/>
              <w:spacing w:after="0"/>
              <w:rPr>
                <w:sz w:val="20"/>
                <w:szCs w:val="20"/>
                <w:color w:val="auto"/>
              </w:rPr>
            </w:pPr>
            <w:r>
              <w:rPr>
                <w:rFonts w:ascii="Arial" w:cs="Arial" w:eastAsia="Arial" w:hAnsi="Arial"/>
                <w:sz w:val="13"/>
                <w:szCs w:val="13"/>
                <w:b w:val="1"/>
                <w:bCs w:val="1"/>
                <w:color w:val="auto"/>
              </w:rPr>
              <w:t>Level 3</w:t>
            </w:r>
          </w:p>
        </w:tc>
        <w:tc>
          <w:tcPr>
            <w:tcW w:w="220" w:type="dxa"/>
            <w:vAlign w:val="bottom"/>
          </w:tcPr>
          <w:p>
            <w:pPr>
              <w:spacing w:after="0"/>
              <w:rPr>
                <w:sz w:val="14"/>
                <w:szCs w:val="14"/>
                <w:color w:val="auto"/>
              </w:rPr>
            </w:pPr>
          </w:p>
        </w:tc>
        <w:tc>
          <w:tcPr>
            <w:tcW w:w="900" w:type="dxa"/>
            <w:vAlign w:val="bottom"/>
          </w:tcPr>
          <w:p>
            <w:pPr>
              <w:jc w:val="right"/>
              <w:ind w:right="155"/>
              <w:spacing w:after="0"/>
              <w:rPr>
                <w:sz w:val="20"/>
                <w:szCs w:val="20"/>
                <w:color w:val="auto"/>
              </w:rPr>
            </w:pPr>
            <w:r>
              <w:rPr>
                <w:rFonts w:ascii="Arial" w:cs="Arial" w:eastAsia="Arial" w:hAnsi="Arial"/>
                <w:sz w:val="13"/>
                <w:szCs w:val="13"/>
                <w:b w:val="1"/>
                <w:bCs w:val="1"/>
                <w:color w:val="auto"/>
              </w:rPr>
              <w:t>2020 Total</w:t>
            </w:r>
          </w:p>
        </w:tc>
        <w:tc>
          <w:tcPr>
            <w:tcW w:w="220" w:type="dxa"/>
            <w:vAlign w:val="bottom"/>
          </w:tcPr>
          <w:p>
            <w:pPr>
              <w:spacing w:after="0"/>
              <w:rPr>
                <w:sz w:val="14"/>
                <w:szCs w:val="14"/>
                <w:color w:val="auto"/>
              </w:rPr>
            </w:pPr>
          </w:p>
        </w:tc>
        <w:tc>
          <w:tcPr>
            <w:tcW w:w="820" w:type="dxa"/>
            <w:vAlign w:val="bottom"/>
          </w:tcPr>
          <w:p>
            <w:pPr>
              <w:jc w:val="right"/>
              <w:ind w:right="75"/>
              <w:spacing w:after="0"/>
              <w:rPr>
                <w:sz w:val="20"/>
                <w:szCs w:val="20"/>
                <w:color w:val="auto"/>
              </w:rPr>
            </w:pPr>
            <w:r>
              <w:rPr>
                <w:rFonts w:ascii="Arial" w:cs="Arial" w:eastAsia="Arial" w:hAnsi="Arial"/>
                <w:sz w:val="13"/>
                <w:szCs w:val="13"/>
                <w:color w:val="auto"/>
                <w:w w:val="99"/>
              </w:rPr>
              <w:t>2019 Total*</w:t>
            </w:r>
          </w:p>
        </w:tc>
      </w:tr>
      <w:tr>
        <w:trPr>
          <w:trHeight w:val="134"/>
        </w:trPr>
        <w:tc>
          <w:tcPr>
            <w:tcW w:w="20" w:type="dxa"/>
            <w:vAlign w:val="bottom"/>
          </w:tcPr>
          <w:p>
            <w:pPr>
              <w:spacing w:after="0"/>
              <w:rPr>
                <w:sz w:val="11"/>
                <w:szCs w:val="11"/>
                <w:color w:val="auto"/>
              </w:rPr>
            </w:pPr>
          </w:p>
        </w:tc>
        <w:tc>
          <w:tcPr>
            <w:tcW w:w="2640" w:type="dxa"/>
            <w:vAlign w:val="bottom"/>
            <w:tcBorders>
              <w:top w:val="single" w:sz="8" w:color="auto"/>
            </w:tcBorders>
            <w:shd w:val="clear" w:color="auto" w:fill="CCEEFF"/>
          </w:tcPr>
          <w:p>
            <w:pPr>
              <w:spacing w:after="0" w:line="134" w:lineRule="exact"/>
              <w:rPr>
                <w:sz w:val="20"/>
                <w:szCs w:val="20"/>
                <w:color w:val="auto"/>
              </w:rPr>
            </w:pPr>
            <w:r>
              <w:rPr>
                <w:rFonts w:ascii="Arial" w:cs="Arial" w:eastAsia="Arial" w:hAnsi="Arial"/>
                <w:sz w:val="13"/>
                <w:szCs w:val="13"/>
                <w:color w:val="auto"/>
              </w:rPr>
              <w:t>Cash equivalents</w:t>
            </w:r>
          </w:p>
        </w:tc>
        <w:tc>
          <w:tcPr>
            <w:tcW w:w="1040" w:type="dxa"/>
            <w:vAlign w:val="bottom"/>
            <w:tcBorders>
              <w:top w:val="single" w:sz="8" w:color="auto"/>
            </w:tcBorders>
            <w:shd w:val="clear" w:color="auto" w:fill="CCEEFF"/>
          </w:tcPr>
          <w:p>
            <w:pPr>
              <w:jc w:val="right"/>
              <w:ind w:right="15"/>
              <w:spacing w:after="0" w:line="134" w:lineRule="exact"/>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shd w:val="clear" w:color="auto" w:fill="CCEEFF"/>
          </w:tcPr>
          <w:p>
            <w:pPr>
              <w:jc w:val="right"/>
              <w:ind w:right="55"/>
              <w:spacing w:after="0" w:line="134" w:lineRule="exact"/>
              <w:rPr>
                <w:sz w:val="20"/>
                <w:szCs w:val="20"/>
                <w:color w:val="auto"/>
              </w:rPr>
            </w:pPr>
            <w:r>
              <w:rPr>
                <w:rFonts w:ascii="Arial" w:cs="Arial" w:eastAsia="Arial" w:hAnsi="Arial"/>
                <w:sz w:val="13"/>
                <w:szCs w:val="13"/>
                <w:color w:val="auto"/>
              </w:rPr>
              <w:t>—</w:t>
            </w:r>
          </w:p>
        </w:tc>
        <w:tc>
          <w:tcPr>
            <w:tcW w:w="260" w:type="dxa"/>
            <w:vAlign w:val="bottom"/>
            <w:tcBorders>
              <w:top w:val="single" w:sz="8" w:color="auto"/>
            </w:tcBorders>
            <w:shd w:val="clear" w:color="auto" w:fill="CCEEFF"/>
          </w:tcPr>
          <w:p>
            <w:pPr>
              <w:jc w:val="right"/>
              <w:ind w:right="15"/>
              <w:spacing w:after="0" w:line="134" w:lineRule="exact"/>
              <w:rPr>
                <w:sz w:val="20"/>
                <w:szCs w:val="20"/>
                <w:color w:val="auto"/>
              </w:rPr>
            </w:pPr>
            <w:r>
              <w:rPr>
                <w:rFonts w:ascii="Arial" w:cs="Arial" w:eastAsia="Arial" w:hAnsi="Arial"/>
                <w:sz w:val="13"/>
                <w:szCs w:val="13"/>
                <w:color w:val="auto"/>
              </w:rPr>
              <w:t>$</w:t>
            </w:r>
          </w:p>
        </w:tc>
        <w:tc>
          <w:tcPr>
            <w:tcW w:w="840" w:type="dxa"/>
            <w:vAlign w:val="bottom"/>
            <w:tcBorders>
              <w:top w:val="single" w:sz="8" w:color="auto"/>
            </w:tcBorders>
            <w:shd w:val="clear" w:color="auto" w:fill="CCEEFF"/>
          </w:tcPr>
          <w:p>
            <w:pPr>
              <w:jc w:val="right"/>
              <w:ind w:right="35"/>
              <w:spacing w:after="0" w:line="134" w:lineRule="exact"/>
              <w:rPr>
                <w:sz w:val="20"/>
                <w:szCs w:val="20"/>
                <w:color w:val="auto"/>
              </w:rPr>
            </w:pPr>
            <w:r>
              <w:rPr>
                <w:rFonts w:ascii="Arial" w:cs="Arial" w:eastAsia="Arial" w:hAnsi="Arial"/>
                <w:sz w:val="13"/>
                <w:szCs w:val="13"/>
                <w:color w:val="auto"/>
              </w:rPr>
              <w:t>—</w:t>
            </w:r>
          </w:p>
        </w:tc>
        <w:tc>
          <w:tcPr>
            <w:tcW w:w="280" w:type="dxa"/>
            <w:vAlign w:val="bottom"/>
            <w:tcBorders>
              <w:top w:val="single" w:sz="8" w:color="auto"/>
            </w:tcBorders>
            <w:shd w:val="clear" w:color="auto" w:fill="CCEEFF"/>
          </w:tcPr>
          <w:p>
            <w:pPr>
              <w:jc w:val="right"/>
              <w:ind w:right="15"/>
              <w:spacing w:after="0" w:line="134" w:lineRule="exact"/>
              <w:rPr>
                <w:sz w:val="20"/>
                <w:szCs w:val="20"/>
                <w:color w:val="auto"/>
              </w:rPr>
            </w:pPr>
            <w:r>
              <w:rPr>
                <w:rFonts w:ascii="Arial" w:cs="Arial" w:eastAsia="Arial" w:hAnsi="Arial"/>
                <w:sz w:val="13"/>
                <w:szCs w:val="13"/>
                <w:color w:val="auto"/>
              </w:rPr>
              <w:t>$</w:t>
            </w:r>
          </w:p>
        </w:tc>
        <w:tc>
          <w:tcPr>
            <w:tcW w:w="860" w:type="dxa"/>
            <w:vAlign w:val="bottom"/>
            <w:tcBorders>
              <w:top w:val="single" w:sz="8" w:color="auto"/>
            </w:tcBorders>
            <w:shd w:val="clear" w:color="auto" w:fill="CCEEFF"/>
          </w:tcPr>
          <w:p>
            <w:pPr>
              <w:ind w:left="600"/>
              <w:spacing w:after="0" w:line="134" w:lineRule="exact"/>
              <w:rPr>
                <w:sz w:val="20"/>
                <w:szCs w:val="20"/>
                <w:color w:val="auto"/>
              </w:rPr>
            </w:pPr>
            <w:r>
              <w:rPr>
                <w:rFonts w:ascii="Arial" w:cs="Arial" w:eastAsia="Arial" w:hAnsi="Arial"/>
                <w:sz w:val="13"/>
                <w:szCs w:val="13"/>
                <w:color w:val="auto"/>
              </w:rPr>
              <w:t>—</w:t>
            </w:r>
          </w:p>
        </w:tc>
        <w:tc>
          <w:tcPr>
            <w:tcW w:w="22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w:t>
            </w:r>
          </w:p>
        </w:tc>
        <w:tc>
          <w:tcPr>
            <w:tcW w:w="900" w:type="dxa"/>
            <w:vAlign w:val="bottom"/>
            <w:tcBorders>
              <w:top w:val="single" w:sz="8" w:color="auto"/>
            </w:tcBorders>
            <w:shd w:val="clear" w:color="auto" w:fill="CCEEFF"/>
          </w:tcPr>
          <w:p>
            <w:pPr>
              <w:jc w:val="right"/>
              <w:ind w:right="55"/>
              <w:spacing w:after="0" w:line="134" w:lineRule="exact"/>
              <w:rPr>
                <w:sz w:val="20"/>
                <w:szCs w:val="20"/>
                <w:color w:val="auto"/>
              </w:rPr>
            </w:pPr>
            <w:r>
              <w:rPr>
                <w:rFonts w:ascii="Arial" w:cs="Arial" w:eastAsia="Arial" w:hAnsi="Arial"/>
                <w:sz w:val="13"/>
                <w:szCs w:val="13"/>
                <w:b w:val="1"/>
                <w:bCs w:val="1"/>
                <w:color w:val="auto"/>
              </w:rPr>
              <w:t>—</w:t>
            </w:r>
          </w:p>
        </w:tc>
        <w:tc>
          <w:tcPr>
            <w:tcW w:w="22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82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1</w:t>
            </w:r>
          </w:p>
        </w:tc>
      </w:tr>
      <w:tr>
        <w:trPr>
          <w:trHeight w:val="144"/>
        </w:trPr>
        <w:tc>
          <w:tcPr>
            <w:tcW w:w="20" w:type="dxa"/>
            <w:vAlign w:val="bottom"/>
          </w:tcPr>
          <w:p>
            <w:pPr>
              <w:spacing w:after="0"/>
              <w:rPr>
                <w:sz w:val="12"/>
                <w:szCs w:val="12"/>
                <w:color w:val="auto"/>
              </w:rPr>
            </w:pPr>
          </w:p>
        </w:tc>
        <w:tc>
          <w:tcPr>
            <w:tcW w:w="2640" w:type="dxa"/>
            <w:vAlign w:val="bottom"/>
          </w:tcPr>
          <w:p>
            <w:pPr>
              <w:spacing w:after="0" w:line="144" w:lineRule="exact"/>
              <w:rPr>
                <w:sz w:val="20"/>
                <w:szCs w:val="20"/>
                <w:color w:val="auto"/>
              </w:rPr>
            </w:pPr>
            <w:r>
              <w:rPr>
                <w:rFonts w:ascii="Arial" w:cs="Arial" w:eastAsia="Arial" w:hAnsi="Arial"/>
                <w:sz w:val="13"/>
                <w:szCs w:val="13"/>
                <w:color w:val="auto"/>
              </w:rPr>
              <w:t>Equity securities:</w:t>
            </w:r>
          </w:p>
        </w:tc>
        <w:tc>
          <w:tcPr>
            <w:tcW w:w="1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2640" w:type="dxa"/>
            <w:vAlign w:val="bottom"/>
            <w:shd w:val="clear" w:color="auto" w:fill="CCEEFF"/>
          </w:tcPr>
          <w:p>
            <w:pPr>
              <w:ind w:left="60"/>
              <w:spacing w:after="0" w:line="144" w:lineRule="exact"/>
              <w:rPr>
                <w:sz w:val="20"/>
                <w:szCs w:val="20"/>
                <w:color w:val="auto"/>
              </w:rPr>
            </w:pPr>
            <w:r>
              <w:rPr>
                <w:rFonts w:ascii="Arial" w:cs="Arial" w:eastAsia="Arial" w:hAnsi="Arial"/>
                <w:sz w:val="11"/>
                <w:szCs w:val="11"/>
                <w:color w:val="auto"/>
              </w:rPr>
              <w:t xml:space="preserve">Canadian and international </w:t>
            </w:r>
            <w:r>
              <w:rPr>
                <w:rFonts w:ascii="Arial" w:cs="Arial" w:eastAsia="Arial" w:hAnsi="Arial"/>
                <w:sz w:val="16"/>
                <w:szCs w:val="16"/>
                <w:color w:val="auto"/>
                <w:vertAlign w:val="superscript"/>
              </w:rPr>
              <w:t>(1)</w:t>
            </w:r>
          </w:p>
        </w:tc>
        <w:tc>
          <w:tcPr>
            <w:tcW w:w="10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3</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35"/>
              <w:spacing w:after="0" w:line="144" w:lineRule="exact"/>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spacing w:after="0"/>
              <w:rPr>
                <w:sz w:val="12"/>
                <w:szCs w:val="12"/>
                <w:color w:val="auto"/>
              </w:rPr>
            </w:pPr>
          </w:p>
        </w:tc>
        <w:tc>
          <w:tcPr>
            <w:tcW w:w="860" w:type="dxa"/>
            <w:vAlign w:val="bottom"/>
            <w:shd w:val="clear" w:color="auto" w:fill="CCEEFF"/>
          </w:tcPr>
          <w:p>
            <w:pPr>
              <w:ind w:left="600"/>
              <w:spacing w:after="0" w:line="144"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b w:val="1"/>
                <w:bCs w:val="1"/>
                <w:color w:val="auto"/>
              </w:rPr>
              <w:t>3</w:t>
            </w: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w:t>
            </w:r>
          </w:p>
        </w:tc>
      </w:tr>
      <w:tr>
        <w:trPr>
          <w:trHeight w:val="144"/>
        </w:trPr>
        <w:tc>
          <w:tcPr>
            <w:tcW w:w="20" w:type="dxa"/>
            <w:vAlign w:val="bottom"/>
          </w:tcPr>
          <w:p>
            <w:pPr>
              <w:spacing w:after="0"/>
              <w:rPr>
                <w:sz w:val="12"/>
                <w:szCs w:val="12"/>
                <w:color w:val="auto"/>
              </w:rPr>
            </w:pPr>
          </w:p>
        </w:tc>
        <w:tc>
          <w:tcPr>
            <w:tcW w:w="2640" w:type="dxa"/>
            <w:vAlign w:val="bottom"/>
          </w:tcPr>
          <w:p>
            <w:pPr>
              <w:spacing w:after="0" w:line="144" w:lineRule="exact"/>
              <w:rPr>
                <w:sz w:val="20"/>
                <w:szCs w:val="20"/>
                <w:color w:val="auto"/>
              </w:rPr>
            </w:pPr>
            <w:r>
              <w:rPr>
                <w:rFonts w:ascii="Arial" w:cs="Arial" w:eastAsia="Arial" w:hAnsi="Arial"/>
                <w:sz w:val="13"/>
                <w:szCs w:val="13"/>
                <w:color w:val="auto"/>
              </w:rPr>
              <w:t>Fixed-income securities:</w:t>
            </w:r>
          </w:p>
        </w:tc>
        <w:tc>
          <w:tcPr>
            <w:tcW w:w="1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2640" w:type="dxa"/>
            <w:vAlign w:val="bottom"/>
            <w:tcBorders>
              <w:bottom w:val="single" w:sz="8" w:color="auto"/>
            </w:tcBorders>
            <w:shd w:val="clear" w:color="auto" w:fill="CCEEFF"/>
          </w:tcPr>
          <w:p>
            <w:pPr>
              <w:ind w:left="60"/>
              <w:spacing w:after="0" w:line="144" w:lineRule="exact"/>
              <w:rPr>
                <w:sz w:val="20"/>
                <w:szCs w:val="20"/>
                <w:color w:val="auto"/>
              </w:rPr>
            </w:pPr>
            <w:r>
              <w:rPr>
                <w:rFonts w:ascii="Arial" w:cs="Arial" w:eastAsia="Arial" w:hAnsi="Arial"/>
                <w:sz w:val="11"/>
                <w:szCs w:val="11"/>
                <w:color w:val="auto"/>
              </w:rPr>
              <w:t xml:space="preserve">Cash matched bonds </w:t>
            </w:r>
            <w:r>
              <w:rPr>
                <w:rFonts w:ascii="Arial" w:cs="Arial" w:eastAsia="Arial" w:hAnsi="Arial"/>
                <w:sz w:val="16"/>
                <w:szCs w:val="16"/>
                <w:color w:val="auto"/>
                <w:vertAlign w:val="superscript"/>
              </w:rPr>
              <w:t>(2)</w:t>
            </w:r>
          </w:p>
        </w:tc>
        <w:tc>
          <w:tcPr>
            <w:tcW w:w="10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35"/>
              <w:spacing w:after="0" w:line="144" w:lineRule="exact"/>
              <w:rPr>
                <w:sz w:val="20"/>
                <w:szCs w:val="20"/>
                <w:color w:val="auto"/>
              </w:rPr>
            </w:pPr>
            <w:r>
              <w:rPr>
                <w:rFonts w:ascii="Arial" w:cs="Arial" w:eastAsia="Arial" w:hAnsi="Arial"/>
                <w:sz w:val="13"/>
                <w:szCs w:val="13"/>
                <w:color w:val="auto"/>
              </w:rPr>
              <w:t>47</w:t>
            </w:r>
          </w:p>
        </w:tc>
        <w:tc>
          <w:tcPr>
            <w:tcW w:w="28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ind w:left="600"/>
              <w:spacing w:after="0" w:line="144"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ind w:right="55"/>
              <w:spacing w:after="0" w:line="144" w:lineRule="exact"/>
              <w:rPr>
                <w:sz w:val="20"/>
                <w:szCs w:val="20"/>
                <w:color w:val="auto"/>
              </w:rPr>
            </w:pPr>
            <w:r>
              <w:rPr>
                <w:rFonts w:ascii="Arial" w:cs="Arial" w:eastAsia="Arial" w:hAnsi="Arial"/>
                <w:sz w:val="13"/>
                <w:szCs w:val="13"/>
                <w:b w:val="1"/>
                <w:bCs w:val="1"/>
                <w:color w:val="auto"/>
              </w:rPr>
              <w:t>47</w:t>
            </w:r>
          </w:p>
        </w:tc>
        <w:tc>
          <w:tcPr>
            <w:tcW w:w="22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48</w:t>
            </w:r>
          </w:p>
        </w:tc>
      </w:tr>
      <w:tr>
        <w:trPr>
          <w:trHeight w:val="134"/>
        </w:trPr>
        <w:tc>
          <w:tcPr>
            <w:tcW w:w="20" w:type="dxa"/>
            <w:vAlign w:val="bottom"/>
            <w:tcBorders>
              <w:bottom w:val="single" w:sz="8" w:color="auto"/>
            </w:tcBorders>
          </w:tcPr>
          <w:p>
            <w:pPr>
              <w:spacing w:after="0"/>
              <w:rPr>
                <w:sz w:val="11"/>
                <w:szCs w:val="11"/>
                <w:color w:val="auto"/>
              </w:rPr>
            </w:pPr>
          </w:p>
        </w:tc>
        <w:tc>
          <w:tcPr>
            <w:tcW w:w="2640" w:type="dxa"/>
            <w:vAlign w:val="bottom"/>
            <w:tcBorders>
              <w:bottom w:val="single" w:sz="8" w:color="auto"/>
            </w:tcBorders>
          </w:tcPr>
          <w:p>
            <w:pPr>
              <w:spacing w:after="0" w:line="134" w:lineRule="exact"/>
              <w:rPr>
                <w:sz w:val="20"/>
                <w:szCs w:val="20"/>
                <w:color w:val="auto"/>
              </w:rPr>
            </w:pPr>
            <w:r>
              <w:rPr>
                <w:rFonts w:ascii="Arial" w:cs="Arial" w:eastAsia="Arial" w:hAnsi="Arial"/>
                <w:sz w:val="13"/>
                <w:szCs w:val="13"/>
                <w:color w:val="auto"/>
              </w:rPr>
              <w:t>Total assets at fair value</w:t>
            </w:r>
          </w:p>
        </w:tc>
        <w:tc>
          <w:tcPr>
            <w:tcW w:w="1040" w:type="dxa"/>
            <w:vAlign w:val="bottom"/>
            <w:tcBorders>
              <w:bottom w:val="single" w:sz="8" w:color="auto"/>
            </w:tcBorders>
          </w:tcPr>
          <w:p>
            <w:pPr>
              <w:jc w:val="right"/>
              <w:ind w:right="15"/>
              <w:spacing w:after="0" w:line="134"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55"/>
              <w:spacing w:after="0" w:line="134" w:lineRule="exact"/>
              <w:rPr>
                <w:sz w:val="20"/>
                <w:szCs w:val="20"/>
                <w:color w:val="auto"/>
              </w:rPr>
            </w:pPr>
            <w:r>
              <w:rPr>
                <w:rFonts w:ascii="Arial" w:cs="Arial" w:eastAsia="Arial" w:hAnsi="Arial"/>
                <w:sz w:val="13"/>
                <w:szCs w:val="13"/>
                <w:color w:val="auto"/>
              </w:rPr>
              <w:t>3</w:t>
            </w:r>
          </w:p>
        </w:tc>
        <w:tc>
          <w:tcPr>
            <w:tcW w:w="260" w:type="dxa"/>
            <w:vAlign w:val="bottom"/>
            <w:tcBorders>
              <w:bottom w:val="single" w:sz="8" w:color="auto"/>
            </w:tcBorders>
          </w:tcPr>
          <w:p>
            <w:pPr>
              <w:jc w:val="right"/>
              <w:ind w:right="15"/>
              <w:spacing w:after="0" w:line="134"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tcPr>
          <w:p>
            <w:pPr>
              <w:jc w:val="right"/>
              <w:ind w:right="35"/>
              <w:spacing w:after="0" w:line="134" w:lineRule="exact"/>
              <w:rPr>
                <w:sz w:val="20"/>
                <w:szCs w:val="20"/>
                <w:color w:val="auto"/>
              </w:rPr>
            </w:pPr>
            <w:r>
              <w:rPr>
                <w:rFonts w:ascii="Arial" w:cs="Arial" w:eastAsia="Arial" w:hAnsi="Arial"/>
                <w:sz w:val="13"/>
                <w:szCs w:val="13"/>
                <w:color w:val="auto"/>
              </w:rPr>
              <w:t>47</w:t>
            </w:r>
          </w:p>
        </w:tc>
        <w:tc>
          <w:tcPr>
            <w:tcW w:w="280" w:type="dxa"/>
            <w:vAlign w:val="bottom"/>
            <w:tcBorders>
              <w:bottom w:val="single" w:sz="8" w:color="auto"/>
            </w:tcBorders>
          </w:tcPr>
          <w:p>
            <w:pPr>
              <w:jc w:val="right"/>
              <w:ind w:right="15"/>
              <w:spacing w:after="0" w:line="134" w:lineRule="exact"/>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tcPr>
          <w:p>
            <w:pPr>
              <w:ind w:left="600"/>
              <w:spacing w:after="0" w:line="134"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tcPr>
          <w:p>
            <w:pPr>
              <w:jc w:val="right"/>
              <w:ind w:right="55"/>
              <w:spacing w:after="0" w:line="134" w:lineRule="exact"/>
              <w:rPr>
                <w:sz w:val="20"/>
                <w:szCs w:val="20"/>
                <w:color w:val="auto"/>
              </w:rPr>
            </w:pPr>
            <w:r>
              <w:rPr>
                <w:rFonts w:ascii="Arial" w:cs="Arial" w:eastAsia="Arial" w:hAnsi="Arial"/>
                <w:sz w:val="13"/>
                <w:szCs w:val="13"/>
                <w:b w:val="1"/>
                <w:bCs w:val="1"/>
                <w:color w:val="auto"/>
              </w:rPr>
              <w:t>50</w:t>
            </w:r>
          </w:p>
        </w:tc>
        <w:tc>
          <w:tcPr>
            <w:tcW w:w="2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51</w:t>
            </w:r>
          </w:p>
        </w:tc>
      </w:tr>
      <w:tr>
        <w:trPr>
          <w:trHeight w:val="20"/>
        </w:trPr>
        <w:tc>
          <w:tcPr>
            <w:tcW w:w="20" w:type="dxa"/>
            <w:vAlign w:val="bottom"/>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96" w:lineRule="exact"/>
        <w:rPr>
          <w:sz w:val="20"/>
          <w:szCs w:val="20"/>
          <w:color w:val="auto"/>
        </w:rPr>
      </w:pPr>
    </w:p>
    <w:p>
      <w:pPr>
        <w:ind w:left="280" w:hanging="250"/>
        <w:spacing w:after="0"/>
        <w:tabs>
          <w:tab w:leader="none" w:pos="280" w:val="left"/>
        </w:tabs>
        <w:numPr>
          <w:ilvl w:val="0"/>
          <w:numId w:val="23"/>
        </w:numPr>
        <w:rPr>
          <w:rFonts w:ascii="Arial" w:cs="Arial" w:eastAsia="Arial" w:hAnsi="Arial"/>
          <w:sz w:val="13"/>
          <w:szCs w:val="13"/>
          <w:color w:val="auto"/>
        </w:rPr>
      </w:pPr>
      <w:r>
        <w:rPr>
          <w:rFonts w:ascii="Arial" w:cs="Arial" w:eastAsia="Arial" w:hAnsi="Arial"/>
          <w:sz w:val="10"/>
          <w:szCs w:val="10"/>
          <w:color w:val="auto"/>
        </w:rPr>
        <w:t>Each category of plan assets is classified within the same level of the fair value hierarchy for 2020 and 2019.</w:t>
      </w:r>
    </w:p>
    <w:p>
      <w:pPr>
        <w:spacing w:after="0" w:line="41" w:lineRule="exact"/>
        <w:rPr>
          <w:sz w:val="20"/>
          <w:szCs w:val="20"/>
          <w:color w:val="auto"/>
        </w:rPr>
      </w:pPr>
    </w:p>
    <w:p>
      <w:pPr>
        <w:ind w:left="280" w:hanging="250"/>
        <w:spacing w:after="0"/>
        <w:tabs>
          <w:tab w:leader="none" w:pos="280" w:val="left"/>
        </w:tabs>
        <w:numPr>
          <w:ilvl w:val="0"/>
          <w:numId w:val="24"/>
        </w:numPr>
        <w:rPr>
          <w:rFonts w:ascii="Arial" w:cs="Arial" w:eastAsia="Arial" w:hAnsi="Arial"/>
          <w:sz w:val="10"/>
          <w:szCs w:val="10"/>
          <w:color w:val="auto"/>
        </w:rPr>
      </w:pPr>
      <w:r>
        <w:rPr>
          <w:rFonts w:ascii="Arial" w:cs="Arial" w:eastAsia="Arial" w:hAnsi="Arial"/>
          <w:sz w:val="10"/>
          <w:szCs w:val="10"/>
          <w:color w:val="auto"/>
        </w:rPr>
        <w:t>This category comprises one mutual fund that invests primarily in a diverse portfolio of Canadian securities.</w:t>
      </w:r>
    </w:p>
    <w:p>
      <w:pPr>
        <w:spacing w:after="0" w:line="28" w:lineRule="exact"/>
        <w:rPr>
          <w:rFonts w:ascii="Arial" w:cs="Arial" w:eastAsia="Arial" w:hAnsi="Arial"/>
          <w:sz w:val="10"/>
          <w:szCs w:val="10"/>
          <w:color w:val="auto"/>
        </w:rPr>
      </w:pPr>
    </w:p>
    <w:p>
      <w:pPr>
        <w:ind w:left="280" w:right="39" w:hanging="250"/>
        <w:spacing w:after="0" w:line="251" w:lineRule="auto"/>
        <w:tabs>
          <w:tab w:leader="none" w:pos="280" w:val="left"/>
        </w:tabs>
        <w:numPr>
          <w:ilvl w:val="0"/>
          <w:numId w:val="24"/>
        </w:numPr>
        <w:rPr>
          <w:rFonts w:ascii="Arial" w:cs="Arial" w:eastAsia="Arial" w:hAnsi="Arial"/>
          <w:sz w:val="10"/>
          <w:szCs w:val="10"/>
          <w:color w:val="auto"/>
        </w:rPr>
      </w:pPr>
      <w:r>
        <w:rPr>
          <w:rFonts w:ascii="Arial" w:cs="Arial" w:eastAsia="Arial" w:hAnsi="Arial"/>
          <w:sz w:val="10"/>
          <w:szCs w:val="10"/>
          <w:color w:val="auto"/>
        </w:rPr>
        <w:t>This category consists of fixed-income securities, including strips and coupons, issued or guaranteed by the Government of Canada, provinces or municipalities of Canada including their agencies and crown corporations, as well as other governmental bonds and corporate bonds.</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3"/>
          <w:szCs w:val="13"/>
          <w:color w:val="auto"/>
        </w:rPr>
        <w:t>The fair values of the U.S. pension plan assets at January 30, 2021 and February 1, 2020 were as follows:</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34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 in millions)</w:t>
            </w:r>
          </w:p>
        </w:tc>
        <w:tc>
          <w:tcPr>
            <w:tcW w:w="3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Level 1</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5"/>
              <w:spacing w:after="0"/>
              <w:rPr>
                <w:sz w:val="20"/>
                <w:szCs w:val="20"/>
                <w:color w:val="auto"/>
              </w:rPr>
            </w:pPr>
            <w:r>
              <w:rPr>
                <w:rFonts w:ascii="Arial" w:cs="Arial" w:eastAsia="Arial" w:hAnsi="Arial"/>
                <w:sz w:val="13"/>
                <w:szCs w:val="13"/>
                <w:b w:val="1"/>
                <w:bCs w:val="1"/>
                <w:color w:val="auto"/>
              </w:rPr>
              <w:t>Level 2</w:t>
            </w: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Level 3</w:t>
            </w:r>
          </w:p>
        </w:tc>
        <w:tc>
          <w:tcPr>
            <w:tcW w:w="2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b w:val="1"/>
                <w:bCs w:val="1"/>
                <w:color w:val="auto"/>
              </w:rPr>
              <w:t>2020 Total</w:t>
            </w:r>
          </w:p>
        </w:tc>
        <w:tc>
          <w:tcPr>
            <w:tcW w:w="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color w:val="auto"/>
                <w:w w:val="99"/>
              </w:rPr>
              <w:t>2019 Total*</w:t>
            </w:r>
          </w:p>
        </w:tc>
        <w:tc>
          <w:tcPr>
            <w:tcW w:w="0" w:type="dxa"/>
            <w:vAlign w:val="bottom"/>
          </w:tcPr>
          <w:p>
            <w:pPr>
              <w:spacing w:after="0"/>
              <w:rPr>
                <w:sz w:val="1"/>
                <w:szCs w:val="1"/>
                <w:color w:val="auto"/>
              </w:rPr>
            </w:pPr>
          </w:p>
        </w:tc>
      </w:tr>
      <w:tr>
        <w:trPr>
          <w:trHeight w:val="134"/>
        </w:trPr>
        <w:tc>
          <w:tcPr>
            <w:tcW w:w="342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Cash equivalents</w:t>
            </w:r>
          </w:p>
        </w:tc>
        <w:tc>
          <w:tcPr>
            <w:tcW w:w="320" w:type="dxa"/>
            <w:vAlign w:val="bottom"/>
            <w:shd w:val="clear" w:color="auto" w:fill="CCEEFF"/>
          </w:tcPr>
          <w:p>
            <w:pPr>
              <w:jc w:val="right"/>
              <w:ind w:right="15"/>
              <w:spacing w:after="0" w:line="134"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55"/>
              <w:spacing w:after="0" w:line="134"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jc w:val="right"/>
              <w:ind w:right="15"/>
              <w:spacing w:after="0" w:line="134"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ind w:right="35"/>
              <w:spacing w:after="0" w:line="134" w:lineRule="exact"/>
              <w:rPr>
                <w:sz w:val="20"/>
                <w:szCs w:val="20"/>
                <w:color w:val="auto"/>
              </w:rPr>
            </w:pPr>
            <w:r>
              <w:rPr>
                <w:rFonts w:ascii="Arial" w:cs="Arial" w:eastAsia="Arial" w:hAnsi="Arial"/>
                <w:sz w:val="13"/>
                <w:szCs w:val="13"/>
                <w:color w:val="auto"/>
              </w:rPr>
              <w:t>4</w:t>
            </w:r>
          </w:p>
        </w:tc>
        <w:tc>
          <w:tcPr>
            <w:tcW w:w="280" w:type="dxa"/>
            <w:vAlign w:val="bottom"/>
            <w:shd w:val="clear" w:color="auto" w:fill="CCEEFF"/>
          </w:tcPr>
          <w:p>
            <w:pPr>
              <w:jc w:val="right"/>
              <w:ind w:right="15"/>
              <w:spacing w:after="0" w:line="134" w:lineRule="exact"/>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ind w:left="580"/>
              <w:spacing w:after="0" w:line="134"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w:t>
            </w:r>
          </w:p>
        </w:tc>
        <w:tc>
          <w:tcPr>
            <w:tcW w:w="880" w:type="dxa"/>
            <w:vAlign w:val="bottom"/>
            <w:shd w:val="clear" w:color="auto" w:fill="CCEEFF"/>
          </w:tcPr>
          <w:p>
            <w:pPr>
              <w:jc w:val="right"/>
              <w:ind w:right="55"/>
              <w:spacing w:after="0" w:line="134" w:lineRule="exact"/>
              <w:rPr>
                <w:sz w:val="20"/>
                <w:szCs w:val="20"/>
                <w:color w:val="auto"/>
              </w:rPr>
            </w:pPr>
            <w:r>
              <w:rPr>
                <w:rFonts w:ascii="Arial" w:cs="Arial" w:eastAsia="Arial" w:hAnsi="Arial"/>
                <w:sz w:val="13"/>
                <w:szCs w:val="13"/>
                <w:b w:val="1"/>
                <w:bCs w:val="1"/>
                <w:color w:val="auto"/>
              </w:rPr>
              <w:t>4</w:t>
            </w:r>
          </w:p>
        </w:tc>
        <w:tc>
          <w:tcPr>
            <w:tcW w:w="24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82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44"/>
        </w:trPr>
        <w:tc>
          <w:tcPr>
            <w:tcW w:w="3420" w:type="dxa"/>
            <w:vAlign w:val="bottom"/>
          </w:tcPr>
          <w:p>
            <w:pPr>
              <w:spacing w:after="0" w:line="144" w:lineRule="exact"/>
              <w:rPr>
                <w:sz w:val="20"/>
                <w:szCs w:val="20"/>
                <w:color w:val="auto"/>
              </w:rPr>
            </w:pPr>
            <w:r>
              <w:rPr>
                <w:rFonts w:ascii="Arial" w:cs="Arial" w:eastAsia="Arial" w:hAnsi="Arial"/>
                <w:sz w:val="13"/>
                <w:szCs w:val="13"/>
                <w:color w:val="auto"/>
              </w:rPr>
              <w:t>Equity securities:</w:t>
            </w: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20" w:type="dxa"/>
            <w:vAlign w:val="bottom"/>
            <w:shd w:val="clear" w:color="auto" w:fill="CCEEFF"/>
          </w:tcPr>
          <w:p>
            <w:pPr>
              <w:ind w:left="80"/>
              <w:spacing w:after="0" w:line="144" w:lineRule="exact"/>
              <w:rPr>
                <w:sz w:val="20"/>
                <w:szCs w:val="20"/>
                <w:color w:val="auto"/>
              </w:rPr>
            </w:pPr>
            <w:r>
              <w:rPr>
                <w:rFonts w:ascii="Arial" w:cs="Arial" w:eastAsia="Arial" w:hAnsi="Arial"/>
                <w:sz w:val="11"/>
                <w:szCs w:val="11"/>
                <w:color w:val="auto"/>
              </w:rPr>
              <w:t xml:space="preserve">U.S. large-cap </w:t>
            </w:r>
            <w:r>
              <w:rPr>
                <w:rFonts w:ascii="Arial" w:cs="Arial" w:eastAsia="Arial" w:hAnsi="Arial"/>
                <w:sz w:val="16"/>
                <w:szCs w:val="16"/>
                <w:color w:val="auto"/>
                <w:vertAlign w:val="superscript"/>
              </w:rPr>
              <w:t>(1)</w:t>
            </w: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35"/>
              <w:spacing w:after="0" w:line="144" w:lineRule="exact"/>
              <w:rPr>
                <w:sz w:val="20"/>
                <w:szCs w:val="20"/>
                <w:color w:val="auto"/>
              </w:rPr>
            </w:pPr>
            <w:r>
              <w:rPr>
                <w:rFonts w:ascii="Arial" w:cs="Arial" w:eastAsia="Arial" w:hAnsi="Arial"/>
                <w:sz w:val="13"/>
                <w:szCs w:val="13"/>
                <w:color w:val="auto"/>
              </w:rPr>
              <w:t>117</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ind w:left="580"/>
              <w:spacing w:after="0" w:line="144"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b w:val="1"/>
                <w:bCs w:val="1"/>
                <w:color w:val="auto"/>
              </w:rPr>
              <w:t>117</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116</w:t>
            </w:r>
          </w:p>
        </w:tc>
        <w:tc>
          <w:tcPr>
            <w:tcW w:w="0" w:type="dxa"/>
            <w:vAlign w:val="bottom"/>
          </w:tcPr>
          <w:p>
            <w:pPr>
              <w:spacing w:after="0"/>
              <w:rPr>
                <w:sz w:val="1"/>
                <w:szCs w:val="1"/>
                <w:color w:val="auto"/>
              </w:rPr>
            </w:pPr>
          </w:p>
        </w:tc>
      </w:tr>
      <w:tr>
        <w:trPr>
          <w:trHeight w:val="144"/>
        </w:trPr>
        <w:tc>
          <w:tcPr>
            <w:tcW w:w="3420" w:type="dxa"/>
            <w:vAlign w:val="bottom"/>
          </w:tcPr>
          <w:p>
            <w:pPr>
              <w:ind w:left="80"/>
              <w:spacing w:after="0" w:line="144" w:lineRule="exact"/>
              <w:rPr>
                <w:sz w:val="20"/>
                <w:szCs w:val="20"/>
                <w:color w:val="auto"/>
              </w:rPr>
            </w:pPr>
            <w:r>
              <w:rPr>
                <w:rFonts w:ascii="Arial" w:cs="Arial" w:eastAsia="Arial" w:hAnsi="Arial"/>
                <w:sz w:val="11"/>
                <w:szCs w:val="11"/>
                <w:color w:val="auto"/>
              </w:rPr>
              <w:t xml:space="preserve">U.S. mid-cap </w:t>
            </w:r>
            <w:r>
              <w:rPr>
                <w:rFonts w:ascii="Arial" w:cs="Arial" w:eastAsia="Arial" w:hAnsi="Arial"/>
                <w:sz w:val="16"/>
                <w:szCs w:val="16"/>
                <w:color w:val="auto"/>
                <w:vertAlign w:val="superscript"/>
              </w:rPr>
              <w:t>(1)</w:t>
            </w:r>
          </w:p>
        </w:tc>
        <w:tc>
          <w:tcPr>
            <w:tcW w:w="320" w:type="dxa"/>
            <w:vAlign w:val="bottom"/>
          </w:tcPr>
          <w:p>
            <w:pPr>
              <w:spacing w:after="0"/>
              <w:rPr>
                <w:sz w:val="12"/>
                <w:szCs w:val="12"/>
                <w:color w:val="auto"/>
              </w:rPr>
            </w:pPr>
          </w:p>
        </w:tc>
        <w:tc>
          <w:tcPr>
            <w:tcW w:w="840" w:type="dxa"/>
            <w:vAlign w:val="bottom"/>
          </w:tcPr>
          <w:p>
            <w:pPr>
              <w:jc w:val="right"/>
              <w:ind w:right="55"/>
              <w:spacing w:after="0" w:line="144"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20" w:type="dxa"/>
            <w:vAlign w:val="bottom"/>
          </w:tcPr>
          <w:p>
            <w:pPr>
              <w:jc w:val="right"/>
              <w:ind w:right="35"/>
              <w:spacing w:after="0" w:line="144" w:lineRule="exact"/>
              <w:rPr>
                <w:sz w:val="20"/>
                <w:szCs w:val="20"/>
                <w:color w:val="auto"/>
              </w:rPr>
            </w:pPr>
            <w:r>
              <w:rPr>
                <w:rFonts w:ascii="Arial" w:cs="Arial" w:eastAsia="Arial" w:hAnsi="Arial"/>
                <w:sz w:val="13"/>
                <w:szCs w:val="13"/>
                <w:color w:val="auto"/>
              </w:rPr>
              <w:t>34</w:t>
            </w:r>
          </w:p>
        </w:tc>
        <w:tc>
          <w:tcPr>
            <w:tcW w:w="280" w:type="dxa"/>
            <w:vAlign w:val="bottom"/>
          </w:tcPr>
          <w:p>
            <w:pPr>
              <w:spacing w:after="0"/>
              <w:rPr>
                <w:sz w:val="12"/>
                <w:szCs w:val="12"/>
                <w:color w:val="auto"/>
              </w:rPr>
            </w:pPr>
          </w:p>
        </w:tc>
        <w:tc>
          <w:tcPr>
            <w:tcW w:w="840" w:type="dxa"/>
            <w:vAlign w:val="bottom"/>
          </w:tcPr>
          <w:p>
            <w:pPr>
              <w:ind w:left="580"/>
              <w:spacing w:after="0" w:line="144"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80" w:type="dxa"/>
            <w:vAlign w:val="bottom"/>
          </w:tcPr>
          <w:p>
            <w:pPr>
              <w:jc w:val="right"/>
              <w:ind w:right="55"/>
              <w:spacing w:after="0" w:line="144" w:lineRule="exact"/>
              <w:rPr>
                <w:sz w:val="20"/>
                <w:szCs w:val="20"/>
                <w:color w:val="auto"/>
              </w:rPr>
            </w:pPr>
            <w:r>
              <w:rPr>
                <w:rFonts w:ascii="Arial" w:cs="Arial" w:eastAsia="Arial" w:hAnsi="Arial"/>
                <w:sz w:val="13"/>
                <w:szCs w:val="13"/>
                <w:b w:val="1"/>
                <w:bCs w:val="1"/>
                <w:color w:val="auto"/>
              </w:rPr>
              <w:t>34</w:t>
            </w:r>
          </w:p>
        </w:tc>
        <w:tc>
          <w:tcPr>
            <w:tcW w:w="240" w:type="dxa"/>
            <w:vAlign w:val="bottom"/>
          </w:tcPr>
          <w:p>
            <w:pPr>
              <w:spacing w:after="0"/>
              <w:rPr>
                <w:sz w:val="12"/>
                <w:szCs w:val="12"/>
                <w:color w:val="auto"/>
              </w:rPr>
            </w:pPr>
          </w:p>
        </w:tc>
        <w:tc>
          <w:tcPr>
            <w:tcW w:w="820" w:type="dxa"/>
            <w:vAlign w:val="bottom"/>
          </w:tcPr>
          <w:p>
            <w:pPr>
              <w:jc w:val="right"/>
              <w:spacing w:after="0" w:line="144" w:lineRule="exact"/>
              <w:rPr>
                <w:sz w:val="20"/>
                <w:szCs w:val="20"/>
                <w:color w:val="auto"/>
              </w:rPr>
            </w:pPr>
            <w:r>
              <w:rPr>
                <w:rFonts w:ascii="Arial" w:cs="Arial" w:eastAsia="Arial" w:hAnsi="Arial"/>
                <w:sz w:val="13"/>
                <w:szCs w:val="13"/>
                <w:color w:val="auto"/>
              </w:rPr>
              <w:t>34</w:t>
            </w:r>
          </w:p>
        </w:tc>
        <w:tc>
          <w:tcPr>
            <w:tcW w:w="0" w:type="dxa"/>
            <w:vAlign w:val="bottom"/>
          </w:tcPr>
          <w:p>
            <w:pPr>
              <w:spacing w:after="0"/>
              <w:rPr>
                <w:sz w:val="1"/>
                <w:szCs w:val="1"/>
                <w:color w:val="auto"/>
              </w:rPr>
            </w:pPr>
          </w:p>
        </w:tc>
      </w:tr>
      <w:tr>
        <w:trPr>
          <w:trHeight w:val="144"/>
        </w:trPr>
        <w:tc>
          <w:tcPr>
            <w:tcW w:w="3420" w:type="dxa"/>
            <w:vAlign w:val="bottom"/>
            <w:shd w:val="clear" w:color="auto" w:fill="CCEEFF"/>
          </w:tcPr>
          <w:p>
            <w:pPr>
              <w:ind w:left="80"/>
              <w:spacing w:after="0" w:line="144" w:lineRule="exact"/>
              <w:rPr>
                <w:sz w:val="20"/>
                <w:szCs w:val="20"/>
                <w:color w:val="auto"/>
              </w:rPr>
            </w:pPr>
            <w:r>
              <w:rPr>
                <w:rFonts w:ascii="Arial" w:cs="Arial" w:eastAsia="Arial" w:hAnsi="Arial"/>
                <w:sz w:val="11"/>
                <w:szCs w:val="11"/>
                <w:color w:val="auto"/>
              </w:rPr>
              <w:t xml:space="preserve">International </w:t>
            </w:r>
            <w:r>
              <w:rPr>
                <w:rFonts w:ascii="Arial" w:cs="Arial" w:eastAsia="Arial" w:hAnsi="Arial"/>
                <w:sz w:val="16"/>
                <w:szCs w:val="16"/>
                <w:color w:val="auto"/>
                <w:vertAlign w:val="superscript"/>
              </w:rPr>
              <w:t>(2)</w:t>
            </w: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35"/>
              <w:spacing w:after="0" w:line="144" w:lineRule="exact"/>
              <w:rPr>
                <w:sz w:val="20"/>
                <w:szCs w:val="20"/>
                <w:color w:val="auto"/>
              </w:rPr>
            </w:pPr>
            <w:r>
              <w:rPr>
                <w:rFonts w:ascii="Arial" w:cs="Arial" w:eastAsia="Arial" w:hAnsi="Arial"/>
                <w:sz w:val="13"/>
                <w:szCs w:val="13"/>
                <w:color w:val="auto"/>
              </w:rPr>
              <w:t>84</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ind w:left="580"/>
              <w:spacing w:after="0" w:line="144"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b w:val="1"/>
                <w:bCs w:val="1"/>
                <w:color w:val="auto"/>
              </w:rPr>
              <w:t>84</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144"/>
        </w:trPr>
        <w:tc>
          <w:tcPr>
            <w:tcW w:w="3420" w:type="dxa"/>
            <w:vAlign w:val="bottom"/>
          </w:tcPr>
          <w:p>
            <w:pPr>
              <w:ind w:left="80"/>
              <w:spacing w:after="0" w:line="144" w:lineRule="exact"/>
              <w:rPr>
                <w:sz w:val="20"/>
                <w:szCs w:val="20"/>
                <w:color w:val="auto"/>
              </w:rPr>
            </w:pPr>
            <w:r>
              <w:rPr>
                <w:rFonts w:ascii="Arial" w:cs="Arial" w:eastAsia="Arial" w:hAnsi="Arial"/>
                <w:sz w:val="11"/>
                <w:szCs w:val="11"/>
                <w:color w:val="auto"/>
              </w:rPr>
              <w:t xml:space="preserve">Corporate stock </w:t>
            </w:r>
            <w:r>
              <w:rPr>
                <w:rFonts w:ascii="Arial" w:cs="Arial" w:eastAsia="Arial" w:hAnsi="Arial"/>
                <w:sz w:val="16"/>
                <w:szCs w:val="16"/>
                <w:color w:val="auto"/>
                <w:vertAlign w:val="superscript"/>
              </w:rPr>
              <w:t>(3)</w:t>
            </w:r>
          </w:p>
        </w:tc>
        <w:tc>
          <w:tcPr>
            <w:tcW w:w="320" w:type="dxa"/>
            <w:vAlign w:val="bottom"/>
          </w:tcPr>
          <w:p>
            <w:pPr>
              <w:spacing w:after="0"/>
              <w:rPr>
                <w:sz w:val="12"/>
                <w:szCs w:val="12"/>
                <w:color w:val="auto"/>
              </w:rPr>
            </w:pPr>
          </w:p>
        </w:tc>
        <w:tc>
          <w:tcPr>
            <w:tcW w:w="840" w:type="dxa"/>
            <w:vAlign w:val="bottom"/>
          </w:tcPr>
          <w:p>
            <w:pPr>
              <w:jc w:val="right"/>
              <w:ind w:right="55"/>
              <w:spacing w:after="0" w:line="144" w:lineRule="exact"/>
              <w:rPr>
                <w:sz w:val="20"/>
                <w:szCs w:val="20"/>
                <w:color w:val="auto"/>
              </w:rPr>
            </w:pPr>
            <w:r>
              <w:rPr>
                <w:rFonts w:ascii="Arial" w:cs="Arial" w:eastAsia="Arial" w:hAnsi="Arial"/>
                <w:sz w:val="13"/>
                <w:szCs w:val="13"/>
                <w:color w:val="auto"/>
              </w:rPr>
              <w:t>17</w:t>
            </w:r>
          </w:p>
        </w:tc>
        <w:tc>
          <w:tcPr>
            <w:tcW w:w="260" w:type="dxa"/>
            <w:vAlign w:val="bottom"/>
          </w:tcPr>
          <w:p>
            <w:pPr>
              <w:spacing w:after="0"/>
              <w:rPr>
                <w:sz w:val="12"/>
                <w:szCs w:val="12"/>
                <w:color w:val="auto"/>
              </w:rPr>
            </w:pPr>
          </w:p>
        </w:tc>
        <w:tc>
          <w:tcPr>
            <w:tcW w:w="820" w:type="dxa"/>
            <w:vAlign w:val="bottom"/>
          </w:tcPr>
          <w:p>
            <w:pPr>
              <w:jc w:val="right"/>
              <w:ind w:right="35"/>
              <w:spacing w:after="0" w:line="144"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2"/>
                <w:szCs w:val="12"/>
                <w:color w:val="auto"/>
              </w:rPr>
            </w:pPr>
          </w:p>
        </w:tc>
        <w:tc>
          <w:tcPr>
            <w:tcW w:w="840" w:type="dxa"/>
            <w:vAlign w:val="bottom"/>
          </w:tcPr>
          <w:p>
            <w:pPr>
              <w:ind w:left="580"/>
              <w:spacing w:after="0" w:line="144"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80" w:type="dxa"/>
            <w:vAlign w:val="bottom"/>
          </w:tcPr>
          <w:p>
            <w:pPr>
              <w:jc w:val="right"/>
              <w:ind w:right="55"/>
              <w:spacing w:after="0" w:line="144" w:lineRule="exact"/>
              <w:rPr>
                <w:sz w:val="20"/>
                <w:szCs w:val="20"/>
                <w:color w:val="auto"/>
              </w:rPr>
            </w:pPr>
            <w:r>
              <w:rPr>
                <w:rFonts w:ascii="Arial" w:cs="Arial" w:eastAsia="Arial" w:hAnsi="Arial"/>
                <w:sz w:val="13"/>
                <w:szCs w:val="13"/>
                <w:b w:val="1"/>
                <w:bCs w:val="1"/>
                <w:color w:val="auto"/>
              </w:rPr>
              <w:t>17</w:t>
            </w:r>
          </w:p>
        </w:tc>
        <w:tc>
          <w:tcPr>
            <w:tcW w:w="240" w:type="dxa"/>
            <w:vAlign w:val="bottom"/>
          </w:tcPr>
          <w:p>
            <w:pPr>
              <w:spacing w:after="0"/>
              <w:rPr>
                <w:sz w:val="12"/>
                <w:szCs w:val="12"/>
                <w:color w:val="auto"/>
              </w:rPr>
            </w:pPr>
          </w:p>
        </w:tc>
        <w:tc>
          <w:tcPr>
            <w:tcW w:w="820" w:type="dxa"/>
            <w:vAlign w:val="bottom"/>
          </w:tcPr>
          <w:p>
            <w:pPr>
              <w:jc w:val="right"/>
              <w:spacing w:after="0" w:line="144" w:lineRule="exact"/>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44"/>
        </w:trPr>
        <w:tc>
          <w:tcPr>
            <w:tcW w:w="34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Fixed-income securities:</w:t>
            </w: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20" w:type="dxa"/>
            <w:vAlign w:val="bottom"/>
          </w:tcPr>
          <w:p>
            <w:pPr>
              <w:ind w:left="80"/>
              <w:spacing w:after="0" w:line="144" w:lineRule="exact"/>
              <w:rPr>
                <w:sz w:val="20"/>
                <w:szCs w:val="20"/>
                <w:color w:val="auto"/>
              </w:rPr>
            </w:pPr>
            <w:r>
              <w:rPr>
                <w:rFonts w:ascii="Arial" w:cs="Arial" w:eastAsia="Arial" w:hAnsi="Arial"/>
                <w:sz w:val="11"/>
                <w:szCs w:val="11"/>
                <w:color w:val="auto"/>
              </w:rPr>
              <w:t xml:space="preserve">Long duration corporate and government bonds </w:t>
            </w:r>
            <w:r>
              <w:rPr>
                <w:rFonts w:ascii="Arial" w:cs="Arial" w:eastAsia="Arial" w:hAnsi="Arial"/>
                <w:sz w:val="16"/>
                <w:szCs w:val="16"/>
                <w:color w:val="auto"/>
                <w:vertAlign w:val="superscript"/>
              </w:rPr>
              <w:t>(4)</w:t>
            </w:r>
          </w:p>
        </w:tc>
        <w:tc>
          <w:tcPr>
            <w:tcW w:w="320" w:type="dxa"/>
            <w:vAlign w:val="bottom"/>
          </w:tcPr>
          <w:p>
            <w:pPr>
              <w:spacing w:after="0"/>
              <w:rPr>
                <w:sz w:val="12"/>
                <w:szCs w:val="12"/>
                <w:color w:val="auto"/>
              </w:rPr>
            </w:pPr>
          </w:p>
        </w:tc>
        <w:tc>
          <w:tcPr>
            <w:tcW w:w="840" w:type="dxa"/>
            <w:vAlign w:val="bottom"/>
          </w:tcPr>
          <w:p>
            <w:pPr>
              <w:jc w:val="right"/>
              <w:ind w:right="55"/>
              <w:spacing w:after="0" w:line="144"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20" w:type="dxa"/>
            <w:vAlign w:val="bottom"/>
          </w:tcPr>
          <w:p>
            <w:pPr>
              <w:jc w:val="right"/>
              <w:ind w:right="35"/>
              <w:spacing w:after="0" w:line="144" w:lineRule="exact"/>
              <w:rPr>
                <w:sz w:val="20"/>
                <w:szCs w:val="20"/>
                <w:color w:val="auto"/>
              </w:rPr>
            </w:pPr>
            <w:r>
              <w:rPr>
                <w:rFonts w:ascii="Arial" w:cs="Arial" w:eastAsia="Arial" w:hAnsi="Arial"/>
                <w:sz w:val="13"/>
                <w:szCs w:val="13"/>
                <w:color w:val="auto"/>
              </w:rPr>
              <w:t>269</w:t>
            </w:r>
          </w:p>
        </w:tc>
        <w:tc>
          <w:tcPr>
            <w:tcW w:w="280" w:type="dxa"/>
            <w:vAlign w:val="bottom"/>
          </w:tcPr>
          <w:p>
            <w:pPr>
              <w:spacing w:after="0"/>
              <w:rPr>
                <w:sz w:val="12"/>
                <w:szCs w:val="12"/>
                <w:color w:val="auto"/>
              </w:rPr>
            </w:pPr>
          </w:p>
        </w:tc>
        <w:tc>
          <w:tcPr>
            <w:tcW w:w="840" w:type="dxa"/>
            <w:vAlign w:val="bottom"/>
          </w:tcPr>
          <w:p>
            <w:pPr>
              <w:ind w:left="580"/>
              <w:spacing w:after="0" w:line="144"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80" w:type="dxa"/>
            <w:vAlign w:val="bottom"/>
          </w:tcPr>
          <w:p>
            <w:pPr>
              <w:jc w:val="right"/>
              <w:ind w:right="55"/>
              <w:spacing w:after="0" w:line="144" w:lineRule="exact"/>
              <w:rPr>
                <w:sz w:val="20"/>
                <w:szCs w:val="20"/>
                <w:color w:val="auto"/>
              </w:rPr>
            </w:pPr>
            <w:r>
              <w:rPr>
                <w:rFonts w:ascii="Arial" w:cs="Arial" w:eastAsia="Arial" w:hAnsi="Arial"/>
                <w:sz w:val="13"/>
                <w:szCs w:val="13"/>
                <w:b w:val="1"/>
                <w:bCs w:val="1"/>
                <w:color w:val="auto"/>
              </w:rPr>
              <w:t>269</w:t>
            </w:r>
          </w:p>
        </w:tc>
        <w:tc>
          <w:tcPr>
            <w:tcW w:w="240" w:type="dxa"/>
            <w:vAlign w:val="bottom"/>
          </w:tcPr>
          <w:p>
            <w:pPr>
              <w:spacing w:after="0"/>
              <w:rPr>
                <w:sz w:val="12"/>
                <w:szCs w:val="12"/>
                <w:color w:val="auto"/>
              </w:rPr>
            </w:pPr>
          </w:p>
        </w:tc>
        <w:tc>
          <w:tcPr>
            <w:tcW w:w="820" w:type="dxa"/>
            <w:vAlign w:val="bottom"/>
          </w:tcPr>
          <w:p>
            <w:pPr>
              <w:jc w:val="right"/>
              <w:spacing w:after="0" w:line="144" w:lineRule="exact"/>
              <w:rPr>
                <w:sz w:val="20"/>
                <w:szCs w:val="20"/>
                <w:color w:val="auto"/>
              </w:rPr>
            </w:pPr>
            <w:r>
              <w:rPr>
                <w:rFonts w:ascii="Arial" w:cs="Arial" w:eastAsia="Arial" w:hAnsi="Arial"/>
                <w:sz w:val="13"/>
                <w:szCs w:val="13"/>
                <w:color w:val="auto"/>
              </w:rPr>
              <w:t>273</w:t>
            </w:r>
          </w:p>
        </w:tc>
        <w:tc>
          <w:tcPr>
            <w:tcW w:w="0" w:type="dxa"/>
            <w:vAlign w:val="bottom"/>
          </w:tcPr>
          <w:p>
            <w:pPr>
              <w:spacing w:after="0"/>
              <w:rPr>
                <w:sz w:val="1"/>
                <w:szCs w:val="1"/>
                <w:color w:val="auto"/>
              </w:rPr>
            </w:pPr>
          </w:p>
        </w:tc>
      </w:tr>
      <w:tr>
        <w:trPr>
          <w:trHeight w:val="138"/>
        </w:trPr>
        <w:tc>
          <w:tcPr>
            <w:tcW w:w="3420" w:type="dxa"/>
            <w:vAlign w:val="bottom"/>
            <w:shd w:val="clear" w:color="auto" w:fill="CCEEFF"/>
          </w:tcPr>
          <w:p>
            <w:pPr>
              <w:ind w:left="80"/>
              <w:spacing w:after="0" w:line="138" w:lineRule="exact"/>
              <w:rPr>
                <w:sz w:val="20"/>
                <w:szCs w:val="20"/>
                <w:color w:val="auto"/>
              </w:rPr>
            </w:pPr>
            <w:r>
              <w:rPr>
                <w:rFonts w:ascii="Arial" w:cs="Arial" w:eastAsia="Arial" w:hAnsi="Arial"/>
                <w:sz w:val="13"/>
                <w:szCs w:val="13"/>
                <w:color w:val="auto"/>
              </w:rPr>
              <w:t>Intermediate duration corporate and government bonds</w:t>
            </w:r>
          </w:p>
        </w:tc>
        <w:tc>
          <w:tcPr>
            <w:tcW w:w="3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55"/>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35"/>
              <w:spacing w:after="0"/>
              <w:rPr>
                <w:sz w:val="20"/>
                <w:szCs w:val="20"/>
                <w:color w:val="auto"/>
              </w:rPr>
            </w:pPr>
            <w:r>
              <w:rPr>
                <w:rFonts w:ascii="Arial" w:cs="Arial" w:eastAsia="Arial" w:hAnsi="Arial"/>
                <w:sz w:val="13"/>
                <w:szCs w:val="13"/>
                <w:color w:val="auto"/>
              </w:rPr>
              <w:t>119</w:t>
            </w:r>
          </w:p>
        </w:tc>
        <w:tc>
          <w:tcPr>
            <w:tcW w:w="28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ind w:left="580"/>
              <w:spacing w:after="0"/>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55"/>
              <w:spacing w:after="0"/>
              <w:rPr>
                <w:sz w:val="20"/>
                <w:szCs w:val="20"/>
                <w:color w:val="auto"/>
              </w:rPr>
            </w:pPr>
            <w:r>
              <w:rPr>
                <w:rFonts w:ascii="Arial" w:cs="Arial" w:eastAsia="Arial" w:hAnsi="Arial"/>
                <w:sz w:val="13"/>
                <w:szCs w:val="13"/>
                <w:b w:val="1"/>
                <w:bCs w:val="1"/>
                <w:color w:val="auto"/>
              </w:rPr>
              <w:t>119</w:t>
            </w:r>
          </w:p>
        </w:tc>
        <w:tc>
          <w:tcPr>
            <w:tcW w:w="24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r>
        <w:trPr>
          <w:trHeight w:val="98"/>
        </w:trPr>
        <w:tc>
          <w:tcPr>
            <w:tcW w:w="3420" w:type="dxa"/>
            <w:vAlign w:val="bottom"/>
            <w:shd w:val="clear" w:color="auto" w:fill="CCEEFF"/>
          </w:tcPr>
          <w:p>
            <w:pPr>
              <w:ind w:left="80"/>
              <w:spacing w:after="0" w:line="99" w:lineRule="exact"/>
              <w:rPr>
                <w:sz w:val="20"/>
                <w:szCs w:val="20"/>
                <w:color w:val="auto"/>
              </w:rPr>
            </w:pPr>
            <w:r>
              <w:rPr>
                <w:rFonts w:ascii="Arial" w:cs="Arial" w:eastAsia="Arial" w:hAnsi="Arial"/>
                <w:sz w:val="10"/>
                <w:szCs w:val="10"/>
                <w:color w:val="auto"/>
              </w:rPr>
              <w:t>(5)</w:t>
            </w:r>
          </w:p>
        </w:tc>
        <w:tc>
          <w:tcPr>
            <w:tcW w:w="32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80" w:type="dxa"/>
            <w:vAlign w:val="bottom"/>
            <w:vMerge w:val="continue"/>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82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3420" w:type="dxa"/>
            <w:vAlign w:val="bottom"/>
          </w:tcPr>
          <w:p>
            <w:pPr>
              <w:spacing w:after="0" w:line="144" w:lineRule="exact"/>
              <w:rPr>
                <w:sz w:val="20"/>
                <w:szCs w:val="20"/>
                <w:color w:val="auto"/>
              </w:rPr>
            </w:pPr>
            <w:r>
              <w:rPr>
                <w:rFonts w:ascii="Arial" w:cs="Arial" w:eastAsia="Arial" w:hAnsi="Arial"/>
                <w:sz w:val="13"/>
                <w:szCs w:val="13"/>
                <w:color w:val="auto"/>
              </w:rPr>
              <w:t>Other types of investments:</w:t>
            </w: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420" w:type="dxa"/>
            <w:vAlign w:val="bottom"/>
            <w:shd w:val="clear" w:color="auto" w:fill="CCEEFF"/>
          </w:tcPr>
          <w:p>
            <w:pPr>
              <w:ind w:left="80"/>
              <w:spacing w:after="0" w:line="144" w:lineRule="exact"/>
              <w:rPr>
                <w:sz w:val="20"/>
                <w:szCs w:val="20"/>
                <w:color w:val="auto"/>
              </w:rPr>
            </w:pPr>
            <w:r>
              <w:rPr>
                <w:rFonts w:ascii="Arial" w:cs="Arial" w:eastAsia="Arial" w:hAnsi="Arial"/>
                <w:sz w:val="11"/>
                <w:szCs w:val="11"/>
                <w:color w:val="auto"/>
              </w:rPr>
              <w:t xml:space="preserve">Real estate securities </w:t>
            </w:r>
            <w:r>
              <w:rPr>
                <w:rFonts w:ascii="Arial" w:cs="Arial" w:eastAsia="Arial" w:hAnsi="Arial"/>
                <w:sz w:val="16"/>
                <w:szCs w:val="16"/>
                <w:color w:val="auto"/>
                <w:vertAlign w:val="superscript"/>
              </w:rPr>
              <w:t>(6)</w:t>
            </w:r>
          </w:p>
        </w:tc>
        <w:tc>
          <w:tcPr>
            <w:tcW w:w="32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35"/>
              <w:spacing w:after="0" w:line="144" w:lineRule="exact"/>
              <w:rPr>
                <w:sz w:val="20"/>
                <w:szCs w:val="20"/>
                <w:color w:val="auto"/>
              </w:rPr>
            </w:pPr>
            <w:r>
              <w:rPr>
                <w:rFonts w:ascii="Arial" w:cs="Arial" w:eastAsia="Arial" w:hAnsi="Arial"/>
                <w:sz w:val="13"/>
                <w:szCs w:val="13"/>
                <w:color w:val="auto"/>
              </w:rPr>
              <w:t>22</w:t>
            </w: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ind w:left="580"/>
              <w:spacing w:after="0" w:line="144" w:lineRule="exact"/>
              <w:rPr>
                <w:sz w:val="20"/>
                <w:szCs w:val="20"/>
                <w:color w:val="auto"/>
              </w:rPr>
            </w:pPr>
            <w:r>
              <w:rPr>
                <w:rFonts w:ascii="Arial" w:cs="Arial" w:eastAsia="Arial" w:hAnsi="Arial"/>
                <w:sz w:val="13"/>
                <w:szCs w:val="13"/>
                <w:color w:val="auto"/>
              </w:rPr>
              <w:t>—</w:t>
            </w:r>
          </w:p>
        </w:tc>
        <w:tc>
          <w:tcPr>
            <w:tcW w:w="22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b w:val="1"/>
                <w:bCs w:val="1"/>
                <w:color w:val="auto"/>
              </w:rPr>
              <w:t>22</w:t>
            </w: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44"/>
        </w:trPr>
        <w:tc>
          <w:tcPr>
            <w:tcW w:w="3420" w:type="dxa"/>
            <w:vAlign w:val="bottom"/>
            <w:tcBorders>
              <w:bottom w:val="single" w:sz="8" w:color="auto"/>
            </w:tcBorders>
          </w:tcPr>
          <w:p>
            <w:pPr>
              <w:ind w:left="80"/>
              <w:spacing w:after="0" w:line="144" w:lineRule="exact"/>
              <w:rPr>
                <w:sz w:val="20"/>
                <w:szCs w:val="20"/>
                <w:color w:val="auto"/>
              </w:rPr>
            </w:pPr>
            <w:r>
              <w:rPr>
                <w:rFonts w:ascii="Arial" w:cs="Arial" w:eastAsia="Arial" w:hAnsi="Arial"/>
                <w:sz w:val="13"/>
                <w:szCs w:val="13"/>
                <w:color w:val="auto"/>
              </w:rPr>
              <w:t>Insurance contracts</w:t>
            </w:r>
          </w:p>
        </w:tc>
        <w:tc>
          <w:tcPr>
            <w:tcW w:w="3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55"/>
              <w:spacing w:after="0" w:line="144" w:lineRule="exact"/>
              <w:rPr>
                <w:sz w:val="20"/>
                <w:szCs w:val="20"/>
                <w:color w:val="auto"/>
              </w:rPr>
            </w:pPr>
            <w:r>
              <w:rPr>
                <w:rFonts w:ascii="Arial" w:cs="Arial" w:eastAsia="Arial" w:hAnsi="Arial"/>
                <w:sz w:val="13"/>
                <w:szCs w:val="13"/>
                <w:color w:val="auto"/>
              </w:rPr>
              <w:t>—</w:t>
            </w: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5"/>
              <w:spacing w:after="0" w:line="144" w:lineRule="exact"/>
              <w:rPr>
                <w:sz w:val="20"/>
                <w:szCs w:val="20"/>
                <w:color w:val="auto"/>
              </w:rPr>
            </w:pPr>
            <w:r>
              <w:rPr>
                <w:rFonts w:ascii="Arial" w:cs="Arial" w:eastAsia="Arial" w:hAnsi="Arial"/>
                <w:sz w:val="13"/>
                <w:szCs w:val="13"/>
                <w:color w:val="auto"/>
              </w:rPr>
              <w:t>—</w:t>
            </w:r>
          </w:p>
        </w:tc>
        <w:tc>
          <w:tcPr>
            <w:tcW w:w="2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ind w:left="580"/>
              <w:spacing w:after="0" w:line="144"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55"/>
              <w:spacing w:after="0" w:line="144" w:lineRule="exact"/>
              <w:rPr>
                <w:sz w:val="20"/>
                <w:szCs w:val="20"/>
                <w:color w:val="auto"/>
              </w:rPr>
            </w:pPr>
            <w:r>
              <w:rPr>
                <w:rFonts w:ascii="Arial" w:cs="Arial" w:eastAsia="Arial" w:hAnsi="Arial"/>
                <w:sz w:val="13"/>
                <w:szCs w:val="13"/>
                <w:b w:val="1"/>
                <w:bCs w:val="1"/>
                <w:color w:val="auto"/>
              </w:rPr>
              <w:t>—</w:t>
            </w: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4"/>
        </w:trPr>
        <w:tc>
          <w:tcPr>
            <w:tcW w:w="3420" w:type="dxa"/>
            <w:vAlign w:val="bottom"/>
            <w:tcBorders>
              <w:bottom w:val="single" w:sz="8" w:color="auto"/>
            </w:tcBorders>
            <w:shd w:val="clear" w:color="auto" w:fill="CCEEFF"/>
          </w:tcPr>
          <w:p>
            <w:pPr>
              <w:spacing w:after="0" w:line="134" w:lineRule="exact"/>
              <w:rPr>
                <w:sz w:val="20"/>
                <w:szCs w:val="20"/>
                <w:color w:val="auto"/>
              </w:rPr>
            </w:pPr>
            <w:r>
              <w:rPr>
                <w:rFonts w:ascii="Arial" w:cs="Arial" w:eastAsia="Arial" w:hAnsi="Arial"/>
                <w:sz w:val="13"/>
                <w:szCs w:val="13"/>
                <w:color w:val="auto"/>
              </w:rPr>
              <w:t>Total assets at fair value</w:t>
            </w:r>
          </w:p>
        </w:tc>
        <w:tc>
          <w:tcPr>
            <w:tcW w:w="320" w:type="dxa"/>
            <w:vAlign w:val="bottom"/>
            <w:tcBorders>
              <w:bottom w:val="single" w:sz="8" w:color="auto"/>
            </w:tcBorders>
            <w:shd w:val="clear" w:color="auto" w:fill="CCEEFF"/>
          </w:tcPr>
          <w:p>
            <w:pPr>
              <w:jc w:val="right"/>
              <w:ind w:right="15"/>
              <w:spacing w:after="0" w:line="134"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jc w:val="right"/>
              <w:ind w:right="55"/>
              <w:spacing w:after="0" w:line="134" w:lineRule="exact"/>
              <w:rPr>
                <w:sz w:val="20"/>
                <w:szCs w:val="20"/>
                <w:color w:val="auto"/>
              </w:rPr>
            </w:pPr>
            <w:r>
              <w:rPr>
                <w:rFonts w:ascii="Arial" w:cs="Arial" w:eastAsia="Arial" w:hAnsi="Arial"/>
                <w:sz w:val="13"/>
                <w:szCs w:val="13"/>
                <w:color w:val="auto"/>
              </w:rPr>
              <w:t>17</w:t>
            </w:r>
          </w:p>
        </w:tc>
        <w:tc>
          <w:tcPr>
            <w:tcW w:w="260" w:type="dxa"/>
            <w:vAlign w:val="bottom"/>
            <w:tcBorders>
              <w:bottom w:val="single" w:sz="8" w:color="auto"/>
            </w:tcBorders>
            <w:shd w:val="clear" w:color="auto" w:fill="CCEEFF"/>
          </w:tcPr>
          <w:p>
            <w:pPr>
              <w:jc w:val="right"/>
              <w:ind w:right="15"/>
              <w:spacing w:after="0" w:line="134" w:lineRule="exact"/>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ind w:right="35"/>
              <w:spacing w:after="0" w:line="134" w:lineRule="exact"/>
              <w:rPr>
                <w:sz w:val="20"/>
                <w:szCs w:val="20"/>
                <w:color w:val="auto"/>
              </w:rPr>
            </w:pPr>
            <w:r>
              <w:rPr>
                <w:rFonts w:ascii="Arial" w:cs="Arial" w:eastAsia="Arial" w:hAnsi="Arial"/>
                <w:sz w:val="13"/>
                <w:szCs w:val="13"/>
                <w:color w:val="auto"/>
              </w:rPr>
              <w:t>649</w:t>
            </w:r>
          </w:p>
        </w:tc>
        <w:tc>
          <w:tcPr>
            <w:tcW w:w="280" w:type="dxa"/>
            <w:vAlign w:val="bottom"/>
            <w:tcBorders>
              <w:bottom w:val="single" w:sz="8" w:color="auto"/>
            </w:tcBorders>
            <w:shd w:val="clear" w:color="auto" w:fill="CCEEFF"/>
          </w:tcPr>
          <w:p>
            <w:pPr>
              <w:jc w:val="right"/>
              <w:ind w:right="15"/>
              <w:spacing w:after="0" w:line="134" w:lineRule="exact"/>
              <w:rPr>
                <w:sz w:val="20"/>
                <w:szCs w:val="20"/>
                <w:color w:val="auto"/>
              </w:rPr>
            </w:pPr>
            <w:r>
              <w:rPr>
                <w:rFonts w:ascii="Arial" w:cs="Arial" w:eastAsia="Arial" w:hAnsi="Arial"/>
                <w:sz w:val="13"/>
                <w:szCs w:val="13"/>
                <w:color w:val="auto"/>
              </w:rPr>
              <w:t>$</w:t>
            </w:r>
          </w:p>
        </w:tc>
        <w:tc>
          <w:tcPr>
            <w:tcW w:w="840" w:type="dxa"/>
            <w:vAlign w:val="bottom"/>
            <w:tcBorders>
              <w:bottom w:val="single" w:sz="8" w:color="auto"/>
            </w:tcBorders>
            <w:shd w:val="clear" w:color="auto" w:fill="CCEEFF"/>
          </w:tcPr>
          <w:p>
            <w:pPr>
              <w:ind w:left="580"/>
              <w:spacing w:after="0" w:line="134"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shd w:val="clear" w:color="auto" w:fill="CCEEFF"/>
          </w:tcPr>
          <w:p>
            <w:pPr>
              <w:jc w:val="right"/>
              <w:ind w:right="55"/>
              <w:spacing w:after="0" w:line="134" w:lineRule="exact"/>
              <w:rPr>
                <w:sz w:val="20"/>
                <w:szCs w:val="20"/>
                <w:color w:val="auto"/>
              </w:rPr>
            </w:pPr>
            <w:r>
              <w:rPr>
                <w:rFonts w:ascii="Arial" w:cs="Arial" w:eastAsia="Arial" w:hAnsi="Arial"/>
                <w:sz w:val="13"/>
                <w:szCs w:val="13"/>
                <w:b w:val="1"/>
                <w:bCs w:val="1"/>
                <w:color w:val="auto"/>
              </w:rPr>
              <w:t>666</w:t>
            </w:r>
          </w:p>
        </w:tc>
        <w:tc>
          <w:tcPr>
            <w:tcW w:w="24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664</w:t>
            </w:r>
          </w:p>
        </w:tc>
        <w:tc>
          <w:tcPr>
            <w:tcW w:w="0" w:type="dxa"/>
            <w:vAlign w:val="bottom"/>
          </w:tcPr>
          <w:p>
            <w:pPr>
              <w:spacing w:after="0"/>
              <w:rPr>
                <w:sz w:val="1"/>
                <w:szCs w:val="1"/>
                <w:color w:val="auto"/>
              </w:rPr>
            </w:pPr>
          </w:p>
        </w:tc>
      </w:tr>
      <w:tr>
        <w:trPr>
          <w:trHeight w:val="20"/>
        </w:trPr>
        <w:tc>
          <w:tcPr>
            <w:tcW w:w="34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280" w:hanging="250"/>
        <w:spacing w:after="0"/>
        <w:tabs>
          <w:tab w:leader="none" w:pos="280" w:val="left"/>
        </w:tabs>
        <w:numPr>
          <w:ilvl w:val="0"/>
          <w:numId w:val="25"/>
        </w:numPr>
        <w:rPr>
          <w:rFonts w:ascii="Arial" w:cs="Arial" w:eastAsia="Arial" w:hAnsi="Arial"/>
          <w:sz w:val="10"/>
          <w:szCs w:val="10"/>
          <w:color w:val="auto"/>
        </w:rPr>
      </w:pPr>
      <w:r>
        <w:rPr>
          <w:rFonts w:ascii="Arial" w:cs="Arial" w:eastAsia="Arial" w:hAnsi="Arial"/>
          <w:sz w:val="10"/>
          <w:szCs w:val="10"/>
          <w:color w:val="auto"/>
        </w:rPr>
        <w:t>Each category of plan assets is classified within the same level of the fair value hierarchy for 2020 and 2019.</w:t>
      </w:r>
    </w:p>
    <w:p>
      <w:pPr>
        <w:spacing w:after="0" w:line="29" w:lineRule="exact"/>
        <w:rPr>
          <w:sz w:val="20"/>
          <w:szCs w:val="20"/>
          <w:color w:val="auto"/>
        </w:rPr>
      </w:pPr>
    </w:p>
    <w:p>
      <w:pPr>
        <w:ind w:left="280" w:hanging="250"/>
        <w:spacing w:after="0"/>
        <w:tabs>
          <w:tab w:leader="none" w:pos="280" w:val="left"/>
        </w:tabs>
        <w:numPr>
          <w:ilvl w:val="0"/>
          <w:numId w:val="26"/>
        </w:numPr>
        <w:rPr>
          <w:rFonts w:ascii="Arial" w:cs="Arial" w:eastAsia="Arial" w:hAnsi="Arial"/>
          <w:sz w:val="10"/>
          <w:szCs w:val="10"/>
          <w:color w:val="auto"/>
        </w:rPr>
      </w:pPr>
      <w:r>
        <w:rPr>
          <w:rFonts w:ascii="Arial" w:cs="Arial" w:eastAsia="Arial" w:hAnsi="Arial"/>
          <w:sz w:val="10"/>
          <w:szCs w:val="10"/>
          <w:color w:val="auto"/>
        </w:rPr>
        <w:t>These categories consist of various managed funds that invest primarily in common stocks, as well as other equity securities and a combination of other funds.</w:t>
      </w:r>
    </w:p>
    <w:p>
      <w:pPr>
        <w:spacing w:after="0" w:line="28" w:lineRule="exact"/>
        <w:rPr>
          <w:rFonts w:ascii="Arial" w:cs="Arial" w:eastAsia="Arial" w:hAnsi="Arial"/>
          <w:sz w:val="10"/>
          <w:szCs w:val="10"/>
          <w:color w:val="auto"/>
        </w:rPr>
      </w:pPr>
    </w:p>
    <w:p>
      <w:pPr>
        <w:ind w:left="280" w:hanging="250"/>
        <w:spacing w:after="0"/>
        <w:tabs>
          <w:tab w:leader="none" w:pos="280" w:val="left"/>
        </w:tabs>
        <w:numPr>
          <w:ilvl w:val="0"/>
          <w:numId w:val="26"/>
        </w:numPr>
        <w:rPr>
          <w:rFonts w:ascii="Arial" w:cs="Arial" w:eastAsia="Arial" w:hAnsi="Arial"/>
          <w:sz w:val="10"/>
          <w:szCs w:val="10"/>
          <w:color w:val="auto"/>
        </w:rPr>
      </w:pPr>
      <w:r>
        <w:rPr>
          <w:rFonts w:ascii="Arial" w:cs="Arial" w:eastAsia="Arial" w:hAnsi="Arial"/>
          <w:sz w:val="10"/>
          <w:szCs w:val="10"/>
          <w:color w:val="auto"/>
        </w:rPr>
        <w:t>This category comprises three managed funds that invest primarily in international common stocks, as well as other equity securities and a combination of other funds.</w:t>
      </w:r>
    </w:p>
    <w:p>
      <w:pPr>
        <w:spacing w:after="0" w:line="28" w:lineRule="exact"/>
        <w:rPr>
          <w:rFonts w:ascii="Arial" w:cs="Arial" w:eastAsia="Arial" w:hAnsi="Arial"/>
          <w:sz w:val="10"/>
          <w:szCs w:val="10"/>
          <w:color w:val="auto"/>
        </w:rPr>
      </w:pPr>
    </w:p>
    <w:p>
      <w:pPr>
        <w:ind w:left="280" w:hanging="250"/>
        <w:spacing w:after="0"/>
        <w:tabs>
          <w:tab w:leader="none" w:pos="280" w:val="left"/>
        </w:tabs>
        <w:numPr>
          <w:ilvl w:val="0"/>
          <w:numId w:val="26"/>
        </w:numPr>
        <w:rPr>
          <w:rFonts w:ascii="Arial" w:cs="Arial" w:eastAsia="Arial" w:hAnsi="Arial"/>
          <w:sz w:val="10"/>
          <w:szCs w:val="10"/>
          <w:color w:val="auto"/>
        </w:rPr>
      </w:pPr>
      <w:r>
        <w:rPr>
          <w:rFonts w:ascii="Arial" w:cs="Arial" w:eastAsia="Arial" w:hAnsi="Arial"/>
          <w:sz w:val="10"/>
          <w:szCs w:val="10"/>
          <w:color w:val="auto"/>
        </w:rPr>
        <w:t>This category consists of the Company’s common stock.</w:t>
      </w:r>
    </w:p>
    <w:p>
      <w:pPr>
        <w:spacing w:after="0" w:line="18" w:lineRule="exact"/>
        <w:rPr>
          <w:rFonts w:ascii="Arial" w:cs="Arial" w:eastAsia="Arial" w:hAnsi="Arial"/>
          <w:sz w:val="10"/>
          <w:szCs w:val="10"/>
          <w:color w:val="auto"/>
        </w:rPr>
      </w:pPr>
    </w:p>
    <w:p>
      <w:pPr>
        <w:ind w:left="280" w:right="39" w:hanging="250"/>
        <w:spacing w:after="0" w:line="251" w:lineRule="auto"/>
        <w:tabs>
          <w:tab w:leader="none" w:pos="280" w:val="left"/>
        </w:tabs>
        <w:numPr>
          <w:ilvl w:val="0"/>
          <w:numId w:val="26"/>
        </w:numPr>
        <w:rPr>
          <w:rFonts w:ascii="Arial" w:cs="Arial" w:eastAsia="Arial" w:hAnsi="Arial"/>
          <w:sz w:val="10"/>
          <w:szCs w:val="10"/>
          <w:color w:val="auto"/>
        </w:rPr>
      </w:pPr>
      <w:r>
        <w:rPr>
          <w:rFonts w:ascii="Arial" w:cs="Arial" w:eastAsia="Arial" w:hAnsi="Arial"/>
          <w:sz w:val="10"/>
          <w:szCs w:val="10"/>
          <w:color w:val="auto"/>
        </w:rPr>
        <w:t>This category consists of various fixed-income funds that invest primarily in long-term bonds, as well as a combination of other funds, that together are designed to exceed the performance of related long-term market indices.</w:t>
      </w:r>
    </w:p>
    <w:p>
      <w:pPr>
        <w:spacing w:after="0" w:line="15" w:lineRule="exact"/>
        <w:rPr>
          <w:rFonts w:ascii="Arial" w:cs="Arial" w:eastAsia="Arial" w:hAnsi="Arial"/>
          <w:sz w:val="10"/>
          <w:szCs w:val="10"/>
          <w:color w:val="auto"/>
        </w:rPr>
      </w:pPr>
    </w:p>
    <w:p>
      <w:pPr>
        <w:ind w:left="280" w:right="39" w:hanging="250"/>
        <w:spacing w:after="0" w:line="251" w:lineRule="auto"/>
        <w:tabs>
          <w:tab w:leader="none" w:pos="280" w:val="left"/>
        </w:tabs>
        <w:numPr>
          <w:ilvl w:val="0"/>
          <w:numId w:val="26"/>
        </w:numPr>
        <w:rPr>
          <w:rFonts w:ascii="Arial" w:cs="Arial" w:eastAsia="Arial" w:hAnsi="Arial"/>
          <w:sz w:val="10"/>
          <w:szCs w:val="10"/>
          <w:color w:val="auto"/>
        </w:rPr>
      </w:pPr>
      <w:r>
        <w:rPr>
          <w:rFonts w:ascii="Arial" w:cs="Arial" w:eastAsia="Arial" w:hAnsi="Arial"/>
          <w:sz w:val="10"/>
          <w:szCs w:val="10"/>
          <w:color w:val="auto"/>
        </w:rPr>
        <w:t>This category consists of two fixed-income funds that invest primarily in intermediate duration bonds, as well as a combination of other funds, that together are designed to exceed the performance of related indices.</w:t>
      </w:r>
    </w:p>
    <w:p>
      <w:pPr>
        <w:spacing w:after="0" w:line="15" w:lineRule="exact"/>
        <w:rPr>
          <w:rFonts w:ascii="Arial" w:cs="Arial" w:eastAsia="Arial" w:hAnsi="Arial"/>
          <w:sz w:val="10"/>
          <w:szCs w:val="10"/>
          <w:color w:val="auto"/>
        </w:rPr>
      </w:pPr>
    </w:p>
    <w:p>
      <w:pPr>
        <w:ind w:left="280" w:hanging="250"/>
        <w:spacing w:after="0"/>
        <w:tabs>
          <w:tab w:leader="none" w:pos="280" w:val="left"/>
        </w:tabs>
        <w:numPr>
          <w:ilvl w:val="0"/>
          <w:numId w:val="26"/>
        </w:numPr>
        <w:rPr>
          <w:rFonts w:ascii="Arial" w:cs="Arial" w:eastAsia="Arial" w:hAnsi="Arial"/>
          <w:sz w:val="10"/>
          <w:szCs w:val="10"/>
          <w:color w:val="auto"/>
        </w:rPr>
      </w:pPr>
      <w:r>
        <w:rPr>
          <w:rFonts w:ascii="Arial" w:cs="Arial" w:eastAsia="Arial" w:hAnsi="Arial"/>
          <w:sz w:val="10"/>
          <w:szCs w:val="10"/>
          <w:color w:val="auto"/>
        </w:rPr>
        <w:t>This category consists of one fund that invests in global real estate securities.</w:t>
      </w:r>
    </w:p>
    <w:p>
      <w:pPr>
        <w:spacing w:after="0" w:line="271" w:lineRule="exact"/>
        <w:rPr>
          <w:sz w:val="20"/>
          <w:szCs w:val="20"/>
          <w:color w:val="auto"/>
        </w:rPr>
      </w:pPr>
    </w:p>
    <w:p>
      <w:pPr>
        <w:ind w:left="7520"/>
        <w:spacing w:after="0"/>
        <w:rPr>
          <w:sz w:val="20"/>
          <w:szCs w:val="20"/>
          <w:color w:val="auto"/>
        </w:rPr>
      </w:pPr>
      <w:r>
        <w:rPr>
          <w:rFonts w:ascii="Arial" w:cs="Arial" w:eastAsia="Arial" w:hAnsi="Arial"/>
          <w:sz w:val="12"/>
          <w:szCs w:val="12"/>
          <w:color w:val="auto"/>
        </w:rPr>
        <w:t>2020 Form 10-K Page 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365125</wp:posOffset>
            </wp:positionV>
            <wp:extent cx="5680075" cy="196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80075" cy="19685"/>
                    </a:xfrm>
                    <a:prstGeom prst="rect">
                      <a:avLst/>
                    </a:prstGeom>
                    <a:noFill/>
                  </pic:spPr>
                </pic:pic>
              </a:graphicData>
            </a:graphic>
          </wp:anchor>
        </w:drawing>
      </w:r>
    </w:p>
    <w:p>
      <w:pPr>
        <w:sectPr>
          <w:pgSz w:w="11900" w:h="16838" w:orient="portrait"/>
          <w:cols w:equalWidth="0" w:num="1">
            <w:col w:w="9019"/>
          </w:cols>
          <w:pgMar w:left="1440" w:top="995" w:right="1440" w:bottom="1440" w:gutter="0" w:footer="0" w:header="0"/>
        </w:sectPr>
      </w:pPr>
    </w:p>
    <w:bookmarkStart w:id="71" w:name="page72"/>
    <w:bookmarkEnd w:id="71"/>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2992755</wp:posOffset>
            </wp:positionH>
            <wp:positionV relativeFrom="page">
              <wp:posOffset>375285</wp:posOffset>
            </wp:positionV>
            <wp:extent cx="1563370" cy="169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1563370" cy="169545"/>
                    </a:xfrm>
                    <a:prstGeom prst="rect">
                      <a:avLst/>
                    </a:prstGeom>
                    <a:noFill/>
                  </pic:spPr>
                </pic:pic>
              </a:graphicData>
            </a:graphic>
          </wp:anchor>
        </w:drawing>
        <w:t>NOTES TO CONSOLIDATED FINANCIAL STATEMENTS</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Contributions and Expected Payments</w:t>
      </w:r>
    </w:p>
    <w:p>
      <w:pPr>
        <w:spacing w:after="0" w:line="131" w:lineRule="exact"/>
        <w:rPr>
          <w:sz w:val="20"/>
          <w:szCs w:val="20"/>
          <w:color w:val="auto"/>
        </w:rPr>
      </w:pPr>
    </w:p>
    <w:p>
      <w:pPr>
        <w:jc w:val="both"/>
        <w:ind w:left="20" w:right="39"/>
        <w:spacing w:after="0" w:line="235" w:lineRule="auto"/>
        <w:rPr>
          <w:sz w:val="20"/>
          <w:szCs w:val="20"/>
          <w:color w:val="auto"/>
        </w:rPr>
      </w:pPr>
      <w:r>
        <w:rPr>
          <w:rFonts w:ascii="Arial" w:cs="Arial" w:eastAsia="Arial" w:hAnsi="Arial"/>
          <w:sz w:val="13"/>
          <w:szCs w:val="13"/>
          <w:color w:val="auto"/>
        </w:rPr>
        <w:t>We were not required to make any contributions to the U.S. qualified pension plans in 2020. During 2019, we made a contribution of $55 million to this plan. We do not anticipate making any contributions to the U.S. qualified pension plan in 2021 due to the strong funded status of the plan, however we continually evaluate the amount and timing of any potential contributions based on market conditions and other factors. We paid $1 million and $2 million in pension benefits related to our non-qualified pension plans during 2020 and 2019, respectively.</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3"/>
          <w:szCs w:val="13"/>
          <w:color w:val="auto"/>
        </w:rPr>
        <w:t>Estimated future benefit payments for each of the next five years and the five years thereafter are as follows: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300" w:type="dxa"/>
            <w:vAlign w:val="bottom"/>
          </w:tcPr>
          <w:p>
            <w:pPr>
              <w:spacing w:after="0"/>
              <w:rPr>
                <w:sz w:val="13"/>
                <w:szCs w:val="13"/>
                <w:color w:val="auto"/>
              </w:rPr>
            </w:pPr>
          </w:p>
        </w:tc>
        <w:tc>
          <w:tcPr>
            <w:tcW w:w="3600" w:type="dxa"/>
            <w:vAlign w:val="bottom"/>
          </w:tcPr>
          <w:p>
            <w:pPr>
              <w:ind w:left="3000"/>
              <w:spacing w:after="0"/>
              <w:rPr>
                <w:sz w:val="20"/>
                <w:szCs w:val="20"/>
                <w:color w:val="auto"/>
              </w:rPr>
            </w:pPr>
            <w:r>
              <w:rPr>
                <w:rFonts w:ascii="Arial" w:cs="Arial" w:eastAsia="Arial" w:hAnsi="Arial"/>
                <w:sz w:val="13"/>
                <w:szCs w:val="13"/>
                <w:b w:val="1"/>
                <w:bCs w:val="1"/>
                <w:color w:val="auto"/>
              </w:rPr>
              <w:t>Pension</w:t>
            </w: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tcPr>
          <w:p>
            <w:pPr>
              <w:jc w:val="right"/>
              <w:ind w:right="195"/>
              <w:spacing w:after="0"/>
              <w:rPr>
                <w:sz w:val="20"/>
                <w:szCs w:val="20"/>
                <w:color w:val="auto"/>
              </w:rPr>
            </w:pPr>
            <w:r>
              <w:rPr>
                <w:rFonts w:ascii="Arial" w:cs="Arial" w:eastAsia="Arial" w:hAnsi="Arial"/>
                <w:sz w:val="13"/>
                <w:szCs w:val="13"/>
                <w:b w:val="1"/>
                <w:bCs w:val="1"/>
                <w:color w:val="auto"/>
              </w:rPr>
              <w:t>Postretirement</w:t>
            </w:r>
          </w:p>
        </w:tc>
      </w:tr>
      <w:tr>
        <w:trPr>
          <w:trHeight w:val="164"/>
        </w:trPr>
        <w:tc>
          <w:tcPr>
            <w:tcW w:w="33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 in millions)</w:t>
            </w:r>
          </w:p>
        </w:tc>
        <w:tc>
          <w:tcPr>
            <w:tcW w:w="3600" w:type="dxa"/>
            <w:vAlign w:val="bottom"/>
            <w:tcBorders>
              <w:bottom w:val="single" w:sz="8" w:color="auto"/>
            </w:tcBorders>
          </w:tcPr>
          <w:p>
            <w:pPr>
              <w:ind w:left="3000"/>
              <w:spacing w:after="0"/>
              <w:rPr>
                <w:sz w:val="20"/>
                <w:szCs w:val="20"/>
                <w:color w:val="auto"/>
              </w:rPr>
            </w:pPr>
            <w:r>
              <w:rPr>
                <w:rFonts w:ascii="Arial" w:cs="Arial" w:eastAsia="Arial" w:hAnsi="Arial"/>
                <w:sz w:val="13"/>
                <w:szCs w:val="13"/>
                <w:b w:val="1"/>
                <w:bCs w:val="1"/>
                <w:color w:val="auto"/>
              </w:rPr>
              <w:t>Benefits</w:t>
            </w:r>
          </w:p>
        </w:tc>
        <w:tc>
          <w:tcPr>
            <w:tcW w:w="4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395"/>
              <w:spacing w:after="0"/>
              <w:rPr>
                <w:sz w:val="20"/>
                <w:szCs w:val="20"/>
                <w:color w:val="auto"/>
              </w:rPr>
            </w:pPr>
            <w:r>
              <w:rPr>
                <w:rFonts w:ascii="Arial" w:cs="Arial" w:eastAsia="Arial" w:hAnsi="Arial"/>
                <w:sz w:val="13"/>
                <w:szCs w:val="13"/>
                <w:b w:val="1"/>
                <w:bCs w:val="1"/>
                <w:color w:val="auto"/>
              </w:rPr>
              <w:t>Benefits</w:t>
            </w:r>
          </w:p>
        </w:tc>
      </w:tr>
      <w:tr>
        <w:trPr>
          <w:trHeight w:val="134"/>
        </w:trPr>
        <w:tc>
          <w:tcPr>
            <w:tcW w:w="330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2021</w:t>
            </w:r>
          </w:p>
        </w:tc>
        <w:tc>
          <w:tcPr>
            <w:tcW w:w="3600" w:type="dxa"/>
            <w:vAlign w:val="bottom"/>
            <w:shd w:val="clear" w:color="auto" w:fill="CCEEFF"/>
          </w:tcPr>
          <w:p>
            <w:pPr>
              <w:jc w:val="right"/>
              <w:ind w:right="915"/>
              <w:spacing w:after="0" w:line="134"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75"/>
              <w:spacing w:after="0" w:line="134" w:lineRule="exact"/>
              <w:rPr>
                <w:sz w:val="20"/>
                <w:szCs w:val="20"/>
                <w:color w:val="auto"/>
              </w:rPr>
            </w:pPr>
            <w:r>
              <w:rPr>
                <w:rFonts w:ascii="Arial" w:cs="Arial" w:eastAsia="Arial" w:hAnsi="Arial"/>
                <w:sz w:val="13"/>
                <w:szCs w:val="13"/>
                <w:color w:val="auto"/>
              </w:rPr>
              <w:t>65</w:t>
            </w:r>
          </w:p>
        </w:tc>
        <w:tc>
          <w:tcPr>
            <w:tcW w:w="300" w:type="dxa"/>
            <w:vAlign w:val="bottom"/>
            <w:shd w:val="clear" w:color="auto" w:fill="CCEEFF"/>
          </w:tcPr>
          <w:p>
            <w:pPr>
              <w:jc w:val="right"/>
              <w:ind w:right="15"/>
              <w:spacing w:after="0" w:line="134" w:lineRule="exact"/>
              <w:rPr>
                <w:sz w:val="20"/>
                <w:szCs w:val="20"/>
                <w:color w:val="auto"/>
              </w:rPr>
            </w:pPr>
            <w:r>
              <w:rPr>
                <w:rFonts w:ascii="Arial" w:cs="Arial" w:eastAsia="Arial" w:hAnsi="Arial"/>
                <w:sz w:val="13"/>
                <w:szCs w:val="13"/>
                <w:color w:val="auto"/>
              </w:rPr>
              <w:t>$</w:t>
            </w:r>
          </w:p>
        </w:tc>
        <w:tc>
          <w:tcPr>
            <w:tcW w:w="128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1</w:t>
            </w:r>
          </w:p>
        </w:tc>
      </w:tr>
      <w:tr>
        <w:trPr>
          <w:trHeight w:val="144"/>
        </w:trPr>
        <w:tc>
          <w:tcPr>
            <w:tcW w:w="3300" w:type="dxa"/>
            <w:vAlign w:val="bottom"/>
          </w:tcPr>
          <w:p>
            <w:pPr>
              <w:spacing w:after="0" w:line="144" w:lineRule="exact"/>
              <w:rPr>
                <w:sz w:val="20"/>
                <w:szCs w:val="20"/>
                <w:color w:val="auto"/>
              </w:rPr>
            </w:pPr>
            <w:r>
              <w:rPr>
                <w:rFonts w:ascii="Arial" w:cs="Arial" w:eastAsia="Arial" w:hAnsi="Arial"/>
                <w:sz w:val="13"/>
                <w:szCs w:val="13"/>
                <w:color w:val="auto"/>
              </w:rPr>
              <w:t>2022</w:t>
            </w:r>
          </w:p>
        </w:tc>
        <w:tc>
          <w:tcPr>
            <w:tcW w:w="3600" w:type="dxa"/>
            <w:vAlign w:val="bottom"/>
          </w:tcPr>
          <w:p>
            <w:pPr>
              <w:spacing w:after="0"/>
              <w:rPr>
                <w:sz w:val="12"/>
                <w:szCs w:val="12"/>
                <w:color w:val="auto"/>
              </w:rPr>
            </w:pPr>
          </w:p>
        </w:tc>
        <w:tc>
          <w:tcPr>
            <w:tcW w:w="460" w:type="dxa"/>
            <w:vAlign w:val="bottom"/>
          </w:tcPr>
          <w:p>
            <w:pPr>
              <w:jc w:val="right"/>
              <w:ind w:right="75"/>
              <w:spacing w:after="0" w:line="144" w:lineRule="exact"/>
              <w:rPr>
                <w:sz w:val="20"/>
                <w:szCs w:val="20"/>
                <w:color w:val="auto"/>
              </w:rPr>
            </w:pPr>
            <w:r>
              <w:rPr>
                <w:rFonts w:ascii="Arial" w:cs="Arial" w:eastAsia="Arial" w:hAnsi="Arial"/>
                <w:sz w:val="13"/>
                <w:szCs w:val="13"/>
                <w:color w:val="auto"/>
              </w:rPr>
              <w:t>53</w:t>
            </w:r>
          </w:p>
        </w:tc>
        <w:tc>
          <w:tcPr>
            <w:tcW w:w="300" w:type="dxa"/>
            <w:vAlign w:val="bottom"/>
          </w:tcPr>
          <w:p>
            <w:pPr>
              <w:spacing w:after="0"/>
              <w:rPr>
                <w:sz w:val="12"/>
                <w:szCs w:val="12"/>
                <w:color w:val="auto"/>
              </w:rPr>
            </w:pPr>
          </w:p>
        </w:tc>
        <w:tc>
          <w:tcPr>
            <w:tcW w:w="1280" w:type="dxa"/>
            <w:vAlign w:val="bottom"/>
          </w:tcPr>
          <w:p>
            <w:pPr>
              <w:jc w:val="right"/>
              <w:spacing w:after="0" w:line="144" w:lineRule="exact"/>
              <w:rPr>
                <w:sz w:val="20"/>
                <w:szCs w:val="20"/>
                <w:color w:val="auto"/>
              </w:rPr>
            </w:pPr>
            <w:r>
              <w:rPr>
                <w:rFonts w:ascii="Arial" w:cs="Arial" w:eastAsia="Arial" w:hAnsi="Arial"/>
                <w:sz w:val="13"/>
                <w:szCs w:val="13"/>
                <w:color w:val="auto"/>
              </w:rPr>
              <w:t>1</w:t>
            </w:r>
          </w:p>
        </w:tc>
      </w:tr>
      <w:tr>
        <w:trPr>
          <w:trHeight w:val="144"/>
        </w:trPr>
        <w:tc>
          <w:tcPr>
            <w:tcW w:w="33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2023</w:t>
            </w:r>
          </w:p>
        </w:tc>
        <w:tc>
          <w:tcPr>
            <w:tcW w:w="36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color w:val="auto"/>
              </w:rPr>
              <w:t>51</w:t>
            </w:r>
          </w:p>
        </w:tc>
        <w:tc>
          <w:tcPr>
            <w:tcW w:w="3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1</w:t>
            </w:r>
          </w:p>
        </w:tc>
      </w:tr>
      <w:tr>
        <w:trPr>
          <w:trHeight w:val="144"/>
        </w:trPr>
        <w:tc>
          <w:tcPr>
            <w:tcW w:w="3300" w:type="dxa"/>
            <w:vAlign w:val="bottom"/>
          </w:tcPr>
          <w:p>
            <w:pPr>
              <w:spacing w:after="0" w:line="144" w:lineRule="exact"/>
              <w:rPr>
                <w:sz w:val="20"/>
                <w:szCs w:val="20"/>
                <w:color w:val="auto"/>
              </w:rPr>
            </w:pPr>
            <w:r>
              <w:rPr>
                <w:rFonts w:ascii="Arial" w:cs="Arial" w:eastAsia="Arial" w:hAnsi="Arial"/>
                <w:sz w:val="13"/>
                <w:szCs w:val="13"/>
                <w:color w:val="auto"/>
              </w:rPr>
              <w:t>2024</w:t>
            </w:r>
          </w:p>
        </w:tc>
        <w:tc>
          <w:tcPr>
            <w:tcW w:w="3600" w:type="dxa"/>
            <w:vAlign w:val="bottom"/>
          </w:tcPr>
          <w:p>
            <w:pPr>
              <w:spacing w:after="0"/>
              <w:rPr>
                <w:sz w:val="12"/>
                <w:szCs w:val="12"/>
                <w:color w:val="auto"/>
              </w:rPr>
            </w:pPr>
          </w:p>
        </w:tc>
        <w:tc>
          <w:tcPr>
            <w:tcW w:w="460" w:type="dxa"/>
            <w:vAlign w:val="bottom"/>
          </w:tcPr>
          <w:p>
            <w:pPr>
              <w:jc w:val="right"/>
              <w:ind w:right="75"/>
              <w:spacing w:after="0" w:line="144" w:lineRule="exact"/>
              <w:rPr>
                <w:sz w:val="20"/>
                <w:szCs w:val="20"/>
                <w:color w:val="auto"/>
              </w:rPr>
            </w:pPr>
            <w:r>
              <w:rPr>
                <w:rFonts w:ascii="Arial" w:cs="Arial" w:eastAsia="Arial" w:hAnsi="Arial"/>
                <w:sz w:val="13"/>
                <w:szCs w:val="13"/>
                <w:color w:val="auto"/>
              </w:rPr>
              <w:t>49</w:t>
            </w:r>
          </w:p>
        </w:tc>
        <w:tc>
          <w:tcPr>
            <w:tcW w:w="300" w:type="dxa"/>
            <w:vAlign w:val="bottom"/>
          </w:tcPr>
          <w:p>
            <w:pPr>
              <w:spacing w:after="0"/>
              <w:rPr>
                <w:sz w:val="12"/>
                <w:szCs w:val="12"/>
                <w:color w:val="auto"/>
              </w:rPr>
            </w:pPr>
          </w:p>
        </w:tc>
        <w:tc>
          <w:tcPr>
            <w:tcW w:w="128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r>
      <w:tr>
        <w:trPr>
          <w:trHeight w:val="144"/>
        </w:trPr>
        <w:tc>
          <w:tcPr>
            <w:tcW w:w="33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2025</w:t>
            </w:r>
          </w:p>
        </w:tc>
        <w:tc>
          <w:tcPr>
            <w:tcW w:w="36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color w:val="auto"/>
              </w:rPr>
              <w:t>46</w:t>
            </w:r>
          </w:p>
        </w:tc>
        <w:tc>
          <w:tcPr>
            <w:tcW w:w="300" w:type="dxa"/>
            <w:vAlign w:val="bottom"/>
            <w:shd w:val="clear" w:color="auto" w:fill="CCEEFF"/>
          </w:tcPr>
          <w:p>
            <w:pPr>
              <w:spacing w:after="0"/>
              <w:rPr>
                <w:sz w:val="12"/>
                <w:szCs w:val="12"/>
                <w:color w:val="auto"/>
              </w:rPr>
            </w:pPr>
          </w:p>
        </w:tc>
        <w:tc>
          <w:tcPr>
            <w:tcW w:w="12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r>
      <w:tr>
        <w:trPr>
          <w:trHeight w:val="144"/>
        </w:trPr>
        <w:tc>
          <w:tcPr>
            <w:tcW w:w="330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color w:val="auto"/>
              </w:rPr>
              <w:t>2026-2030</w:t>
            </w:r>
          </w:p>
        </w:tc>
        <w:tc>
          <w:tcPr>
            <w:tcW w:w="36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5"/>
              <w:spacing w:after="0" w:line="144" w:lineRule="exact"/>
              <w:rPr>
                <w:sz w:val="20"/>
                <w:szCs w:val="20"/>
                <w:color w:val="auto"/>
              </w:rPr>
            </w:pPr>
            <w:r>
              <w:rPr>
                <w:rFonts w:ascii="Arial" w:cs="Arial" w:eastAsia="Arial" w:hAnsi="Arial"/>
                <w:sz w:val="13"/>
                <w:szCs w:val="13"/>
                <w:color w:val="auto"/>
              </w:rPr>
              <w:t>208</w:t>
            </w:r>
          </w:p>
        </w:tc>
        <w:tc>
          <w:tcPr>
            <w:tcW w:w="3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3</w:t>
            </w:r>
          </w:p>
        </w:tc>
      </w:tr>
    </w:tbl>
    <w:p>
      <w:pPr>
        <w:spacing w:after="0" w:line="125"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Savings Plans</w:t>
      </w:r>
    </w:p>
    <w:p>
      <w:pPr>
        <w:spacing w:after="0" w:line="172" w:lineRule="exact"/>
        <w:rPr>
          <w:sz w:val="20"/>
          <w:szCs w:val="20"/>
          <w:color w:val="auto"/>
        </w:rPr>
      </w:pPr>
    </w:p>
    <w:p>
      <w:pPr>
        <w:jc w:val="both"/>
        <w:ind w:left="20" w:right="39"/>
        <w:spacing w:after="0" w:line="232" w:lineRule="auto"/>
        <w:rPr>
          <w:sz w:val="20"/>
          <w:szCs w:val="20"/>
          <w:color w:val="auto"/>
        </w:rPr>
      </w:pPr>
      <w:r>
        <w:rPr>
          <w:rFonts w:ascii="Arial" w:cs="Arial" w:eastAsia="Arial" w:hAnsi="Arial"/>
          <w:sz w:val="13"/>
          <w:szCs w:val="13"/>
          <w:color w:val="auto"/>
        </w:rPr>
        <w:t>We have two qualified savings plans, a 401(k) plan that is available to employees whose primary place of employment is the U.S., and another plan that is available to employees whose primary place of employment is in Puerto Rico. Eligible team members may contribute to the plans following 28 days of employment and are eligible for matching contributions upon completion of one year of service consisting of at least 1,000 hours. As of January 1, 2021, the savings plans allow eligible employees to contribute up to 40 percent of their compensation on a pre-tax basis, subject to a maximum of $19,500 for the U.S. plan and $15,000 for the Puerto Rico plan. Prior to January 1, 2020, we matched 25 percent of employees’ pre-tax contributions on up to the first 4 percent of the employees’ compensation (subject to certain limitations). Effective January 1, 2020, we match 100 percent of employees’ pre-tax contributions on up to the first 1 percent and 50 percent of the next 5 percent of the employees’ compensation (subject to certain limitations). Prior to January 1, 2020, such matching contributions were vested incrementally over the first five years of participation for both plans. Effective January 1, 2020, matching contributions are vested over two years. The charge to operations for matching contribution was $13 million and $4 million for 2020 and 2019, respectively.</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20. Share-Based Compensation</w:t>
      </w:r>
    </w:p>
    <w:p>
      <w:pPr>
        <w:spacing w:after="0" w:line="119"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Stock Awards</w:t>
      </w:r>
    </w:p>
    <w:p>
      <w:pPr>
        <w:spacing w:after="0" w:line="172" w:lineRule="exact"/>
        <w:rPr>
          <w:sz w:val="20"/>
          <w:szCs w:val="20"/>
          <w:color w:val="auto"/>
        </w:rPr>
      </w:pPr>
    </w:p>
    <w:p>
      <w:pPr>
        <w:jc w:val="both"/>
        <w:ind w:left="20" w:right="39"/>
        <w:spacing w:after="0" w:line="233" w:lineRule="auto"/>
        <w:rPr>
          <w:sz w:val="20"/>
          <w:szCs w:val="20"/>
          <w:color w:val="auto"/>
        </w:rPr>
      </w:pPr>
      <w:r>
        <w:rPr>
          <w:rFonts w:ascii="Arial" w:cs="Arial" w:eastAsia="Arial" w:hAnsi="Arial"/>
          <w:sz w:val="13"/>
          <w:szCs w:val="13"/>
          <w:color w:val="auto"/>
        </w:rPr>
        <w:t>Under our 2007 Stock Incentive Plan (the “2007 Stock Plan”), stock options, restricted stock, restricted stock units, stock appreciation rights, or other share-based awards may be granted to nonemployee directors, officers and other employees, including our subsidiaries and operating divisions worldwide. Options for employees become exercisable in substantially equal annual installments over a three-year period, beginning with the first anniversary of the date of grant of the option, unless a shorter or longer duration is established at the time of the option grant. The options terminate ten years from the date of grant. On May 21, 2014, the 2007 Stock Plan was amended to increase the number of shares of common stock reserved for all awards to 14 million shares. As of January 30, 2021, there were 7,053,613 shares available for issuance under this plan.</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Employees Stock Purchase Plan</w:t>
      </w:r>
    </w:p>
    <w:p>
      <w:pPr>
        <w:spacing w:after="0" w:line="172" w:lineRule="exact"/>
        <w:rPr>
          <w:sz w:val="20"/>
          <w:szCs w:val="20"/>
          <w:color w:val="auto"/>
        </w:rPr>
      </w:pPr>
    </w:p>
    <w:p>
      <w:pPr>
        <w:jc w:val="both"/>
        <w:ind w:left="20" w:right="39"/>
        <w:spacing w:after="0" w:line="235" w:lineRule="auto"/>
        <w:rPr>
          <w:sz w:val="20"/>
          <w:szCs w:val="20"/>
          <w:color w:val="auto"/>
        </w:rPr>
      </w:pPr>
      <w:r>
        <w:rPr>
          <w:rFonts w:ascii="Arial" w:cs="Arial" w:eastAsia="Arial" w:hAnsi="Arial"/>
          <w:sz w:val="13"/>
          <w:szCs w:val="13"/>
          <w:color w:val="auto"/>
        </w:rPr>
        <w:t>Under our 2013 Foot Locker Employees Stock Purchase Plan (“ESPP”), participating employees are able to contribute up to 10 percent of their annual compensation, not to exceed $25,000 in any plan year, through payroll deductions to acquire shares of our common stock at 85 percent of the lower market price on one of two specified dates in each plan year. Of the 3,000,000 shares of common stock authorized under this plan, there were 2,275,164 shares available for purchase as of January 30, 2021. During 2020 and 2019, participating employees purchased 104,054 shares and 96,451 shares, respectively.</w:t>
      </w:r>
    </w:p>
    <w:p>
      <w:pPr>
        <w:spacing w:after="0" w:line="200" w:lineRule="exact"/>
        <w:rPr>
          <w:sz w:val="20"/>
          <w:szCs w:val="20"/>
          <w:color w:val="auto"/>
        </w:rPr>
      </w:pPr>
    </w:p>
    <w:p>
      <w:pPr>
        <w:spacing w:after="0" w:line="230" w:lineRule="exact"/>
        <w:rPr>
          <w:sz w:val="20"/>
          <w:szCs w:val="20"/>
          <w:color w:val="auto"/>
        </w:rPr>
      </w:pPr>
    </w:p>
    <w:p>
      <w:pPr>
        <w:ind w:left="7520"/>
        <w:spacing w:after="0"/>
        <w:rPr>
          <w:sz w:val="20"/>
          <w:szCs w:val="20"/>
          <w:color w:val="auto"/>
        </w:rPr>
      </w:pPr>
      <w:r>
        <w:rPr>
          <w:rFonts w:ascii="Arial" w:cs="Arial" w:eastAsia="Arial" w:hAnsi="Arial"/>
          <w:sz w:val="12"/>
          <w:szCs w:val="12"/>
          <w:color w:val="auto"/>
        </w:rPr>
        <w:t>2020 Form 10-K Page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365125</wp:posOffset>
            </wp:positionV>
            <wp:extent cx="5680075" cy="196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80075" cy="19685"/>
                    </a:xfrm>
                    <a:prstGeom prst="rect">
                      <a:avLst/>
                    </a:prstGeom>
                    <a:noFill/>
                  </pic:spPr>
                </pic:pic>
              </a:graphicData>
            </a:graphic>
          </wp:anchor>
        </w:drawing>
      </w:r>
    </w:p>
    <w:p>
      <w:pPr>
        <w:sectPr>
          <w:pgSz w:w="11900" w:h="16838" w:orient="portrait"/>
          <w:cols w:equalWidth="0" w:num="1">
            <w:col w:w="9019"/>
          </w:cols>
          <w:pgMar w:left="1440" w:top="995" w:right="1440"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2992755</wp:posOffset>
            </wp:positionH>
            <wp:positionV relativeFrom="page">
              <wp:posOffset>375285</wp:posOffset>
            </wp:positionV>
            <wp:extent cx="1563370" cy="169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1563370" cy="169545"/>
                    </a:xfrm>
                    <a:prstGeom prst="rect">
                      <a:avLst/>
                    </a:prstGeom>
                    <a:noFill/>
                  </pic:spPr>
                </pic:pic>
              </a:graphicData>
            </a:graphic>
          </wp:anchor>
        </w:drawing>
        <w:t>NOTES TO CONSOLIDATED FINANCIAL STATEMENTS</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Share-Based Compensation Expense</w:t>
      </w:r>
    </w:p>
    <w:p>
      <w:pPr>
        <w:spacing w:after="0" w:line="172" w:lineRule="exact"/>
        <w:rPr>
          <w:sz w:val="20"/>
          <w:szCs w:val="20"/>
          <w:color w:val="auto"/>
        </w:rPr>
      </w:pPr>
    </w:p>
    <w:p>
      <w:pPr>
        <w:ind w:left="20"/>
        <w:spacing w:after="0"/>
        <w:rPr>
          <w:sz w:val="20"/>
          <w:szCs w:val="20"/>
          <w:color w:val="auto"/>
        </w:rPr>
      </w:pPr>
      <w:r>
        <w:rPr>
          <w:rFonts w:ascii="Arial" w:cs="Arial" w:eastAsia="Arial" w:hAnsi="Arial"/>
          <w:sz w:val="12"/>
          <w:szCs w:val="12"/>
          <w:color w:val="auto"/>
        </w:rPr>
        <w:t>Total compensation expense included in SG&amp;A and the associated tax benefits recognized related to our share-based compensation plans, were as follows:</w:t>
      </w:r>
    </w:p>
    <w:p>
      <w:pPr>
        <w:spacing w:after="0" w:line="143"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3540" w:type="dxa"/>
            <w:vAlign w:val="bottom"/>
            <w:gridSpan w:val="2"/>
          </w:tcPr>
          <w:p>
            <w:pPr>
              <w:spacing w:after="0"/>
              <w:rPr>
                <w:sz w:val="20"/>
                <w:szCs w:val="20"/>
                <w:color w:val="auto"/>
              </w:rPr>
            </w:pPr>
            <w:r>
              <w:rPr>
                <w:rFonts w:ascii="Arial" w:cs="Arial" w:eastAsia="Arial" w:hAnsi="Arial"/>
                <w:sz w:val="13"/>
                <w:szCs w:val="13"/>
                <w:color w:val="auto"/>
              </w:rPr>
              <w:t>($ in millions)</w:t>
            </w:r>
          </w:p>
        </w:tc>
        <w:tc>
          <w:tcPr>
            <w:tcW w:w="1140" w:type="dxa"/>
            <w:vAlign w:val="bottom"/>
          </w:tcPr>
          <w:p>
            <w:pPr>
              <w:spacing w:after="0"/>
              <w:rPr>
                <w:sz w:val="14"/>
                <w:szCs w:val="14"/>
                <w:color w:val="auto"/>
              </w:rPr>
            </w:pPr>
          </w:p>
        </w:tc>
        <w:tc>
          <w:tcPr>
            <w:tcW w:w="1160" w:type="dxa"/>
            <w:vAlign w:val="bottom"/>
          </w:tcPr>
          <w:p>
            <w:pPr>
              <w:jc w:val="right"/>
              <w:ind w:right="575"/>
              <w:spacing w:after="0"/>
              <w:rPr>
                <w:sz w:val="20"/>
                <w:szCs w:val="20"/>
                <w:color w:val="auto"/>
              </w:rPr>
            </w:pPr>
            <w:r>
              <w:rPr>
                <w:rFonts w:ascii="Arial" w:cs="Arial" w:eastAsia="Arial" w:hAnsi="Arial"/>
                <w:sz w:val="13"/>
                <w:szCs w:val="13"/>
                <w:b w:val="1"/>
                <w:bCs w:val="1"/>
                <w:color w:val="auto"/>
              </w:rPr>
              <w:t>2020</w:t>
            </w:r>
          </w:p>
        </w:tc>
        <w:tc>
          <w:tcPr>
            <w:tcW w:w="440" w:type="dxa"/>
            <w:vAlign w:val="bottom"/>
          </w:tcPr>
          <w:p>
            <w:pPr>
              <w:spacing w:after="0"/>
              <w:rPr>
                <w:sz w:val="14"/>
                <w:szCs w:val="14"/>
                <w:color w:val="auto"/>
              </w:rPr>
            </w:pPr>
          </w:p>
        </w:tc>
        <w:tc>
          <w:tcPr>
            <w:tcW w:w="1160" w:type="dxa"/>
            <w:vAlign w:val="bottom"/>
          </w:tcPr>
          <w:p>
            <w:pPr>
              <w:jc w:val="right"/>
              <w:ind w:right="575"/>
              <w:spacing w:after="0"/>
              <w:rPr>
                <w:sz w:val="20"/>
                <w:szCs w:val="20"/>
                <w:color w:val="auto"/>
              </w:rPr>
            </w:pPr>
            <w:r>
              <w:rPr>
                <w:rFonts w:ascii="Arial" w:cs="Arial" w:eastAsia="Arial" w:hAnsi="Arial"/>
                <w:sz w:val="13"/>
                <w:szCs w:val="13"/>
                <w:color w:val="auto"/>
              </w:rPr>
              <w:t>2019</w:t>
            </w:r>
          </w:p>
        </w:tc>
        <w:tc>
          <w:tcPr>
            <w:tcW w:w="440" w:type="dxa"/>
            <w:vAlign w:val="bottom"/>
          </w:tcPr>
          <w:p>
            <w:pPr>
              <w:spacing w:after="0"/>
              <w:rPr>
                <w:sz w:val="14"/>
                <w:szCs w:val="14"/>
                <w:color w:val="auto"/>
              </w:rPr>
            </w:pPr>
          </w:p>
        </w:tc>
        <w:tc>
          <w:tcPr>
            <w:tcW w:w="1060" w:type="dxa"/>
            <w:vAlign w:val="bottom"/>
          </w:tcPr>
          <w:p>
            <w:pPr>
              <w:jc w:val="right"/>
              <w:ind w:right="475"/>
              <w:spacing w:after="0"/>
              <w:rPr>
                <w:sz w:val="20"/>
                <w:szCs w:val="20"/>
                <w:color w:val="auto"/>
              </w:rPr>
            </w:pPr>
            <w:r>
              <w:rPr>
                <w:rFonts w:ascii="Arial" w:cs="Arial" w:eastAsia="Arial" w:hAnsi="Arial"/>
                <w:sz w:val="13"/>
                <w:szCs w:val="13"/>
                <w:color w:val="auto"/>
              </w:rPr>
              <w:t>2018</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20" w:type="dxa"/>
            <w:vAlign w:val="bottom"/>
            <w:tcBorders>
              <w:top w:val="single" w:sz="8" w:color="auto"/>
            </w:tcBorders>
            <w:shd w:val="clear" w:color="auto" w:fill="CCEEFF"/>
          </w:tcPr>
          <w:p>
            <w:pPr>
              <w:spacing w:after="0" w:line="134" w:lineRule="exact"/>
              <w:rPr>
                <w:sz w:val="20"/>
                <w:szCs w:val="20"/>
                <w:color w:val="auto"/>
              </w:rPr>
            </w:pPr>
            <w:r>
              <w:rPr>
                <w:rFonts w:ascii="Arial" w:cs="Arial" w:eastAsia="Arial" w:hAnsi="Arial"/>
                <w:sz w:val="13"/>
                <w:szCs w:val="13"/>
                <w:color w:val="auto"/>
              </w:rPr>
              <w:t>Options and shares purchased under the ESPP</w:t>
            </w:r>
          </w:p>
        </w:tc>
        <w:tc>
          <w:tcPr>
            <w:tcW w:w="1140" w:type="dxa"/>
            <w:vAlign w:val="bottom"/>
            <w:tcBorders>
              <w:top w:val="single" w:sz="8" w:color="auto"/>
            </w:tcBorders>
            <w:shd w:val="clear" w:color="auto" w:fill="CCEEFF"/>
          </w:tcPr>
          <w:p>
            <w:pPr>
              <w:jc w:val="right"/>
              <w:ind w:right="175"/>
              <w:spacing w:after="0" w:line="134" w:lineRule="exact"/>
              <w:rPr>
                <w:sz w:val="20"/>
                <w:szCs w:val="20"/>
                <w:color w:val="auto"/>
              </w:rPr>
            </w:pPr>
            <w:r>
              <w:rPr>
                <w:rFonts w:ascii="Arial" w:cs="Arial" w:eastAsia="Arial" w:hAnsi="Arial"/>
                <w:sz w:val="13"/>
                <w:szCs w:val="13"/>
                <w:b w:val="1"/>
                <w:bCs w:val="1"/>
                <w:color w:val="auto"/>
              </w:rPr>
              <w:t>$</w:t>
            </w:r>
          </w:p>
        </w:tc>
        <w:tc>
          <w:tcPr>
            <w:tcW w:w="1160" w:type="dxa"/>
            <w:vAlign w:val="bottom"/>
            <w:tcBorders>
              <w:top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b w:val="1"/>
                <w:bCs w:val="1"/>
                <w:color w:val="auto"/>
              </w:rPr>
              <w:t>6</w:t>
            </w:r>
          </w:p>
        </w:tc>
        <w:tc>
          <w:tcPr>
            <w:tcW w:w="440" w:type="dxa"/>
            <w:vAlign w:val="bottom"/>
            <w:tcBorders>
              <w:top w:val="single" w:sz="8" w:color="auto"/>
            </w:tcBorders>
            <w:shd w:val="clear" w:color="auto" w:fill="CCEEFF"/>
          </w:tcPr>
          <w:p>
            <w:pPr>
              <w:jc w:val="right"/>
              <w:ind w:right="175"/>
              <w:spacing w:after="0" w:line="134" w:lineRule="exact"/>
              <w:rPr>
                <w:sz w:val="20"/>
                <w:szCs w:val="20"/>
                <w:color w:val="auto"/>
              </w:rPr>
            </w:pPr>
            <w:r>
              <w:rPr>
                <w:rFonts w:ascii="Arial" w:cs="Arial" w:eastAsia="Arial" w:hAnsi="Arial"/>
                <w:sz w:val="13"/>
                <w:szCs w:val="13"/>
                <w:color w:val="auto"/>
              </w:rPr>
              <w:t>$</w:t>
            </w:r>
          </w:p>
        </w:tc>
        <w:tc>
          <w:tcPr>
            <w:tcW w:w="1160" w:type="dxa"/>
            <w:vAlign w:val="bottom"/>
            <w:tcBorders>
              <w:top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color w:val="auto"/>
              </w:rPr>
              <w:t>6</w:t>
            </w:r>
          </w:p>
        </w:tc>
        <w:tc>
          <w:tcPr>
            <w:tcW w:w="440" w:type="dxa"/>
            <w:vAlign w:val="bottom"/>
            <w:tcBorders>
              <w:top w:val="single" w:sz="8" w:color="auto"/>
            </w:tcBorders>
            <w:shd w:val="clear" w:color="auto" w:fill="CCEEFF"/>
          </w:tcPr>
          <w:p>
            <w:pPr>
              <w:jc w:val="right"/>
              <w:ind w:right="175"/>
              <w:spacing w:after="0" w:line="134" w:lineRule="exact"/>
              <w:rPr>
                <w:sz w:val="20"/>
                <w:szCs w:val="20"/>
                <w:color w:val="auto"/>
              </w:rPr>
            </w:pPr>
            <w:r>
              <w:rPr>
                <w:rFonts w:ascii="Arial" w:cs="Arial" w:eastAsia="Arial" w:hAnsi="Arial"/>
                <w:sz w:val="13"/>
                <w:szCs w:val="13"/>
                <w:color w:val="auto"/>
              </w:rPr>
              <w:t>$</w:t>
            </w:r>
          </w:p>
        </w:tc>
        <w:tc>
          <w:tcPr>
            <w:tcW w:w="106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52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color w:val="auto"/>
              </w:rPr>
              <w:t>Restricted stock and restricted stock units</w:t>
            </w:r>
          </w:p>
        </w:tc>
        <w:tc>
          <w:tcPr>
            <w:tcW w:w="11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75"/>
              <w:spacing w:after="0" w:line="144" w:lineRule="exact"/>
              <w:rPr>
                <w:sz w:val="20"/>
                <w:szCs w:val="20"/>
                <w:color w:val="auto"/>
              </w:rPr>
            </w:pPr>
            <w:r>
              <w:rPr>
                <w:rFonts w:ascii="Arial" w:cs="Arial" w:eastAsia="Arial" w:hAnsi="Arial"/>
                <w:sz w:val="13"/>
                <w:szCs w:val="13"/>
                <w:b w:val="1"/>
                <w:bCs w:val="1"/>
                <w:color w:val="auto"/>
              </w:rPr>
              <w:t>9</w:t>
            </w:r>
          </w:p>
        </w:tc>
        <w:tc>
          <w:tcPr>
            <w:tcW w:w="4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75"/>
              <w:spacing w:after="0" w:line="144" w:lineRule="exact"/>
              <w:rPr>
                <w:sz w:val="20"/>
                <w:szCs w:val="20"/>
                <w:color w:val="auto"/>
              </w:rPr>
            </w:pPr>
            <w:r>
              <w:rPr>
                <w:rFonts w:ascii="Arial" w:cs="Arial" w:eastAsia="Arial" w:hAnsi="Arial"/>
                <w:sz w:val="13"/>
                <w:szCs w:val="13"/>
                <w:color w:val="auto"/>
              </w:rPr>
              <w:t>12</w:t>
            </w:r>
          </w:p>
        </w:tc>
        <w:tc>
          <w:tcPr>
            <w:tcW w:w="4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520" w:type="dxa"/>
            <w:vAlign w:val="bottom"/>
            <w:tcBorders>
              <w:bottom w:val="single" w:sz="8" w:color="auto"/>
            </w:tcBorders>
            <w:shd w:val="clear" w:color="auto" w:fill="CCEEFF"/>
          </w:tcPr>
          <w:p>
            <w:pPr>
              <w:spacing w:after="0" w:line="134" w:lineRule="exact"/>
              <w:rPr>
                <w:sz w:val="20"/>
                <w:szCs w:val="20"/>
                <w:color w:val="auto"/>
              </w:rPr>
            </w:pPr>
            <w:r>
              <w:rPr>
                <w:rFonts w:ascii="Arial" w:cs="Arial" w:eastAsia="Arial" w:hAnsi="Arial"/>
                <w:sz w:val="13"/>
                <w:szCs w:val="13"/>
                <w:color w:val="auto"/>
              </w:rPr>
              <w:t>Total share-based compensation expense</w:t>
            </w:r>
          </w:p>
        </w:tc>
        <w:tc>
          <w:tcPr>
            <w:tcW w:w="1140" w:type="dxa"/>
            <w:vAlign w:val="bottom"/>
            <w:tcBorders>
              <w:bottom w:val="single" w:sz="8" w:color="auto"/>
            </w:tcBorders>
            <w:shd w:val="clear" w:color="auto" w:fill="CCEEFF"/>
          </w:tcPr>
          <w:p>
            <w:pPr>
              <w:jc w:val="right"/>
              <w:ind w:right="175"/>
              <w:spacing w:after="0" w:line="134" w:lineRule="exact"/>
              <w:rPr>
                <w:sz w:val="20"/>
                <w:szCs w:val="20"/>
                <w:color w:val="auto"/>
              </w:rPr>
            </w:pPr>
            <w:r>
              <w:rPr>
                <w:rFonts w:ascii="Arial" w:cs="Arial" w:eastAsia="Arial" w:hAnsi="Arial"/>
                <w:sz w:val="13"/>
                <w:szCs w:val="13"/>
                <w:b w:val="1"/>
                <w:bCs w:val="1"/>
                <w:color w:val="auto"/>
              </w:rPr>
              <w:t>$</w:t>
            </w:r>
          </w:p>
        </w:tc>
        <w:tc>
          <w:tcPr>
            <w:tcW w:w="1160" w:type="dxa"/>
            <w:vAlign w:val="bottom"/>
            <w:tcBorders>
              <w:bottom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b w:val="1"/>
                <w:bCs w:val="1"/>
                <w:color w:val="auto"/>
              </w:rPr>
              <w:t>15</w:t>
            </w:r>
          </w:p>
        </w:tc>
        <w:tc>
          <w:tcPr>
            <w:tcW w:w="440" w:type="dxa"/>
            <w:vAlign w:val="bottom"/>
            <w:tcBorders>
              <w:bottom w:val="single" w:sz="8" w:color="auto"/>
            </w:tcBorders>
            <w:shd w:val="clear" w:color="auto" w:fill="CCEEFF"/>
          </w:tcPr>
          <w:p>
            <w:pPr>
              <w:jc w:val="right"/>
              <w:ind w:right="175"/>
              <w:spacing w:after="0" w:line="134" w:lineRule="exact"/>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color w:val="auto"/>
              </w:rPr>
              <w:t>18</w:t>
            </w:r>
          </w:p>
        </w:tc>
        <w:tc>
          <w:tcPr>
            <w:tcW w:w="440" w:type="dxa"/>
            <w:vAlign w:val="bottom"/>
            <w:tcBorders>
              <w:bottom w:val="single" w:sz="8" w:color="auto"/>
            </w:tcBorders>
            <w:shd w:val="clear" w:color="auto" w:fill="CCEEFF"/>
          </w:tcPr>
          <w:p>
            <w:pPr>
              <w:jc w:val="right"/>
              <w:ind w:right="175"/>
              <w:spacing w:after="0" w:line="134"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vMerge w:val="restart"/>
          </w:tcPr>
          <w:p>
            <w:pPr>
              <w:spacing w:after="0"/>
              <w:rPr>
                <w:sz w:val="9"/>
                <w:szCs w:val="9"/>
                <w:color w:val="auto"/>
              </w:rPr>
            </w:pPr>
          </w:p>
        </w:tc>
        <w:tc>
          <w:tcPr>
            <w:tcW w:w="35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520" w:type="dxa"/>
            <w:vAlign w:val="bottom"/>
            <w:tcBorders>
              <w:bottom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rPr>
              <w:t>Tax benefit recognized</w:t>
            </w:r>
          </w:p>
        </w:tc>
        <w:tc>
          <w:tcPr>
            <w:tcW w:w="1140" w:type="dxa"/>
            <w:vAlign w:val="bottom"/>
            <w:tcBorders>
              <w:bottom w:val="single" w:sz="8" w:color="auto"/>
            </w:tcBorders>
            <w:shd w:val="clear" w:color="auto" w:fill="CCEEFF"/>
          </w:tcPr>
          <w:p>
            <w:pPr>
              <w:jc w:val="right"/>
              <w:ind w:right="175"/>
              <w:spacing w:after="0" w:line="144" w:lineRule="exact"/>
              <w:rPr>
                <w:sz w:val="20"/>
                <w:szCs w:val="20"/>
                <w:color w:val="auto"/>
              </w:rPr>
            </w:pPr>
            <w:r>
              <w:rPr>
                <w:rFonts w:ascii="Arial" w:cs="Arial" w:eastAsia="Arial" w:hAnsi="Arial"/>
                <w:sz w:val="13"/>
                <w:szCs w:val="13"/>
                <w:b w:val="1"/>
                <w:bCs w:val="1"/>
                <w:color w:val="auto"/>
              </w:rPr>
              <w:t>$</w:t>
            </w:r>
          </w:p>
        </w:tc>
        <w:tc>
          <w:tcPr>
            <w:tcW w:w="1160" w:type="dxa"/>
            <w:vAlign w:val="bottom"/>
            <w:tcBorders>
              <w:bottom w:val="single" w:sz="8" w:color="auto"/>
            </w:tcBorders>
            <w:shd w:val="clear" w:color="auto" w:fill="CCEEFF"/>
          </w:tcPr>
          <w:p>
            <w:pPr>
              <w:jc w:val="right"/>
              <w:ind w:right="75"/>
              <w:spacing w:after="0" w:line="144" w:lineRule="exact"/>
              <w:rPr>
                <w:sz w:val="20"/>
                <w:szCs w:val="20"/>
                <w:color w:val="auto"/>
              </w:rPr>
            </w:pPr>
            <w:r>
              <w:rPr>
                <w:rFonts w:ascii="Arial" w:cs="Arial" w:eastAsia="Arial" w:hAnsi="Arial"/>
                <w:sz w:val="13"/>
                <w:szCs w:val="13"/>
                <w:b w:val="1"/>
                <w:bCs w:val="1"/>
                <w:color w:val="auto"/>
              </w:rPr>
              <w:t>2</w:t>
            </w:r>
          </w:p>
        </w:tc>
        <w:tc>
          <w:tcPr>
            <w:tcW w:w="440" w:type="dxa"/>
            <w:vAlign w:val="bottom"/>
            <w:tcBorders>
              <w:bottom w:val="single" w:sz="8" w:color="auto"/>
            </w:tcBorders>
            <w:shd w:val="clear" w:color="auto" w:fill="CCEEFF"/>
          </w:tcPr>
          <w:p>
            <w:pPr>
              <w:jc w:val="right"/>
              <w:ind w:right="175"/>
              <w:spacing w:after="0" w:line="144" w:lineRule="exact"/>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CCEEFF"/>
          </w:tcPr>
          <w:p>
            <w:pPr>
              <w:jc w:val="right"/>
              <w:ind w:right="75"/>
              <w:spacing w:after="0" w:line="144" w:lineRule="exact"/>
              <w:rPr>
                <w:sz w:val="20"/>
                <w:szCs w:val="20"/>
                <w:color w:val="auto"/>
              </w:rPr>
            </w:pPr>
            <w:r>
              <w:rPr>
                <w:rFonts w:ascii="Arial" w:cs="Arial" w:eastAsia="Arial" w:hAnsi="Arial"/>
                <w:sz w:val="13"/>
                <w:szCs w:val="13"/>
                <w:color w:val="auto"/>
              </w:rPr>
              <w:t>2</w:t>
            </w:r>
          </w:p>
        </w:tc>
        <w:tc>
          <w:tcPr>
            <w:tcW w:w="440" w:type="dxa"/>
            <w:vAlign w:val="bottom"/>
            <w:tcBorders>
              <w:bottom w:val="single" w:sz="8" w:color="auto"/>
            </w:tcBorders>
            <w:shd w:val="clear" w:color="auto" w:fill="CCEEFF"/>
          </w:tcPr>
          <w:p>
            <w:pPr>
              <w:jc w:val="right"/>
              <w:ind w:right="175"/>
              <w:spacing w:after="0" w:line="144"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Valuation Model and Assumptions</w:t>
      </w:r>
    </w:p>
    <w:p>
      <w:pPr>
        <w:spacing w:after="0" w:line="131" w:lineRule="exact"/>
        <w:rPr>
          <w:sz w:val="20"/>
          <w:szCs w:val="20"/>
          <w:color w:val="auto"/>
        </w:rPr>
      </w:pPr>
    </w:p>
    <w:p>
      <w:pPr>
        <w:jc w:val="both"/>
        <w:ind w:left="20" w:right="59"/>
        <w:spacing w:after="0"/>
        <w:rPr>
          <w:sz w:val="20"/>
          <w:szCs w:val="20"/>
          <w:color w:val="auto"/>
        </w:rPr>
      </w:pPr>
      <w:r>
        <w:rPr>
          <w:rFonts w:ascii="Arial" w:cs="Arial" w:eastAsia="Arial" w:hAnsi="Arial"/>
          <w:sz w:val="13"/>
          <w:szCs w:val="13"/>
          <w:color w:val="auto"/>
        </w:rPr>
        <w:t>The Black-Scholes option-pricing model is used to estimate the fair value of share-based awards. The Black-Scholes option-pricing model incorporates various and subjective assumptions, including expected term and expected volatility.</w:t>
      </w:r>
    </w:p>
    <w:p>
      <w:pPr>
        <w:spacing w:after="0" w:line="122" w:lineRule="exact"/>
        <w:rPr>
          <w:sz w:val="20"/>
          <w:szCs w:val="20"/>
          <w:color w:val="auto"/>
        </w:rPr>
      </w:pPr>
    </w:p>
    <w:p>
      <w:pPr>
        <w:jc w:val="both"/>
        <w:ind w:left="20" w:right="39"/>
        <w:spacing w:after="0" w:line="236" w:lineRule="auto"/>
        <w:rPr>
          <w:sz w:val="20"/>
          <w:szCs w:val="20"/>
          <w:color w:val="auto"/>
        </w:rPr>
      </w:pPr>
      <w:r>
        <w:rPr>
          <w:rFonts w:ascii="Arial" w:cs="Arial" w:eastAsia="Arial" w:hAnsi="Arial"/>
          <w:sz w:val="13"/>
          <w:szCs w:val="13"/>
          <w:color w:val="auto"/>
        </w:rPr>
        <w:t>We estimate the expected term of share-based awards using our historical exercise and post-vesting employment termination patterns, which we believe are representative of future behavior. The expected term for the employee stock purchase plan valuation is based on the length of each purchase period as measured at the beginning of the offering period, which is one year.</w:t>
      </w:r>
    </w:p>
    <w:p>
      <w:pPr>
        <w:spacing w:after="0" w:line="123" w:lineRule="exact"/>
        <w:rPr>
          <w:sz w:val="20"/>
          <w:szCs w:val="20"/>
          <w:color w:val="auto"/>
        </w:rPr>
      </w:pPr>
    </w:p>
    <w:p>
      <w:pPr>
        <w:jc w:val="both"/>
        <w:ind w:left="20" w:right="39"/>
        <w:spacing w:after="0" w:line="236" w:lineRule="auto"/>
        <w:rPr>
          <w:sz w:val="20"/>
          <w:szCs w:val="20"/>
          <w:color w:val="auto"/>
        </w:rPr>
      </w:pPr>
      <w:r>
        <w:rPr>
          <w:rFonts w:ascii="Arial" w:cs="Arial" w:eastAsia="Arial" w:hAnsi="Arial"/>
          <w:sz w:val="13"/>
          <w:szCs w:val="13"/>
          <w:color w:val="auto"/>
        </w:rPr>
        <w:t>We estimate the expected volatility of our common stock at the grant date using a weighted-average of our historical volatility and implied volatility from traded options on our common stock. We believe that this combination of historical volatility and implied volatility provides a better estimate of future stock price volatility.</w:t>
      </w:r>
    </w:p>
    <w:p>
      <w:pPr>
        <w:spacing w:after="0" w:line="113" w:lineRule="exact"/>
        <w:rPr>
          <w:sz w:val="20"/>
          <w:szCs w:val="20"/>
          <w:color w:val="auto"/>
        </w:rPr>
      </w:pPr>
    </w:p>
    <w:p>
      <w:pPr>
        <w:jc w:val="both"/>
        <w:ind w:left="20" w:right="59"/>
        <w:spacing w:after="0"/>
        <w:rPr>
          <w:sz w:val="20"/>
          <w:szCs w:val="20"/>
          <w:color w:val="auto"/>
        </w:rPr>
      </w:pPr>
      <w:r>
        <w:rPr>
          <w:rFonts w:ascii="Arial" w:cs="Arial" w:eastAsia="Arial" w:hAnsi="Arial"/>
          <w:sz w:val="13"/>
          <w:szCs w:val="13"/>
          <w:color w:val="auto"/>
        </w:rPr>
        <w:t>The risk-free interest rate assumption is determined using the Federal Reserve nominal rates for U.S. Treasury zero-coupon bonds with maturities similar to those of the expected term of the award being valued. The expected dividend yield is derived from our historical experience.</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3"/>
          <w:szCs w:val="13"/>
          <w:color w:val="auto"/>
        </w:rPr>
        <w:t>The following table shows the assumptions used to compute the share-based compensation expense:</w:t>
      </w:r>
    </w:p>
    <w:p>
      <w:pPr>
        <w:spacing w:after="0" w:line="132"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20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75"/>
              <w:spacing w:after="0"/>
              <w:rPr>
                <w:sz w:val="20"/>
                <w:szCs w:val="20"/>
                <w:color w:val="auto"/>
              </w:rPr>
            </w:pPr>
            <w:r>
              <w:rPr>
                <w:rFonts w:ascii="Arial" w:cs="Arial" w:eastAsia="Arial" w:hAnsi="Arial"/>
                <w:sz w:val="13"/>
                <w:szCs w:val="13"/>
                <w:b w:val="1"/>
                <w:bCs w:val="1"/>
                <w:color w:val="auto"/>
              </w:rPr>
              <w:t>Stock Option Plans</w:t>
            </w: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Stock Purchase Plan</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95"/>
              <w:spacing w:after="0" w:line="134" w:lineRule="exact"/>
              <w:rPr>
                <w:sz w:val="20"/>
                <w:szCs w:val="20"/>
                <w:color w:val="auto"/>
              </w:rPr>
            </w:pPr>
            <w:r>
              <w:rPr>
                <w:rFonts w:ascii="Arial" w:cs="Arial" w:eastAsia="Arial" w:hAnsi="Arial"/>
                <w:sz w:val="13"/>
                <w:szCs w:val="13"/>
                <w:b w:val="1"/>
                <w:bCs w:val="1"/>
                <w:color w:val="auto"/>
              </w:rPr>
              <w:t>2020</w:t>
            </w: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95"/>
              <w:spacing w:after="0" w:line="134" w:lineRule="exact"/>
              <w:rPr>
                <w:sz w:val="20"/>
                <w:szCs w:val="20"/>
                <w:color w:val="auto"/>
              </w:rPr>
            </w:pPr>
            <w:r>
              <w:rPr>
                <w:rFonts w:ascii="Arial" w:cs="Arial" w:eastAsia="Arial" w:hAnsi="Arial"/>
                <w:sz w:val="13"/>
                <w:szCs w:val="13"/>
                <w:color w:val="auto"/>
              </w:rPr>
              <w:t>2019</w:t>
            </w: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415"/>
              <w:spacing w:after="0" w:line="134" w:lineRule="exact"/>
              <w:rPr>
                <w:sz w:val="20"/>
                <w:szCs w:val="20"/>
                <w:color w:val="auto"/>
              </w:rPr>
            </w:pPr>
            <w:r>
              <w:rPr>
                <w:rFonts w:ascii="Arial" w:cs="Arial" w:eastAsia="Arial" w:hAnsi="Arial"/>
                <w:sz w:val="13"/>
                <w:szCs w:val="13"/>
                <w:color w:val="auto"/>
              </w:rPr>
              <w:t>2018</w:t>
            </w:r>
          </w:p>
        </w:tc>
        <w:tc>
          <w:tcPr>
            <w:tcW w:w="2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415"/>
              <w:spacing w:after="0" w:line="134" w:lineRule="exact"/>
              <w:rPr>
                <w:sz w:val="20"/>
                <w:szCs w:val="20"/>
                <w:color w:val="auto"/>
              </w:rPr>
            </w:pPr>
            <w:r>
              <w:rPr>
                <w:rFonts w:ascii="Arial" w:cs="Arial" w:eastAsia="Arial" w:hAnsi="Arial"/>
                <w:sz w:val="13"/>
                <w:szCs w:val="13"/>
                <w:b w:val="1"/>
                <w:bCs w:val="1"/>
                <w:color w:val="auto"/>
              </w:rPr>
              <w:t>2020</w:t>
            </w:r>
          </w:p>
        </w:tc>
        <w:tc>
          <w:tcPr>
            <w:tcW w:w="2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75"/>
              <w:spacing w:after="0" w:line="134" w:lineRule="exact"/>
              <w:rPr>
                <w:sz w:val="20"/>
                <w:szCs w:val="20"/>
                <w:color w:val="auto"/>
              </w:rPr>
            </w:pPr>
            <w:r>
              <w:rPr>
                <w:rFonts w:ascii="Arial" w:cs="Arial" w:eastAsia="Arial" w:hAnsi="Arial"/>
                <w:sz w:val="13"/>
                <w:szCs w:val="13"/>
                <w:color w:val="auto"/>
              </w:rPr>
              <w:t>2019</w:t>
            </w:r>
          </w:p>
        </w:tc>
        <w:tc>
          <w:tcPr>
            <w:tcW w:w="2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415"/>
              <w:spacing w:after="0" w:line="134" w:lineRule="exact"/>
              <w:rPr>
                <w:sz w:val="20"/>
                <w:szCs w:val="20"/>
                <w:color w:val="auto"/>
              </w:rPr>
            </w:pPr>
            <w:r>
              <w:rPr>
                <w:rFonts w:ascii="Arial" w:cs="Arial" w:eastAsia="Arial" w:hAnsi="Arial"/>
                <w:sz w:val="13"/>
                <w:szCs w:val="13"/>
                <w:color w:val="auto"/>
              </w:rPr>
              <w:t>2018</w:t>
            </w:r>
          </w:p>
        </w:tc>
        <w:tc>
          <w:tcPr>
            <w:tcW w:w="0" w:type="dxa"/>
            <w:vAlign w:val="bottom"/>
          </w:tcPr>
          <w:p>
            <w:pPr>
              <w:spacing w:after="0"/>
              <w:rPr>
                <w:sz w:val="1"/>
                <w:szCs w:val="1"/>
                <w:color w:val="auto"/>
              </w:rPr>
            </w:pPr>
          </w:p>
        </w:tc>
      </w:tr>
      <w:tr>
        <w:trPr>
          <w:trHeight w:val="129"/>
        </w:trPr>
        <w:tc>
          <w:tcPr>
            <w:tcW w:w="208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Weighted-average risk free rate of</w:t>
            </w:r>
          </w:p>
        </w:tc>
        <w:tc>
          <w:tcPr>
            <w:tcW w:w="3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0.5 %</w:t>
            </w:r>
          </w:p>
        </w:tc>
        <w:tc>
          <w:tcPr>
            <w:tcW w:w="2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1.8 %</w:t>
            </w: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8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interest</w:t>
            </w:r>
          </w:p>
        </w:tc>
        <w:tc>
          <w:tcPr>
            <w:tcW w:w="300" w:type="dxa"/>
            <w:vAlign w:val="bottom"/>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rPr>
              <w:t>2.2 %</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rPr>
              <w:t>2.7 %</w:t>
            </w:r>
          </w:p>
        </w:tc>
        <w:tc>
          <w:tcPr>
            <w:tcW w:w="24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55"/>
              <w:spacing w:after="0" w:line="149" w:lineRule="exact"/>
              <w:rPr>
                <w:sz w:val="20"/>
                <w:szCs w:val="20"/>
                <w:color w:val="auto"/>
              </w:rPr>
            </w:pPr>
            <w:r>
              <w:rPr>
                <w:rFonts w:ascii="Arial" w:cs="Arial" w:eastAsia="Arial" w:hAnsi="Arial"/>
                <w:sz w:val="13"/>
                <w:szCs w:val="13"/>
                <w:color w:val="auto"/>
              </w:rPr>
              <w:t>2.2 %</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rPr>
              <w:t>2.0 %</w:t>
            </w:r>
          </w:p>
        </w:tc>
        <w:tc>
          <w:tcPr>
            <w:tcW w:w="0" w:type="dxa"/>
            <w:vAlign w:val="bottom"/>
          </w:tcPr>
          <w:p>
            <w:pPr>
              <w:spacing w:after="0"/>
              <w:rPr>
                <w:sz w:val="1"/>
                <w:szCs w:val="1"/>
                <w:color w:val="auto"/>
              </w:rPr>
            </w:pPr>
          </w:p>
        </w:tc>
      </w:tr>
      <w:tr>
        <w:trPr>
          <w:trHeight w:val="144"/>
        </w:trPr>
        <w:tc>
          <w:tcPr>
            <w:tcW w:w="2080" w:type="dxa"/>
            <w:vAlign w:val="bottom"/>
          </w:tcPr>
          <w:p>
            <w:pPr>
              <w:spacing w:after="0" w:line="144" w:lineRule="exact"/>
              <w:rPr>
                <w:sz w:val="20"/>
                <w:szCs w:val="20"/>
                <w:color w:val="auto"/>
              </w:rPr>
            </w:pPr>
            <w:r>
              <w:rPr>
                <w:rFonts w:ascii="Arial" w:cs="Arial" w:eastAsia="Arial" w:hAnsi="Arial"/>
                <w:sz w:val="13"/>
                <w:szCs w:val="13"/>
                <w:color w:val="auto"/>
              </w:rPr>
              <w:t>Expected volatility</w:t>
            </w:r>
          </w:p>
        </w:tc>
        <w:tc>
          <w:tcPr>
            <w:tcW w:w="300" w:type="dxa"/>
            <w:vAlign w:val="bottom"/>
          </w:tcPr>
          <w:p>
            <w:pPr>
              <w:spacing w:after="0"/>
              <w:rPr>
                <w:sz w:val="12"/>
                <w:szCs w:val="12"/>
                <w:color w:val="auto"/>
              </w:rPr>
            </w:pPr>
          </w:p>
        </w:tc>
        <w:tc>
          <w:tcPr>
            <w:tcW w:w="86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37 %</w:t>
            </w:r>
          </w:p>
        </w:tc>
        <w:tc>
          <w:tcPr>
            <w:tcW w:w="260" w:type="dxa"/>
            <w:vAlign w:val="bottom"/>
          </w:tcPr>
          <w:p>
            <w:pPr>
              <w:spacing w:after="0"/>
              <w:rPr>
                <w:sz w:val="12"/>
                <w:szCs w:val="12"/>
                <w:color w:val="auto"/>
              </w:rPr>
            </w:pPr>
          </w:p>
        </w:tc>
        <w:tc>
          <w:tcPr>
            <w:tcW w:w="860" w:type="dxa"/>
            <w:vAlign w:val="bottom"/>
          </w:tcPr>
          <w:p>
            <w:pPr>
              <w:jc w:val="right"/>
              <w:spacing w:after="0" w:line="144" w:lineRule="exact"/>
              <w:rPr>
                <w:sz w:val="20"/>
                <w:szCs w:val="20"/>
                <w:color w:val="auto"/>
              </w:rPr>
            </w:pPr>
            <w:r>
              <w:rPr>
                <w:rFonts w:ascii="Arial" w:cs="Arial" w:eastAsia="Arial" w:hAnsi="Arial"/>
                <w:sz w:val="13"/>
                <w:szCs w:val="13"/>
                <w:color w:val="auto"/>
              </w:rPr>
              <w:t>38 %</w:t>
            </w:r>
          </w:p>
        </w:tc>
        <w:tc>
          <w:tcPr>
            <w:tcW w:w="260" w:type="dxa"/>
            <w:vAlign w:val="bottom"/>
          </w:tcPr>
          <w:p>
            <w:pPr>
              <w:spacing w:after="0"/>
              <w:rPr>
                <w:sz w:val="12"/>
                <w:szCs w:val="12"/>
                <w:color w:val="auto"/>
              </w:rPr>
            </w:pPr>
          </w:p>
        </w:tc>
        <w:tc>
          <w:tcPr>
            <w:tcW w:w="880" w:type="dxa"/>
            <w:vAlign w:val="bottom"/>
          </w:tcPr>
          <w:p>
            <w:pPr>
              <w:jc w:val="right"/>
              <w:spacing w:after="0" w:line="144" w:lineRule="exact"/>
              <w:rPr>
                <w:sz w:val="20"/>
                <w:szCs w:val="20"/>
                <w:color w:val="auto"/>
              </w:rPr>
            </w:pPr>
            <w:r>
              <w:rPr>
                <w:rFonts w:ascii="Arial" w:cs="Arial" w:eastAsia="Arial" w:hAnsi="Arial"/>
                <w:sz w:val="13"/>
                <w:szCs w:val="13"/>
                <w:color w:val="auto"/>
              </w:rPr>
              <w:t>37 %</w:t>
            </w:r>
          </w:p>
        </w:tc>
        <w:tc>
          <w:tcPr>
            <w:tcW w:w="240" w:type="dxa"/>
            <w:vAlign w:val="bottom"/>
          </w:tcPr>
          <w:p>
            <w:pPr>
              <w:spacing w:after="0"/>
              <w:rPr>
                <w:sz w:val="12"/>
                <w:szCs w:val="12"/>
                <w:color w:val="auto"/>
              </w:rPr>
            </w:pPr>
          </w:p>
        </w:tc>
        <w:tc>
          <w:tcPr>
            <w:tcW w:w="88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48 %</w:t>
            </w:r>
          </w:p>
        </w:tc>
        <w:tc>
          <w:tcPr>
            <w:tcW w:w="260" w:type="dxa"/>
            <w:vAlign w:val="bottom"/>
          </w:tcPr>
          <w:p>
            <w:pPr>
              <w:spacing w:after="0"/>
              <w:rPr>
                <w:sz w:val="12"/>
                <w:szCs w:val="12"/>
                <w:color w:val="auto"/>
              </w:rPr>
            </w:pPr>
          </w:p>
        </w:tc>
        <w:tc>
          <w:tcPr>
            <w:tcW w:w="940" w:type="dxa"/>
            <w:vAlign w:val="bottom"/>
          </w:tcPr>
          <w:p>
            <w:pPr>
              <w:jc w:val="right"/>
              <w:ind w:right="55"/>
              <w:spacing w:after="0" w:line="144" w:lineRule="exact"/>
              <w:rPr>
                <w:sz w:val="20"/>
                <w:szCs w:val="20"/>
                <w:color w:val="auto"/>
              </w:rPr>
            </w:pPr>
            <w:r>
              <w:rPr>
                <w:rFonts w:ascii="Arial" w:cs="Arial" w:eastAsia="Arial" w:hAnsi="Arial"/>
                <w:sz w:val="13"/>
                <w:szCs w:val="13"/>
                <w:color w:val="auto"/>
              </w:rPr>
              <w:t>54 %</w:t>
            </w:r>
          </w:p>
        </w:tc>
        <w:tc>
          <w:tcPr>
            <w:tcW w:w="220" w:type="dxa"/>
            <w:vAlign w:val="bottom"/>
          </w:tcPr>
          <w:p>
            <w:pPr>
              <w:spacing w:after="0"/>
              <w:rPr>
                <w:sz w:val="12"/>
                <w:szCs w:val="12"/>
                <w:color w:val="auto"/>
              </w:rPr>
            </w:pPr>
          </w:p>
        </w:tc>
        <w:tc>
          <w:tcPr>
            <w:tcW w:w="900" w:type="dxa"/>
            <w:vAlign w:val="bottom"/>
          </w:tcPr>
          <w:p>
            <w:pPr>
              <w:jc w:val="right"/>
              <w:spacing w:after="0" w:line="144" w:lineRule="exact"/>
              <w:rPr>
                <w:sz w:val="20"/>
                <w:szCs w:val="20"/>
                <w:color w:val="auto"/>
              </w:rPr>
            </w:pPr>
            <w:r>
              <w:rPr>
                <w:rFonts w:ascii="Arial" w:cs="Arial" w:eastAsia="Arial" w:hAnsi="Arial"/>
                <w:sz w:val="13"/>
                <w:szCs w:val="13"/>
                <w:color w:val="auto"/>
              </w:rPr>
              <w:t>50 %</w:t>
            </w:r>
          </w:p>
        </w:tc>
        <w:tc>
          <w:tcPr>
            <w:tcW w:w="0" w:type="dxa"/>
            <w:vAlign w:val="bottom"/>
          </w:tcPr>
          <w:p>
            <w:pPr>
              <w:spacing w:after="0"/>
              <w:rPr>
                <w:sz w:val="1"/>
                <w:szCs w:val="1"/>
                <w:color w:val="auto"/>
              </w:rPr>
            </w:pPr>
          </w:p>
        </w:tc>
      </w:tr>
      <w:tr>
        <w:trPr>
          <w:trHeight w:val="139"/>
        </w:trPr>
        <w:tc>
          <w:tcPr>
            <w:tcW w:w="2080" w:type="dxa"/>
            <w:vAlign w:val="bottom"/>
            <w:shd w:val="clear" w:color="auto" w:fill="CCEEFF"/>
          </w:tcPr>
          <w:p>
            <w:pPr>
              <w:spacing w:after="0" w:line="139" w:lineRule="exact"/>
              <w:rPr>
                <w:sz w:val="20"/>
                <w:szCs w:val="20"/>
                <w:color w:val="auto"/>
              </w:rPr>
            </w:pPr>
            <w:r>
              <w:rPr>
                <w:rFonts w:ascii="Arial" w:cs="Arial" w:eastAsia="Arial" w:hAnsi="Arial"/>
                <w:sz w:val="13"/>
                <w:szCs w:val="13"/>
                <w:color w:val="auto"/>
              </w:rPr>
              <w:t>Weighted-average expected</w:t>
            </w:r>
          </w:p>
        </w:tc>
        <w:tc>
          <w:tcPr>
            <w:tcW w:w="30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155"/>
              <w:spacing w:after="0"/>
              <w:rPr>
                <w:sz w:val="20"/>
                <w:szCs w:val="20"/>
                <w:color w:val="auto"/>
              </w:rPr>
            </w:pPr>
            <w:r>
              <w:rPr>
                <w:rFonts w:ascii="Arial" w:cs="Arial" w:eastAsia="Arial" w:hAnsi="Arial"/>
                <w:sz w:val="13"/>
                <w:szCs w:val="13"/>
                <w:b w:val="1"/>
                <w:bCs w:val="1"/>
                <w:color w:val="auto"/>
              </w:rPr>
              <w:t>4.9</w:t>
            </w: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ind w:right="155"/>
              <w:spacing w:after="0"/>
              <w:rPr>
                <w:sz w:val="20"/>
                <w:szCs w:val="20"/>
                <w:color w:val="auto"/>
              </w:rPr>
            </w:pPr>
            <w:r>
              <w:rPr>
                <w:rFonts w:ascii="Arial" w:cs="Arial" w:eastAsia="Arial" w:hAnsi="Arial"/>
                <w:sz w:val="13"/>
                <w:szCs w:val="13"/>
                <w:b w:val="1"/>
                <w:bCs w:val="1"/>
                <w:color w:val="auto"/>
              </w:rPr>
              <w:t>1.0</w:t>
            </w: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8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rPr>
              <w:t>award life (in years)</w:t>
            </w:r>
          </w:p>
        </w:tc>
        <w:tc>
          <w:tcPr>
            <w:tcW w:w="300" w:type="dxa"/>
            <w:vAlign w:val="bottom"/>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jc w:val="right"/>
              <w:ind w:right="155"/>
              <w:spacing w:after="0" w:line="149" w:lineRule="exact"/>
              <w:rPr>
                <w:sz w:val="20"/>
                <w:szCs w:val="20"/>
                <w:color w:val="auto"/>
              </w:rPr>
            </w:pPr>
            <w:r>
              <w:rPr>
                <w:rFonts w:ascii="Arial" w:cs="Arial" w:eastAsia="Arial" w:hAnsi="Arial"/>
                <w:sz w:val="13"/>
                <w:szCs w:val="13"/>
                <w:color w:val="auto"/>
              </w:rPr>
              <w:t>5.5</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55"/>
              <w:spacing w:after="0" w:line="149" w:lineRule="exact"/>
              <w:rPr>
                <w:sz w:val="20"/>
                <w:szCs w:val="20"/>
                <w:color w:val="auto"/>
              </w:rPr>
            </w:pPr>
            <w:r>
              <w:rPr>
                <w:rFonts w:ascii="Arial" w:cs="Arial" w:eastAsia="Arial" w:hAnsi="Arial"/>
                <w:sz w:val="13"/>
                <w:szCs w:val="13"/>
                <w:color w:val="auto"/>
              </w:rPr>
              <w:t>5.5</w:t>
            </w:r>
          </w:p>
        </w:tc>
        <w:tc>
          <w:tcPr>
            <w:tcW w:w="24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shd w:val="clear" w:color="auto" w:fill="CCEEFF"/>
          </w:tcPr>
          <w:p>
            <w:pPr>
              <w:jc w:val="right"/>
              <w:ind w:right="215"/>
              <w:spacing w:after="0" w:line="149" w:lineRule="exact"/>
              <w:rPr>
                <w:sz w:val="20"/>
                <w:szCs w:val="20"/>
                <w:color w:val="auto"/>
              </w:rPr>
            </w:pPr>
            <w:r>
              <w:rPr>
                <w:rFonts w:ascii="Arial" w:cs="Arial" w:eastAsia="Arial" w:hAnsi="Arial"/>
                <w:sz w:val="13"/>
                <w:szCs w:val="13"/>
                <w:color w:val="auto"/>
              </w:rPr>
              <w:t>1.0</w:t>
            </w: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135"/>
              <w:spacing w:after="0" w:line="149" w:lineRule="exact"/>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44"/>
        </w:trPr>
        <w:tc>
          <w:tcPr>
            <w:tcW w:w="2080" w:type="dxa"/>
            <w:vAlign w:val="bottom"/>
          </w:tcPr>
          <w:p>
            <w:pPr>
              <w:spacing w:after="0" w:line="144" w:lineRule="exact"/>
              <w:rPr>
                <w:sz w:val="20"/>
                <w:szCs w:val="20"/>
                <w:color w:val="auto"/>
              </w:rPr>
            </w:pPr>
            <w:r>
              <w:rPr>
                <w:rFonts w:ascii="Arial" w:cs="Arial" w:eastAsia="Arial" w:hAnsi="Arial"/>
                <w:sz w:val="13"/>
                <w:szCs w:val="13"/>
                <w:color w:val="auto"/>
              </w:rPr>
              <w:t>Dividend yield</w:t>
            </w:r>
          </w:p>
        </w:tc>
        <w:tc>
          <w:tcPr>
            <w:tcW w:w="300" w:type="dxa"/>
            <w:vAlign w:val="bottom"/>
          </w:tcPr>
          <w:p>
            <w:pPr>
              <w:spacing w:after="0"/>
              <w:rPr>
                <w:sz w:val="12"/>
                <w:szCs w:val="12"/>
                <w:color w:val="auto"/>
              </w:rPr>
            </w:pPr>
          </w:p>
        </w:tc>
        <w:tc>
          <w:tcPr>
            <w:tcW w:w="86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4.3 %</w:t>
            </w:r>
          </w:p>
        </w:tc>
        <w:tc>
          <w:tcPr>
            <w:tcW w:w="260" w:type="dxa"/>
            <w:vAlign w:val="bottom"/>
          </w:tcPr>
          <w:p>
            <w:pPr>
              <w:spacing w:after="0"/>
              <w:rPr>
                <w:sz w:val="12"/>
                <w:szCs w:val="12"/>
                <w:color w:val="auto"/>
              </w:rPr>
            </w:pPr>
          </w:p>
        </w:tc>
        <w:tc>
          <w:tcPr>
            <w:tcW w:w="860" w:type="dxa"/>
            <w:vAlign w:val="bottom"/>
          </w:tcPr>
          <w:p>
            <w:pPr>
              <w:jc w:val="right"/>
              <w:spacing w:after="0" w:line="144" w:lineRule="exact"/>
              <w:rPr>
                <w:sz w:val="20"/>
                <w:szCs w:val="20"/>
                <w:color w:val="auto"/>
              </w:rPr>
            </w:pPr>
            <w:r>
              <w:rPr>
                <w:rFonts w:ascii="Arial" w:cs="Arial" w:eastAsia="Arial" w:hAnsi="Arial"/>
                <w:sz w:val="13"/>
                <w:szCs w:val="13"/>
                <w:color w:val="auto"/>
              </w:rPr>
              <w:t>2.6 %</w:t>
            </w:r>
          </w:p>
        </w:tc>
        <w:tc>
          <w:tcPr>
            <w:tcW w:w="260" w:type="dxa"/>
            <w:vAlign w:val="bottom"/>
          </w:tcPr>
          <w:p>
            <w:pPr>
              <w:spacing w:after="0"/>
              <w:rPr>
                <w:sz w:val="12"/>
                <w:szCs w:val="12"/>
                <w:color w:val="auto"/>
              </w:rPr>
            </w:pPr>
          </w:p>
        </w:tc>
        <w:tc>
          <w:tcPr>
            <w:tcW w:w="880" w:type="dxa"/>
            <w:vAlign w:val="bottom"/>
          </w:tcPr>
          <w:p>
            <w:pPr>
              <w:jc w:val="right"/>
              <w:spacing w:after="0" w:line="144" w:lineRule="exact"/>
              <w:rPr>
                <w:sz w:val="20"/>
                <w:szCs w:val="20"/>
                <w:color w:val="auto"/>
              </w:rPr>
            </w:pPr>
            <w:r>
              <w:rPr>
                <w:rFonts w:ascii="Arial" w:cs="Arial" w:eastAsia="Arial" w:hAnsi="Arial"/>
                <w:sz w:val="13"/>
                <w:szCs w:val="13"/>
                <w:color w:val="auto"/>
              </w:rPr>
              <w:t>3.1 %</w:t>
            </w:r>
          </w:p>
        </w:tc>
        <w:tc>
          <w:tcPr>
            <w:tcW w:w="240" w:type="dxa"/>
            <w:vAlign w:val="bottom"/>
          </w:tcPr>
          <w:p>
            <w:pPr>
              <w:spacing w:after="0"/>
              <w:rPr>
                <w:sz w:val="12"/>
                <w:szCs w:val="12"/>
                <w:color w:val="auto"/>
              </w:rPr>
            </w:pPr>
          </w:p>
        </w:tc>
        <w:tc>
          <w:tcPr>
            <w:tcW w:w="88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4.2 %</w:t>
            </w:r>
          </w:p>
        </w:tc>
        <w:tc>
          <w:tcPr>
            <w:tcW w:w="260" w:type="dxa"/>
            <w:vAlign w:val="bottom"/>
          </w:tcPr>
          <w:p>
            <w:pPr>
              <w:spacing w:after="0"/>
              <w:rPr>
                <w:sz w:val="12"/>
                <w:szCs w:val="12"/>
                <w:color w:val="auto"/>
              </w:rPr>
            </w:pPr>
          </w:p>
        </w:tc>
        <w:tc>
          <w:tcPr>
            <w:tcW w:w="940" w:type="dxa"/>
            <w:vAlign w:val="bottom"/>
          </w:tcPr>
          <w:p>
            <w:pPr>
              <w:jc w:val="right"/>
              <w:ind w:right="55"/>
              <w:spacing w:after="0" w:line="144" w:lineRule="exact"/>
              <w:rPr>
                <w:sz w:val="20"/>
                <w:szCs w:val="20"/>
                <w:color w:val="auto"/>
              </w:rPr>
            </w:pPr>
            <w:r>
              <w:rPr>
                <w:rFonts w:ascii="Arial" w:cs="Arial" w:eastAsia="Arial" w:hAnsi="Arial"/>
                <w:sz w:val="13"/>
                <w:szCs w:val="13"/>
                <w:color w:val="auto"/>
              </w:rPr>
              <w:t>3.1 %</w:t>
            </w:r>
          </w:p>
        </w:tc>
        <w:tc>
          <w:tcPr>
            <w:tcW w:w="220" w:type="dxa"/>
            <w:vAlign w:val="bottom"/>
          </w:tcPr>
          <w:p>
            <w:pPr>
              <w:spacing w:after="0"/>
              <w:rPr>
                <w:sz w:val="12"/>
                <w:szCs w:val="12"/>
                <w:color w:val="auto"/>
              </w:rPr>
            </w:pPr>
          </w:p>
        </w:tc>
        <w:tc>
          <w:tcPr>
            <w:tcW w:w="900" w:type="dxa"/>
            <w:vAlign w:val="bottom"/>
          </w:tcPr>
          <w:p>
            <w:pPr>
              <w:jc w:val="right"/>
              <w:spacing w:after="0" w:line="144" w:lineRule="exact"/>
              <w:rPr>
                <w:sz w:val="20"/>
                <w:szCs w:val="20"/>
                <w:color w:val="auto"/>
              </w:rPr>
            </w:pPr>
            <w:r>
              <w:rPr>
                <w:rFonts w:ascii="Arial" w:cs="Arial" w:eastAsia="Arial" w:hAnsi="Arial"/>
                <w:sz w:val="13"/>
                <w:szCs w:val="13"/>
                <w:color w:val="auto"/>
              </w:rPr>
              <w:t>2.0 %</w:t>
            </w:r>
          </w:p>
        </w:tc>
        <w:tc>
          <w:tcPr>
            <w:tcW w:w="0" w:type="dxa"/>
            <w:vAlign w:val="bottom"/>
          </w:tcPr>
          <w:p>
            <w:pPr>
              <w:spacing w:after="0"/>
              <w:rPr>
                <w:sz w:val="1"/>
                <w:szCs w:val="1"/>
                <w:color w:val="auto"/>
              </w:rPr>
            </w:pPr>
          </w:p>
        </w:tc>
      </w:tr>
      <w:tr>
        <w:trPr>
          <w:trHeight w:val="144"/>
        </w:trPr>
        <w:tc>
          <w:tcPr>
            <w:tcW w:w="2080" w:type="dxa"/>
            <w:vAlign w:val="bottom"/>
            <w:tcBorders>
              <w:bottom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rPr>
              <w:t>Weighted-average fair value</w:t>
            </w:r>
          </w:p>
        </w:tc>
        <w:tc>
          <w:tcPr>
            <w:tcW w:w="300" w:type="dxa"/>
            <w:vAlign w:val="bottom"/>
            <w:tcBorders>
              <w:bottom w:val="single" w:sz="8" w:color="auto"/>
            </w:tcBorders>
            <w:shd w:val="clear" w:color="auto" w:fill="CCEEFF"/>
          </w:tcPr>
          <w:p>
            <w:pPr>
              <w:jc w:val="right"/>
              <w:ind w:right="55"/>
              <w:spacing w:after="0" w:line="144" w:lineRule="exact"/>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shd w:val="clear" w:color="auto" w:fill="CCEEFF"/>
          </w:tcPr>
          <w:p>
            <w:pPr>
              <w:jc w:val="right"/>
              <w:ind w:right="155"/>
              <w:spacing w:after="0" w:line="144" w:lineRule="exact"/>
              <w:rPr>
                <w:sz w:val="20"/>
                <w:szCs w:val="20"/>
                <w:color w:val="auto"/>
              </w:rPr>
            </w:pPr>
            <w:r>
              <w:rPr>
                <w:rFonts w:ascii="Arial" w:cs="Arial" w:eastAsia="Arial" w:hAnsi="Arial"/>
                <w:sz w:val="13"/>
                <w:szCs w:val="13"/>
                <w:b w:val="1"/>
                <w:bCs w:val="1"/>
                <w:color w:val="auto"/>
              </w:rPr>
              <w:t>5.03</w:t>
            </w:r>
          </w:p>
        </w:tc>
        <w:tc>
          <w:tcPr>
            <w:tcW w:w="260" w:type="dxa"/>
            <w:vAlign w:val="bottom"/>
            <w:tcBorders>
              <w:bottom w:val="single" w:sz="8" w:color="auto"/>
            </w:tcBorders>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w:t>
            </w:r>
          </w:p>
        </w:tc>
        <w:tc>
          <w:tcPr>
            <w:tcW w:w="860" w:type="dxa"/>
            <w:vAlign w:val="bottom"/>
            <w:tcBorders>
              <w:bottom w:val="single" w:sz="8" w:color="auto"/>
            </w:tcBorders>
            <w:shd w:val="clear" w:color="auto" w:fill="CCEEFF"/>
          </w:tcPr>
          <w:p>
            <w:pPr>
              <w:jc w:val="right"/>
              <w:ind w:right="155"/>
              <w:spacing w:after="0" w:line="144" w:lineRule="exact"/>
              <w:rPr>
                <w:sz w:val="20"/>
                <w:szCs w:val="20"/>
                <w:color w:val="auto"/>
              </w:rPr>
            </w:pPr>
            <w:r>
              <w:rPr>
                <w:rFonts w:ascii="Arial" w:cs="Arial" w:eastAsia="Arial" w:hAnsi="Arial"/>
                <w:sz w:val="13"/>
                <w:szCs w:val="13"/>
                <w:color w:val="auto"/>
              </w:rPr>
              <w:t>17.07</w:t>
            </w:r>
          </w:p>
        </w:tc>
        <w:tc>
          <w:tcPr>
            <w:tcW w:w="260" w:type="dxa"/>
            <w:vAlign w:val="bottom"/>
            <w:tcBorders>
              <w:bottom w:val="single" w:sz="8" w:color="auto"/>
            </w:tcBorders>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w:t>
            </w:r>
          </w:p>
        </w:tc>
        <w:tc>
          <w:tcPr>
            <w:tcW w:w="880" w:type="dxa"/>
            <w:vAlign w:val="bottom"/>
            <w:tcBorders>
              <w:bottom w:val="single" w:sz="8" w:color="auto"/>
            </w:tcBorders>
            <w:shd w:val="clear" w:color="auto" w:fill="CCEEFF"/>
          </w:tcPr>
          <w:p>
            <w:pPr>
              <w:jc w:val="right"/>
              <w:ind w:right="155"/>
              <w:spacing w:after="0" w:line="144" w:lineRule="exact"/>
              <w:rPr>
                <w:sz w:val="20"/>
                <w:szCs w:val="20"/>
                <w:color w:val="auto"/>
              </w:rPr>
            </w:pPr>
            <w:r>
              <w:rPr>
                <w:rFonts w:ascii="Arial" w:cs="Arial" w:eastAsia="Arial" w:hAnsi="Arial"/>
                <w:sz w:val="13"/>
                <w:szCs w:val="13"/>
                <w:color w:val="auto"/>
              </w:rPr>
              <w:t>12.42</w:t>
            </w:r>
          </w:p>
        </w:tc>
        <w:tc>
          <w:tcPr>
            <w:tcW w:w="240" w:type="dxa"/>
            <w:vAlign w:val="bottom"/>
            <w:tcBorders>
              <w:bottom w:val="single" w:sz="8" w:color="auto"/>
            </w:tcBorders>
            <w:shd w:val="clear" w:color="auto" w:fill="CCEEFF"/>
          </w:tcPr>
          <w:p>
            <w:pPr>
              <w:jc w:val="right"/>
              <w:ind w:right="35"/>
              <w:spacing w:after="0" w:line="144" w:lineRule="exact"/>
              <w:rPr>
                <w:sz w:val="20"/>
                <w:szCs w:val="20"/>
                <w:color w:val="auto"/>
              </w:rPr>
            </w:pPr>
            <w:r>
              <w:rPr>
                <w:rFonts w:ascii="Arial" w:cs="Arial" w:eastAsia="Arial" w:hAnsi="Arial"/>
                <w:sz w:val="13"/>
                <w:szCs w:val="13"/>
                <w:b w:val="1"/>
                <w:bCs w:val="1"/>
                <w:color w:val="auto"/>
              </w:rPr>
              <w:t>$</w:t>
            </w:r>
          </w:p>
        </w:tc>
        <w:tc>
          <w:tcPr>
            <w:tcW w:w="880" w:type="dxa"/>
            <w:vAlign w:val="bottom"/>
            <w:tcBorders>
              <w:bottom w:val="single" w:sz="8" w:color="auto"/>
            </w:tcBorders>
            <w:shd w:val="clear" w:color="auto" w:fill="CCEEFF"/>
          </w:tcPr>
          <w:p>
            <w:pPr>
              <w:jc w:val="right"/>
              <w:ind w:right="155"/>
              <w:spacing w:after="0" w:line="144" w:lineRule="exact"/>
              <w:rPr>
                <w:sz w:val="20"/>
                <w:szCs w:val="20"/>
                <w:color w:val="auto"/>
              </w:rPr>
            </w:pPr>
            <w:r>
              <w:rPr>
                <w:rFonts w:ascii="Arial" w:cs="Arial" w:eastAsia="Arial" w:hAnsi="Arial"/>
                <w:sz w:val="13"/>
                <w:szCs w:val="13"/>
                <w:b w:val="1"/>
                <w:bCs w:val="1"/>
                <w:color w:val="auto"/>
              </w:rPr>
              <w:t>13.97</w:t>
            </w:r>
          </w:p>
        </w:tc>
        <w:tc>
          <w:tcPr>
            <w:tcW w:w="260" w:type="dxa"/>
            <w:vAlign w:val="bottom"/>
            <w:tcBorders>
              <w:bottom w:val="single" w:sz="8" w:color="auto"/>
            </w:tcBorders>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shd w:val="clear" w:color="auto" w:fill="CCEEFF"/>
          </w:tcPr>
          <w:p>
            <w:pPr>
              <w:jc w:val="right"/>
              <w:ind w:right="215"/>
              <w:spacing w:after="0" w:line="144" w:lineRule="exact"/>
              <w:rPr>
                <w:sz w:val="20"/>
                <w:szCs w:val="20"/>
                <w:color w:val="auto"/>
              </w:rPr>
            </w:pPr>
            <w:r>
              <w:rPr>
                <w:rFonts w:ascii="Arial" w:cs="Arial" w:eastAsia="Arial" w:hAnsi="Arial"/>
                <w:sz w:val="13"/>
                <w:szCs w:val="13"/>
                <w:color w:val="auto"/>
              </w:rPr>
              <w:t>16.68</w:t>
            </w:r>
          </w:p>
        </w:tc>
        <w:tc>
          <w:tcPr>
            <w:tcW w:w="220" w:type="dxa"/>
            <w:vAlign w:val="bottom"/>
            <w:tcBorders>
              <w:bottom w:val="single" w:sz="8" w:color="auto"/>
            </w:tcBorders>
            <w:shd w:val="clear" w:color="auto" w:fill="CCEEFF"/>
          </w:tcPr>
          <w:p>
            <w:pPr>
              <w:jc w:val="right"/>
              <w:ind w:right="75"/>
              <w:spacing w:after="0" w:line="144" w:lineRule="exact"/>
              <w:rPr>
                <w:sz w:val="20"/>
                <w:szCs w:val="20"/>
                <w:color w:val="auto"/>
              </w:rPr>
            </w:pPr>
            <w:r>
              <w:rPr>
                <w:rFonts w:ascii="Arial" w:cs="Arial" w:eastAsia="Arial" w:hAnsi="Arial"/>
                <w:sz w:val="13"/>
                <w:szCs w:val="13"/>
                <w:color w:val="auto"/>
                <w:w w:val="82"/>
              </w:rPr>
              <w:t>$</w:t>
            </w:r>
          </w:p>
        </w:tc>
        <w:tc>
          <w:tcPr>
            <w:tcW w:w="900" w:type="dxa"/>
            <w:vAlign w:val="bottom"/>
            <w:tcBorders>
              <w:bottom w:val="single" w:sz="8" w:color="auto"/>
            </w:tcBorders>
            <w:shd w:val="clear" w:color="auto" w:fill="CCEEFF"/>
          </w:tcPr>
          <w:p>
            <w:pPr>
              <w:jc w:val="right"/>
              <w:ind w:right="135"/>
              <w:spacing w:after="0" w:line="144" w:lineRule="exact"/>
              <w:rPr>
                <w:sz w:val="20"/>
                <w:szCs w:val="20"/>
                <w:color w:val="auto"/>
              </w:rPr>
            </w:pPr>
            <w:r>
              <w:rPr>
                <w:rFonts w:ascii="Arial" w:cs="Arial" w:eastAsia="Arial" w:hAnsi="Arial"/>
                <w:sz w:val="13"/>
                <w:szCs w:val="13"/>
                <w:color w:val="auto"/>
              </w:rPr>
              <w:t>15.29</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7520"/>
        <w:spacing w:after="0"/>
        <w:rPr>
          <w:sz w:val="20"/>
          <w:szCs w:val="20"/>
          <w:color w:val="auto"/>
        </w:rPr>
      </w:pPr>
      <w:r>
        <w:rPr>
          <w:rFonts w:ascii="Arial" w:cs="Arial" w:eastAsia="Arial" w:hAnsi="Arial"/>
          <w:sz w:val="12"/>
          <w:szCs w:val="12"/>
          <w:color w:val="auto"/>
        </w:rPr>
        <w:t>2020 Form 10-K Page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365125</wp:posOffset>
            </wp:positionV>
            <wp:extent cx="5680075" cy="196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80075" cy="19685"/>
                    </a:xfrm>
                    <a:prstGeom prst="rect">
                      <a:avLst/>
                    </a:prstGeom>
                    <a:noFill/>
                  </pic:spPr>
                </pic:pic>
              </a:graphicData>
            </a:graphic>
          </wp:anchor>
        </w:drawing>
      </w:r>
    </w:p>
    <w:p>
      <w:pPr>
        <w:sectPr>
          <w:pgSz w:w="11900" w:h="16838" w:orient="portrait"/>
          <w:cols w:equalWidth="0" w:num="1">
            <w:col w:w="9019"/>
          </w:cols>
          <w:pgMar w:left="1440" w:top="995" w:right="1440" w:bottom="1440" w:gutter="0" w:footer="0" w:header="0"/>
        </w:sectPr>
      </w:pPr>
    </w:p>
    <w:bookmarkStart w:id="73" w:name="page74"/>
    <w:bookmarkEnd w:id="73"/>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2992755</wp:posOffset>
            </wp:positionH>
            <wp:positionV relativeFrom="page">
              <wp:posOffset>375285</wp:posOffset>
            </wp:positionV>
            <wp:extent cx="1563370" cy="169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1563370" cy="169545"/>
                    </a:xfrm>
                    <a:prstGeom prst="rect">
                      <a:avLst/>
                    </a:prstGeom>
                    <a:noFill/>
                  </pic:spPr>
                </pic:pic>
              </a:graphicData>
            </a:graphic>
          </wp:anchor>
        </w:drawing>
        <w:t>NOTES TO CONSOLIDATED FINANCIAL STATEMENTS</w:t>
      </w:r>
    </w:p>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5760" w:type="dxa"/>
            <w:vAlign w:val="bottom"/>
            <w:gridSpan w:val="3"/>
          </w:tcPr>
          <w:p>
            <w:pPr>
              <w:spacing w:after="0"/>
              <w:rPr>
                <w:sz w:val="20"/>
                <w:szCs w:val="20"/>
                <w:color w:val="auto"/>
              </w:rPr>
            </w:pPr>
            <w:r>
              <w:rPr>
                <w:rFonts w:ascii="Arial" w:cs="Arial" w:eastAsia="Arial" w:hAnsi="Arial"/>
                <w:sz w:val="13"/>
                <w:szCs w:val="13"/>
                <w:color w:val="auto"/>
              </w:rPr>
              <w:t>The information set forth in the following table covers options granted under our stock option plans:</w:t>
            </w:r>
          </w:p>
        </w:tc>
        <w:tc>
          <w:tcPr>
            <w:tcW w:w="1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jc w:val="center"/>
              <w:ind w:right="395"/>
              <w:spacing w:after="0"/>
              <w:rPr>
                <w:sz w:val="20"/>
                <w:szCs w:val="20"/>
                <w:color w:val="auto"/>
              </w:rPr>
            </w:pPr>
            <w:r>
              <w:rPr>
                <w:rFonts w:ascii="Arial" w:cs="Arial" w:eastAsia="Arial" w:hAnsi="Arial"/>
                <w:sz w:val="13"/>
                <w:szCs w:val="13"/>
                <w:b w:val="1"/>
                <w:bCs w:val="1"/>
                <w:color w:val="auto"/>
                <w:w w:val="98"/>
              </w:rPr>
              <w:t>Weighted-</w:t>
            </w:r>
          </w:p>
        </w:tc>
        <w:tc>
          <w:tcPr>
            <w:tcW w:w="560" w:type="dxa"/>
            <w:vAlign w:val="bottom"/>
          </w:tcPr>
          <w:p>
            <w:pPr>
              <w:spacing w:after="0"/>
              <w:rPr>
                <w:sz w:val="24"/>
                <w:szCs w:val="24"/>
                <w:color w:val="auto"/>
              </w:rPr>
            </w:pPr>
          </w:p>
        </w:tc>
        <w:tc>
          <w:tcPr>
            <w:tcW w:w="1040" w:type="dxa"/>
            <w:vAlign w:val="bottom"/>
          </w:tcPr>
          <w:p>
            <w:pPr>
              <w:jc w:val="center"/>
              <w:ind w:right="115"/>
              <w:spacing w:after="0"/>
              <w:rPr>
                <w:sz w:val="20"/>
                <w:szCs w:val="20"/>
                <w:color w:val="auto"/>
              </w:rPr>
            </w:pPr>
            <w:r>
              <w:rPr>
                <w:rFonts w:ascii="Arial" w:cs="Arial" w:eastAsia="Arial" w:hAnsi="Arial"/>
                <w:sz w:val="13"/>
                <w:szCs w:val="13"/>
                <w:b w:val="1"/>
                <w:bCs w:val="1"/>
                <w:color w:val="auto"/>
                <w:w w:val="98"/>
              </w:rPr>
              <w:t>Weighted-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740" w:type="dxa"/>
            <w:vAlign w:val="bottom"/>
            <w:gridSpan w:val="2"/>
          </w:tcPr>
          <w:p>
            <w:pPr>
              <w:jc w:val="center"/>
              <w:ind w:left="2975"/>
              <w:spacing w:after="0" w:line="144" w:lineRule="exact"/>
              <w:rPr>
                <w:sz w:val="20"/>
                <w:szCs w:val="20"/>
                <w:color w:val="auto"/>
              </w:rPr>
            </w:pPr>
            <w:r>
              <w:rPr>
                <w:rFonts w:ascii="Arial" w:cs="Arial" w:eastAsia="Arial" w:hAnsi="Arial"/>
                <w:sz w:val="13"/>
                <w:szCs w:val="13"/>
                <w:b w:val="1"/>
                <w:bCs w:val="1"/>
                <w:color w:val="auto"/>
              </w:rPr>
              <w:t>Number</w:t>
            </w:r>
          </w:p>
        </w:tc>
        <w:tc>
          <w:tcPr>
            <w:tcW w:w="1600" w:type="dxa"/>
            <w:vAlign w:val="bottom"/>
          </w:tcPr>
          <w:p>
            <w:pPr>
              <w:jc w:val="center"/>
              <w:ind w:right="395"/>
              <w:spacing w:after="0" w:line="144" w:lineRule="exact"/>
              <w:rPr>
                <w:sz w:val="20"/>
                <w:szCs w:val="20"/>
                <w:color w:val="auto"/>
              </w:rPr>
            </w:pPr>
            <w:r>
              <w:rPr>
                <w:rFonts w:ascii="Arial" w:cs="Arial" w:eastAsia="Arial" w:hAnsi="Arial"/>
                <w:sz w:val="13"/>
                <w:szCs w:val="13"/>
                <w:b w:val="1"/>
                <w:bCs w:val="1"/>
                <w:color w:val="auto"/>
                <w:w w:val="97"/>
              </w:rPr>
              <w:t>Average</w:t>
            </w:r>
          </w:p>
        </w:tc>
        <w:tc>
          <w:tcPr>
            <w:tcW w:w="560" w:type="dxa"/>
            <w:vAlign w:val="bottom"/>
          </w:tcPr>
          <w:p>
            <w:pPr>
              <w:spacing w:after="0"/>
              <w:rPr>
                <w:sz w:val="12"/>
                <w:szCs w:val="12"/>
                <w:color w:val="auto"/>
              </w:rPr>
            </w:pPr>
          </w:p>
        </w:tc>
        <w:tc>
          <w:tcPr>
            <w:tcW w:w="1040" w:type="dxa"/>
            <w:vAlign w:val="bottom"/>
          </w:tcPr>
          <w:p>
            <w:pPr>
              <w:jc w:val="center"/>
              <w:ind w:right="115"/>
              <w:spacing w:after="0" w:line="144" w:lineRule="exact"/>
              <w:rPr>
                <w:sz w:val="20"/>
                <w:szCs w:val="20"/>
                <w:color w:val="auto"/>
              </w:rPr>
            </w:pPr>
            <w:r>
              <w:rPr>
                <w:rFonts w:ascii="Arial" w:cs="Arial" w:eastAsia="Arial" w:hAnsi="Arial"/>
                <w:sz w:val="13"/>
                <w:szCs w:val="13"/>
                <w:b w:val="1"/>
                <w:bCs w:val="1"/>
                <w:color w:val="auto"/>
                <w:w w:val="97"/>
              </w:rPr>
              <w:t>Average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80" w:type="dxa"/>
            <w:vAlign w:val="bottom"/>
          </w:tcPr>
          <w:p>
            <w:pPr>
              <w:jc w:val="center"/>
              <w:ind w:left="4215"/>
              <w:spacing w:after="0" w:line="144" w:lineRule="exact"/>
              <w:rPr>
                <w:sz w:val="20"/>
                <w:szCs w:val="20"/>
                <w:color w:val="auto"/>
              </w:rPr>
            </w:pPr>
            <w:r>
              <w:rPr>
                <w:rFonts w:ascii="Arial" w:cs="Arial" w:eastAsia="Arial" w:hAnsi="Arial"/>
                <w:sz w:val="13"/>
                <w:szCs w:val="13"/>
                <w:b w:val="1"/>
                <w:bCs w:val="1"/>
                <w:color w:val="auto"/>
                <w:w w:val="97"/>
              </w:rPr>
              <w:t>of</w:t>
            </w:r>
          </w:p>
        </w:tc>
        <w:tc>
          <w:tcPr>
            <w:tcW w:w="1260" w:type="dxa"/>
            <w:vAlign w:val="bottom"/>
          </w:tcPr>
          <w:p>
            <w:pPr>
              <w:spacing w:after="0"/>
              <w:rPr>
                <w:sz w:val="12"/>
                <w:szCs w:val="12"/>
                <w:color w:val="auto"/>
              </w:rPr>
            </w:pPr>
          </w:p>
        </w:tc>
        <w:tc>
          <w:tcPr>
            <w:tcW w:w="1600" w:type="dxa"/>
            <w:vAlign w:val="bottom"/>
          </w:tcPr>
          <w:p>
            <w:pPr>
              <w:jc w:val="center"/>
              <w:ind w:right="395"/>
              <w:spacing w:after="0" w:line="144" w:lineRule="exact"/>
              <w:rPr>
                <w:sz w:val="20"/>
                <w:szCs w:val="20"/>
                <w:color w:val="auto"/>
              </w:rPr>
            </w:pPr>
            <w:r>
              <w:rPr>
                <w:rFonts w:ascii="Arial" w:cs="Arial" w:eastAsia="Arial" w:hAnsi="Arial"/>
                <w:sz w:val="13"/>
                <w:szCs w:val="13"/>
                <w:b w:val="1"/>
                <w:bCs w:val="1"/>
                <w:color w:val="auto"/>
                <w:w w:val="99"/>
              </w:rPr>
              <w:t>Remaining</w:t>
            </w:r>
          </w:p>
        </w:tc>
        <w:tc>
          <w:tcPr>
            <w:tcW w:w="560" w:type="dxa"/>
            <w:vAlign w:val="bottom"/>
          </w:tcPr>
          <w:p>
            <w:pPr>
              <w:spacing w:after="0"/>
              <w:rPr>
                <w:sz w:val="12"/>
                <w:szCs w:val="12"/>
                <w:color w:val="auto"/>
              </w:rPr>
            </w:pPr>
          </w:p>
        </w:tc>
        <w:tc>
          <w:tcPr>
            <w:tcW w:w="1040" w:type="dxa"/>
            <w:vAlign w:val="bottom"/>
          </w:tcPr>
          <w:p>
            <w:pPr>
              <w:jc w:val="center"/>
              <w:ind w:right="115"/>
              <w:spacing w:after="0" w:line="144" w:lineRule="exact"/>
              <w:rPr>
                <w:sz w:val="20"/>
                <w:szCs w:val="20"/>
                <w:color w:val="auto"/>
              </w:rPr>
            </w:pPr>
            <w:r>
              <w:rPr>
                <w:rFonts w:ascii="Arial" w:cs="Arial" w:eastAsia="Arial" w:hAnsi="Arial"/>
                <w:sz w:val="13"/>
                <w:szCs w:val="13"/>
                <w:b w:val="1"/>
                <w:bCs w:val="1"/>
                <w:color w:val="auto"/>
              </w:rPr>
              <w:t>Exercise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5740" w:type="dxa"/>
            <w:vAlign w:val="bottom"/>
            <w:tcBorders>
              <w:bottom w:val="single" w:sz="8" w:color="auto"/>
            </w:tcBorders>
            <w:gridSpan w:val="2"/>
          </w:tcPr>
          <w:p>
            <w:pPr>
              <w:jc w:val="center"/>
              <w:ind w:left="2975"/>
              <w:spacing w:after="0"/>
              <w:rPr>
                <w:sz w:val="20"/>
                <w:szCs w:val="20"/>
                <w:color w:val="auto"/>
              </w:rPr>
            </w:pPr>
            <w:r>
              <w:rPr>
                <w:rFonts w:ascii="Arial" w:cs="Arial" w:eastAsia="Arial" w:hAnsi="Arial"/>
                <w:sz w:val="13"/>
                <w:szCs w:val="13"/>
                <w:b w:val="1"/>
                <w:bCs w:val="1"/>
                <w:color w:val="auto"/>
                <w:w w:val="96"/>
              </w:rPr>
              <w:t>Shares</w:t>
            </w:r>
          </w:p>
        </w:tc>
        <w:tc>
          <w:tcPr>
            <w:tcW w:w="1600" w:type="dxa"/>
            <w:vAlign w:val="bottom"/>
            <w:tcBorders>
              <w:bottom w:val="single" w:sz="8" w:color="auto"/>
            </w:tcBorders>
          </w:tcPr>
          <w:p>
            <w:pPr>
              <w:jc w:val="center"/>
              <w:ind w:right="395"/>
              <w:spacing w:after="0"/>
              <w:rPr>
                <w:sz w:val="20"/>
                <w:szCs w:val="20"/>
                <w:color w:val="auto"/>
              </w:rPr>
            </w:pPr>
            <w:r>
              <w:rPr>
                <w:rFonts w:ascii="Arial" w:cs="Arial" w:eastAsia="Arial" w:hAnsi="Arial"/>
                <w:sz w:val="13"/>
                <w:szCs w:val="13"/>
                <w:b w:val="1"/>
                <w:bCs w:val="1"/>
                <w:color w:val="auto"/>
                <w:w w:val="98"/>
              </w:rPr>
              <w:t>Contractual Life</w:t>
            </w:r>
          </w:p>
        </w:tc>
        <w:tc>
          <w:tcPr>
            <w:tcW w:w="5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95"/>
              <w:spacing w:after="0"/>
              <w:rPr>
                <w:sz w:val="20"/>
                <w:szCs w:val="20"/>
                <w:color w:val="auto"/>
              </w:rPr>
            </w:pPr>
            <w:r>
              <w:rPr>
                <w:rFonts w:ascii="Arial" w:cs="Arial" w:eastAsia="Arial" w:hAnsi="Arial"/>
                <w:sz w:val="13"/>
                <w:szCs w:val="13"/>
                <w:b w:val="1"/>
                <w:bCs w:val="1"/>
                <w:color w:val="auto"/>
              </w:rPr>
              <w:t>Price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740" w:type="dxa"/>
            <w:vAlign w:val="bottom"/>
            <w:gridSpan w:val="2"/>
          </w:tcPr>
          <w:p>
            <w:pPr>
              <w:ind w:left="4360"/>
              <w:spacing w:after="0" w:line="134" w:lineRule="exact"/>
              <w:rPr>
                <w:sz w:val="20"/>
                <w:szCs w:val="20"/>
                <w:color w:val="auto"/>
              </w:rPr>
            </w:pPr>
            <w:r>
              <w:rPr>
                <w:rFonts w:ascii="Arial" w:cs="Arial" w:eastAsia="Arial" w:hAnsi="Arial"/>
                <w:sz w:val="13"/>
                <w:szCs w:val="13"/>
                <w:color w:val="auto"/>
              </w:rPr>
              <w:t>(in thousands)</w:t>
            </w:r>
          </w:p>
        </w:tc>
        <w:tc>
          <w:tcPr>
            <w:tcW w:w="1600" w:type="dxa"/>
            <w:vAlign w:val="bottom"/>
          </w:tcPr>
          <w:p>
            <w:pPr>
              <w:jc w:val="center"/>
              <w:ind w:right="395"/>
              <w:spacing w:after="0" w:line="134" w:lineRule="exact"/>
              <w:rPr>
                <w:sz w:val="20"/>
                <w:szCs w:val="20"/>
                <w:color w:val="auto"/>
              </w:rPr>
            </w:pPr>
            <w:r>
              <w:rPr>
                <w:rFonts w:ascii="Arial" w:cs="Arial" w:eastAsia="Arial" w:hAnsi="Arial"/>
                <w:sz w:val="13"/>
                <w:szCs w:val="13"/>
                <w:color w:val="auto"/>
                <w:w w:val="99"/>
              </w:rPr>
              <w:t>(in years)</w:t>
            </w:r>
          </w:p>
        </w:tc>
        <w:tc>
          <w:tcPr>
            <w:tcW w:w="560" w:type="dxa"/>
            <w:vAlign w:val="bottom"/>
          </w:tcPr>
          <w:p>
            <w:pPr>
              <w:spacing w:after="0"/>
              <w:rPr>
                <w:sz w:val="11"/>
                <w:szCs w:val="11"/>
                <w:color w:val="auto"/>
              </w:rPr>
            </w:pPr>
          </w:p>
        </w:tc>
        <w:tc>
          <w:tcPr>
            <w:tcW w:w="1040" w:type="dxa"/>
            <w:vAlign w:val="bottom"/>
          </w:tcPr>
          <w:p>
            <w:pPr>
              <w:jc w:val="center"/>
              <w:ind w:right="115"/>
              <w:spacing w:after="0" w:line="134" w:lineRule="exact"/>
              <w:rPr>
                <w:sz w:val="20"/>
                <w:szCs w:val="20"/>
                <w:color w:val="auto"/>
              </w:rPr>
            </w:pPr>
            <w:r>
              <w:rPr>
                <w:rFonts w:ascii="Arial" w:cs="Arial" w:eastAsia="Arial" w:hAnsi="Arial"/>
                <w:sz w:val="13"/>
                <w:szCs w:val="13"/>
                <w:color w:val="auto"/>
                <w:w w:val="97"/>
              </w:rPr>
              <w:t>(per share)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Options outstanding at the beginning of the year</w:t>
            </w:r>
          </w:p>
        </w:tc>
        <w:tc>
          <w:tcPr>
            <w:tcW w:w="1260" w:type="dxa"/>
            <w:vAlign w:val="bottom"/>
            <w:shd w:val="clear" w:color="auto" w:fill="CCEEFF"/>
          </w:tcPr>
          <w:p>
            <w:pPr>
              <w:jc w:val="right"/>
              <w:ind w:right="835"/>
              <w:spacing w:after="0" w:line="144" w:lineRule="exact"/>
              <w:rPr>
                <w:sz w:val="20"/>
                <w:szCs w:val="20"/>
                <w:color w:val="auto"/>
              </w:rPr>
            </w:pPr>
            <w:r>
              <w:rPr>
                <w:rFonts w:ascii="Arial" w:cs="Arial" w:eastAsia="Arial" w:hAnsi="Arial"/>
                <w:sz w:val="13"/>
                <w:szCs w:val="13"/>
                <w:color w:val="auto"/>
              </w:rPr>
              <w:t>2,881</w:t>
            </w:r>
          </w:p>
        </w:tc>
        <w:tc>
          <w:tcPr>
            <w:tcW w:w="16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35"/>
              <w:spacing w:after="0" w:line="144" w:lineRule="exact"/>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54.21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80" w:type="dxa"/>
            <w:vAlign w:val="bottom"/>
          </w:tcPr>
          <w:p>
            <w:pPr>
              <w:spacing w:after="0" w:line="144" w:lineRule="exact"/>
              <w:rPr>
                <w:sz w:val="20"/>
                <w:szCs w:val="20"/>
                <w:color w:val="auto"/>
              </w:rPr>
            </w:pPr>
            <w:r>
              <w:rPr>
                <w:rFonts w:ascii="Arial" w:cs="Arial" w:eastAsia="Arial" w:hAnsi="Arial"/>
                <w:sz w:val="13"/>
                <w:szCs w:val="13"/>
                <w:color w:val="auto"/>
              </w:rPr>
              <w:t>Granted</w:t>
            </w:r>
          </w:p>
        </w:tc>
        <w:tc>
          <w:tcPr>
            <w:tcW w:w="1260" w:type="dxa"/>
            <w:vAlign w:val="bottom"/>
          </w:tcPr>
          <w:p>
            <w:pPr>
              <w:jc w:val="right"/>
              <w:ind w:right="835"/>
              <w:spacing w:after="0" w:line="144" w:lineRule="exact"/>
              <w:rPr>
                <w:sz w:val="20"/>
                <w:szCs w:val="20"/>
                <w:color w:val="auto"/>
              </w:rPr>
            </w:pPr>
            <w:r>
              <w:rPr>
                <w:rFonts w:ascii="Arial" w:cs="Arial" w:eastAsia="Arial" w:hAnsi="Arial"/>
                <w:sz w:val="13"/>
                <w:szCs w:val="13"/>
                <w:color w:val="auto"/>
              </w:rPr>
              <w:t>1,069</w:t>
            </w:r>
          </w:p>
        </w:tc>
        <w:tc>
          <w:tcPr>
            <w:tcW w:w="1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40" w:type="dxa"/>
            <w:vAlign w:val="bottom"/>
          </w:tcPr>
          <w:p>
            <w:pPr>
              <w:jc w:val="right"/>
              <w:spacing w:after="0" w:line="144" w:lineRule="exact"/>
              <w:rPr>
                <w:sz w:val="20"/>
                <w:szCs w:val="20"/>
                <w:color w:val="auto"/>
              </w:rPr>
            </w:pPr>
            <w:r>
              <w:rPr>
                <w:rFonts w:ascii="Arial" w:cs="Arial" w:eastAsia="Arial" w:hAnsi="Arial"/>
                <w:sz w:val="13"/>
                <w:szCs w:val="13"/>
                <w:color w:val="auto"/>
              </w:rPr>
              <w:t>21.61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8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Exercised</w:t>
            </w:r>
          </w:p>
        </w:tc>
        <w:tc>
          <w:tcPr>
            <w:tcW w:w="1260" w:type="dxa"/>
            <w:vAlign w:val="bottom"/>
            <w:shd w:val="clear" w:color="auto" w:fill="CCEEFF"/>
          </w:tcPr>
          <w:p>
            <w:pPr>
              <w:jc w:val="right"/>
              <w:ind w:right="795"/>
              <w:spacing w:after="0" w:line="144" w:lineRule="exact"/>
              <w:rPr>
                <w:sz w:val="20"/>
                <w:szCs w:val="20"/>
                <w:color w:val="auto"/>
              </w:rPr>
            </w:pPr>
            <w:r>
              <w:rPr>
                <w:rFonts w:ascii="Arial" w:cs="Arial" w:eastAsia="Arial" w:hAnsi="Arial"/>
                <w:sz w:val="13"/>
                <w:szCs w:val="13"/>
                <w:color w:val="auto"/>
              </w:rPr>
              <w:t>(165)</w:t>
            </w:r>
          </w:p>
        </w:tc>
        <w:tc>
          <w:tcPr>
            <w:tcW w:w="16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23.36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48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color w:val="auto"/>
              </w:rPr>
              <w:t>Expired or cancelled</w:t>
            </w:r>
          </w:p>
        </w:tc>
        <w:tc>
          <w:tcPr>
            <w:tcW w:w="1260" w:type="dxa"/>
            <w:vAlign w:val="bottom"/>
            <w:tcBorders>
              <w:bottom w:val="single" w:sz="8" w:color="auto"/>
            </w:tcBorders>
          </w:tcPr>
          <w:p>
            <w:pPr>
              <w:jc w:val="right"/>
              <w:ind w:right="795"/>
              <w:spacing w:after="0" w:line="144" w:lineRule="exact"/>
              <w:rPr>
                <w:sz w:val="20"/>
                <w:szCs w:val="20"/>
                <w:color w:val="auto"/>
              </w:rPr>
            </w:pPr>
            <w:r>
              <w:rPr>
                <w:rFonts w:ascii="Arial" w:cs="Arial" w:eastAsia="Arial" w:hAnsi="Arial"/>
                <w:sz w:val="13"/>
                <w:szCs w:val="13"/>
                <w:color w:val="auto"/>
              </w:rPr>
              <w:t>(245)</w:t>
            </w:r>
          </w:p>
        </w:tc>
        <w:tc>
          <w:tcPr>
            <w:tcW w:w="16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34.47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480" w:type="dxa"/>
            <w:vAlign w:val="bottom"/>
            <w:tcBorders>
              <w:bottom w:val="single" w:sz="8" w:color="auto"/>
            </w:tcBorders>
            <w:shd w:val="clear" w:color="auto" w:fill="CCEEFF"/>
          </w:tcPr>
          <w:p>
            <w:pPr>
              <w:spacing w:after="0" w:line="134" w:lineRule="exact"/>
              <w:rPr>
                <w:sz w:val="20"/>
                <w:szCs w:val="20"/>
                <w:color w:val="auto"/>
              </w:rPr>
            </w:pPr>
            <w:r>
              <w:rPr>
                <w:rFonts w:ascii="Arial" w:cs="Arial" w:eastAsia="Arial" w:hAnsi="Arial"/>
                <w:sz w:val="13"/>
                <w:szCs w:val="13"/>
                <w:color w:val="auto"/>
              </w:rPr>
              <w:t>Options outstanding at January 30, 2021</w:t>
            </w:r>
          </w:p>
        </w:tc>
        <w:tc>
          <w:tcPr>
            <w:tcW w:w="1260" w:type="dxa"/>
            <w:vAlign w:val="bottom"/>
            <w:tcBorders>
              <w:bottom w:val="single" w:sz="8" w:color="auto"/>
            </w:tcBorders>
            <w:shd w:val="clear" w:color="auto" w:fill="CCEEFF"/>
          </w:tcPr>
          <w:p>
            <w:pPr>
              <w:jc w:val="right"/>
              <w:ind w:right="835"/>
              <w:spacing w:after="0" w:line="134" w:lineRule="exact"/>
              <w:rPr>
                <w:sz w:val="20"/>
                <w:szCs w:val="20"/>
                <w:color w:val="auto"/>
              </w:rPr>
            </w:pPr>
            <w:r>
              <w:rPr>
                <w:rFonts w:ascii="Arial" w:cs="Arial" w:eastAsia="Arial" w:hAnsi="Arial"/>
                <w:sz w:val="13"/>
                <w:szCs w:val="13"/>
                <w:color w:val="auto"/>
              </w:rPr>
              <w:t>3,540</w:t>
            </w:r>
          </w:p>
        </w:tc>
        <w:tc>
          <w:tcPr>
            <w:tcW w:w="1600" w:type="dxa"/>
            <w:vAlign w:val="bottom"/>
            <w:tcBorders>
              <w:bottom w:val="single" w:sz="8" w:color="auto"/>
            </w:tcBorders>
            <w:shd w:val="clear" w:color="auto" w:fill="CCEEFF"/>
          </w:tcPr>
          <w:p>
            <w:pPr>
              <w:jc w:val="right"/>
              <w:ind w:right="335"/>
              <w:spacing w:after="0" w:line="134" w:lineRule="exact"/>
              <w:rPr>
                <w:sz w:val="20"/>
                <w:szCs w:val="20"/>
                <w:color w:val="auto"/>
              </w:rPr>
            </w:pPr>
            <w:r>
              <w:rPr>
                <w:rFonts w:ascii="Arial" w:cs="Arial" w:eastAsia="Arial" w:hAnsi="Arial"/>
                <w:sz w:val="13"/>
                <w:szCs w:val="13"/>
                <w:color w:val="auto"/>
              </w:rPr>
              <w:t>5.7</w:t>
            </w:r>
          </w:p>
        </w:tc>
        <w:tc>
          <w:tcPr>
            <w:tcW w:w="560" w:type="dxa"/>
            <w:vAlign w:val="bottom"/>
            <w:tcBorders>
              <w:bottom w:val="single" w:sz="8" w:color="auto"/>
            </w:tcBorders>
            <w:shd w:val="clear" w:color="auto" w:fill="CCEEFF"/>
          </w:tcPr>
          <w:p>
            <w:pPr>
              <w:jc w:val="right"/>
              <w:ind w:right="35"/>
              <w:spacing w:after="0" w:line="134" w:lineRule="exact"/>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47.17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vMerge w:val="restart"/>
          </w:tcPr>
          <w:p>
            <w:pPr>
              <w:spacing w:after="0"/>
              <w:rPr>
                <w:sz w:val="9"/>
                <w:szCs w:val="9"/>
                <w:color w:val="auto"/>
              </w:rPr>
            </w:pPr>
          </w:p>
        </w:tc>
        <w:tc>
          <w:tcPr>
            <w:tcW w:w="44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480" w:type="dxa"/>
            <w:vAlign w:val="bottom"/>
            <w:tcBorders>
              <w:bottom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rPr>
              <w:t>Options exercisable at January 30, 2021</w:t>
            </w:r>
          </w:p>
        </w:tc>
        <w:tc>
          <w:tcPr>
            <w:tcW w:w="1260" w:type="dxa"/>
            <w:vAlign w:val="bottom"/>
            <w:tcBorders>
              <w:bottom w:val="single" w:sz="8" w:color="auto"/>
            </w:tcBorders>
            <w:shd w:val="clear" w:color="auto" w:fill="CCEEFF"/>
          </w:tcPr>
          <w:p>
            <w:pPr>
              <w:jc w:val="right"/>
              <w:ind w:right="835"/>
              <w:spacing w:after="0" w:line="144" w:lineRule="exact"/>
              <w:rPr>
                <w:sz w:val="20"/>
                <w:szCs w:val="20"/>
                <w:color w:val="auto"/>
              </w:rPr>
            </w:pPr>
            <w:r>
              <w:rPr>
                <w:rFonts w:ascii="Arial" w:cs="Arial" w:eastAsia="Arial" w:hAnsi="Arial"/>
                <w:sz w:val="13"/>
                <w:szCs w:val="13"/>
                <w:color w:val="auto"/>
              </w:rPr>
              <w:t>2,403</w:t>
            </w:r>
          </w:p>
        </w:tc>
        <w:tc>
          <w:tcPr>
            <w:tcW w:w="1600" w:type="dxa"/>
            <w:vAlign w:val="bottom"/>
            <w:tcBorders>
              <w:bottom w:val="single" w:sz="8" w:color="auto"/>
            </w:tcBorders>
            <w:shd w:val="clear" w:color="auto" w:fill="CCEEFF"/>
          </w:tcPr>
          <w:p>
            <w:pPr>
              <w:jc w:val="right"/>
              <w:ind w:right="335"/>
              <w:spacing w:after="0" w:line="144" w:lineRule="exact"/>
              <w:rPr>
                <w:sz w:val="20"/>
                <w:szCs w:val="20"/>
                <w:color w:val="auto"/>
              </w:rPr>
            </w:pPr>
            <w:r>
              <w:rPr>
                <w:rFonts w:ascii="Arial" w:cs="Arial" w:eastAsia="Arial" w:hAnsi="Arial"/>
                <w:sz w:val="13"/>
                <w:szCs w:val="13"/>
                <w:color w:val="auto"/>
              </w:rPr>
              <w:t>4.2</w:t>
            </w:r>
          </w:p>
        </w:tc>
        <w:tc>
          <w:tcPr>
            <w:tcW w:w="560" w:type="dxa"/>
            <w:vAlign w:val="bottom"/>
            <w:tcBorders>
              <w:bottom w:val="single" w:sz="8" w:color="auto"/>
            </w:tcBorders>
            <w:shd w:val="clear" w:color="auto" w:fill="CCEEFF"/>
          </w:tcPr>
          <w:p>
            <w:pPr>
              <w:jc w:val="right"/>
              <w:ind w:right="35"/>
              <w:spacing w:after="0" w:line="144" w:lineRule="exact"/>
              <w:rPr>
                <w:sz w:val="20"/>
                <w:szCs w:val="20"/>
                <w:color w:val="auto"/>
              </w:rPr>
            </w:pPr>
            <w:r>
              <w:rPr>
                <w:rFonts w:ascii="Arial" w:cs="Arial" w:eastAsia="Arial" w:hAnsi="Arial"/>
                <w:sz w:val="13"/>
                <w:szCs w:val="13"/>
                <w:color w:val="auto"/>
              </w:rPr>
              <w:t>$</w:t>
            </w:r>
          </w:p>
        </w:tc>
        <w:tc>
          <w:tcPr>
            <w:tcW w:w="104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55.81</w:t>
            </w: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left="20" w:right="39"/>
        <w:spacing w:after="0"/>
        <w:rPr>
          <w:sz w:val="20"/>
          <w:szCs w:val="20"/>
          <w:color w:val="auto"/>
        </w:rPr>
      </w:pPr>
      <w:r>
        <w:rPr>
          <w:rFonts w:ascii="Arial" w:cs="Arial" w:eastAsia="Arial" w:hAnsi="Arial"/>
          <w:sz w:val="13"/>
          <w:szCs w:val="13"/>
          <w:color w:val="auto"/>
        </w:rPr>
        <w:t>The total fair value of options vested was $6 million during both 2020 and 2019. During the year ended January 30, 2021, we received $4 million in cash from option exercises and recognized a related tax benefit of $1 million.</w:t>
      </w:r>
    </w:p>
    <w:p>
      <w:pPr>
        <w:spacing w:after="0" w:line="152" w:lineRule="exact"/>
        <w:rPr>
          <w:sz w:val="20"/>
          <w:szCs w:val="20"/>
          <w:color w:val="auto"/>
        </w:rPr>
      </w:pPr>
    </w:p>
    <w:p>
      <w:pPr>
        <w:jc w:val="both"/>
        <w:ind w:left="20" w:right="59"/>
        <w:spacing w:after="0"/>
        <w:rPr>
          <w:sz w:val="20"/>
          <w:szCs w:val="20"/>
          <w:color w:val="auto"/>
        </w:rPr>
      </w:pPr>
      <w:r>
        <w:rPr>
          <w:rFonts w:ascii="Arial" w:cs="Arial" w:eastAsia="Arial" w:hAnsi="Arial"/>
          <w:sz w:val="13"/>
          <w:szCs w:val="13"/>
          <w:color w:val="auto"/>
        </w:rPr>
        <w:t>The total intrinsic value of options exercised (the difference between the market price of the Company’s common stock on the exercise date and the price paid by the optionee to exercise the option) is presented below:</w:t>
      </w:r>
    </w:p>
    <w:p>
      <w:pPr>
        <w:spacing w:after="0" w:line="147"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25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 in millions)</w:t>
            </w:r>
          </w:p>
        </w:tc>
        <w:tc>
          <w:tcPr>
            <w:tcW w:w="286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b w:val="1"/>
                <w:bCs w:val="1"/>
                <w:color w:val="auto"/>
              </w:rPr>
              <w:t>2020</w:t>
            </w:r>
          </w:p>
        </w:tc>
        <w:tc>
          <w:tcPr>
            <w:tcW w:w="4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75"/>
              <w:spacing w:after="0"/>
              <w:rPr>
                <w:sz w:val="20"/>
                <w:szCs w:val="20"/>
                <w:color w:val="auto"/>
              </w:rPr>
            </w:pPr>
            <w:r>
              <w:rPr>
                <w:rFonts w:ascii="Arial" w:cs="Arial" w:eastAsia="Arial" w:hAnsi="Arial"/>
                <w:sz w:val="13"/>
                <w:szCs w:val="13"/>
                <w:color w:val="auto"/>
              </w:rPr>
              <w:t>2019</w:t>
            </w:r>
          </w:p>
        </w:tc>
        <w:tc>
          <w:tcPr>
            <w:tcW w:w="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3"/>
                <w:szCs w:val="13"/>
                <w:color w:val="auto"/>
              </w:rPr>
              <w:t>2018</w:t>
            </w:r>
          </w:p>
        </w:tc>
      </w:tr>
      <w:tr>
        <w:trPr>
          <w:trHeight w:val="134"/>
        </w:trPr>
        <w:tc>
          <w:tcPr>
            <w:tcW w:w="2560" w:type="dxa"/>
            <w:vAlign w:val="bottom"/>
            <w:tcBorders>
              <w:bottom w:val="single" w:sz="8" w:color="auto"/>
            </w:tcBorders>
            <w:shd w:val="clear" w:color="auto" w:fill="CCEEFF"/>
          </w:tcPr>
          <w:p>
            <w:pPr>
              <w:spacing w:after="0" w:line="134" w:lineRule="exact"/>
              <w:rPr>
                <w:sz w:val="20"/>
                <w:szCs w:val="20"/>
                <w:color w:val="auto"/>
              </w:rPr>
            </w:pPr>
            <w:r>
              <w:rPr>
                <w:rFonts w:ascii="Arial" w:cs="Arial" w:eastAsia="Arial" w:hAnsi="Arial"/>
                <w:sz w:val="13"/>
                <w:szCs w:val="13"/>
                <w:color w:val="auto"/>
              </w:rPr>
              <w:t>Exercised</w:t>
            </w:r>
          </w:p>
        </w:tc>
        <w:tc>
          <w:tcPr>
            <w:tcW w:w="2860" w:type="dxa"/>
            <w:vAlign w:val="bottom"/>
            <w:tcBorders>
              <w:bottom w:val="single" w:sz="8" w:color="auto"/>
            </w:tcBorders>
            <w:shd w:val="clear" w:color="auto" w:fill="CCEEFF"/>
          </w:tcPr>
          <w:p>
            <w:pPr>
              <w:jc w:val="right"/>
              <w:ind w:right="915"/>
              <w:spacing w:after="0" w:line="134" w:lineRule="exact"/>
              <w:rPr>
                <w:sz w:val="20"/>
                <w:szCs w:val="20"/>
                <w:color w:val="auto"/>
              </w:rPr>
            </w:pPr>
            <w:r>
              <w:rPr>
                <w:rFonts w:ascii="Arial" w:cs="Arial" w:eastAsia="Arial" w:hAnsi="Arial"/>
                <w:sz w:val="13"/>
                <w:szCs w:val="13"/>
                <w:b w:val="1"/>
                <w:bCs w:val="1"/>
                <w:color w:val="auto"/>
              </w:rPr>
              <w:t>$</w:t>
            </w:r>
          </w:p>
        </w:tc>
        <w:tc>
          <w:tcPr>
            <w:tcW w:w="420" w:type="dxa"/>
            <w:vAlign w:val="bottom"/>
            <w:tcBorders>
              <w:bottom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b w:val="1"/>
                <w:bCs w:val="1"/>
                <w:color w:val="auto"/>
              </w:rPr>
              <w:t>3</w:t>
            </w:r>
          </w:p>
        </w:tc>
        <w:tc>
          <w:tcPr>
            <w:tcW w:w="440" w:type="dxa"/>
            <w:vAlign w:val="bottom"/>
            <w:tcBorders>
              <w:bottom w:val="single" w:sz="8" w:color="auto"/>
            </w:tcBorders>
            <w:shd w:val="clear" w:color="auto" w:fill="CCEEFF"/>
          </w:tcPr>
          <w:p>
            <w:pPr>
              <w:jc w:val="right"/>
              <w:ind w:right="175"/>
              <w:spacing w:after="0" w:line="134" w:lineRule="exact"/>
              <w:rPr>
                <w:sz w:val="20"/>
                <w:szCs w:val="20"/>
                <w:color w:val="auto"/>
              </w:rPr>
            </w:pPr>
            <w:r>
              <w:rPr>
                <w:rFonts w:ascii="Arial" w:cs="Arial" w:eastAsia="Arial" w:hAnsi="Arial"/>
                <w:sz w:val="13"/>
                <w:szCs w:val="13"/>
                <w:color w:val="auto"/>
              </w:rPr>
              <w:t>$</w:t>
            </w:r>
          </w:p>
        </w:tc>
        <w:tc>
          <w:tcPr>
            <w:tcW w:w="1160" w:type="dxa"/>
            <w:vAlign w:val="bottom"/>
            <w:tcBorders>
              <w:bottom w:val="single" w:sz="8" w:color="auto"/>
            </w:tcBorders>
            <w:shd w:val="clear" w:color="auto" w:fill="CCEEFF"/>
          </w:tcPr>
          <w:p>
            <w:pPr>
              <w:jc w:val="right"/>
              <w:ind w:right="75"/>
              <w:spacing w:after="0" w:line="134" w:lineRule="exact"/>
              <w:rPr>
                <w:sz w:val="20"/>
                <w:szCs w:val="20"/>
                <w:color w:val="auto"/>
              </w:rPr>
            </w:pPr>
            <w:r>
              <w:rPr>
                <w:rFonts w:ascii="Arial" w:cs="Arial" w:eastAsia="Arial" w:hAnsi="Arial"/>
                <w:sz w:val="13"/>
                <w:szCs w:val="13"/>
                <w:color w:val="auto"/>
              </w:rPr>
              <w:t>5</w:t>
            </w:r>
          </w:p>
        </w:tc>
        <w:tc>
          <w:tcPr>
            <w:tcW w:w="440" w:type="dxa"/>
            <w:vAlign w:val="bottom"/>
            <w:tcBorders>
              <w:bottom w:val="single" w:sz="8" w:color="auto"/>
            </w:tcBorders>
            <w:shd w:val="clear" w:color="auto" w:fill="CCEEFF"/>
          </w:tcPr>
          <w:p>
            <w:pPr>
              <w:jc w:val="right"/>
              <w:ind w:right="175"/>
              <w:spacing w:after="0" w:line="134" w:lineRule="exact"/>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3"/>
                <w:szCs w:val="13"/>
                <w:color w:val="auto"/>
              </w:rPr>
              <w:t>4</w:t>
            </w:r>
          </w:p>
        </w:tc>
      </w:tr>
    </w:tbl>
    <w:p>
      <w:pPr>
        <w:spacing w:after="0" w:line="139" w:lineRule="exact"/>
        <w:rPr>
          <w:sz w:val="20"/>
          <w:szCs w:val="20"/>
          <w:color w:val="auto"/>
        </w:rPr>
      </w:pPr>
    </w:p>
    <w:p>
      <w:pPr>
        <w:jc w:val="both"/>
        <w:ind w:left="20" w:right="39"/>
        <w:spacing w:after="0"/>
        <w:rPr>
          <w:sz w:val="20"/>
          <w:szCs w:val="20"/>
          <w:color w:val="auto"/>
        </w:rPr>
      </w:pPr>
      <w:r>
        <w:rPr>
          <w:rFonts w:ascii="Arial" w:cs="Arial" w:eastAsia="Arial" w:hAnsi="Arial"/>
          <w:sz w:val="13"/>
          <w:szCs w:val="13"/>
          <w:color w:val="auto"/>
        </w:rPr>
        <w:t>The aggregate intrinsic value for stock options outstanding, and those outstanding and exercisable (the difference between the closing stock price on the last trading day of the period and the exercise price of the options, multiplied by the number of in-the-money stock options) is presented below:</w:t>
      </w:r>
    </w:p>
    <w:p>
      <w:pPr>
        <w:spacing w:after="0" w:line="106"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45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 in millions)</w:t>
            </w:r>
          </w:p>
        </w:tc>
        <w:tc>
          <w:tcPr>
            <w:tcW w:w="3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3"/>
                <w:szCs w:val="13"/>
                <w:b w:val="1"/>
                <w:bCs w:val="1"/>
                <w:color w:val="auto"/>
              </w:rPr>
              <w:t>2020</w:t>
            </w:r>
          </w:p>
        </w:tc>
      </w:tr>
      <w:tr>
        <w:trPr>
          <w:trHeight w:val="134"/>
        </w:trPr>
        <w:tc>
          <w:tcPr>
            <w:tcW w:w="4580" w:type="dxa"/>
            <w:vAlign w:val="bottom"/>
            <w:shd w:val="clear" w:color="auto" w:fill="CCEEFF"/>
          </w:tcPr>
          <w:p>
            <w:pPr>
              <w:spacing w:after="0" w:line="134" w:lineRule="exact"/>
              <w:rPr>
                <w:sz w:val="20"/>
                <w:szCs w:val="20"/>
                <w:color w:val="auto"/>
              </w:rPr>
            </w:pPr>
            <w:r>
              <w:rPr>
                <w:rFonts w:ascii="Arial" w:cs="Arial" w:eastAsia="Arial" w:hAnsi="Arial"/>
                <w:sz w:val="13"/>
                <w:szCs w:val="13"/>
                <w:color w:val="auto"/>
              </w:rPr>
              <w:t>Outstanding</w:t>
            </w:r>
          </w:p>
        </w:tc>
        <w:tc>
          <w:tcPr>
            <w:tcW w:w="3260" w:type="dxa"/>
            <w:vAlign w:val="bottom"/>
            <w:shd w:val="clear" w:color="auto" w:fill="CCEEFF"/>
          </w:tcPr>
          <w:p>
            <w:pPr>
              <w:jc w:val="right"/>
              <w:ind w:right="175"/>
              <w:spacing w:after="0" w:line="134" w:lineRule="exact"/>
              <w:rPr>
                <w:sz w:val="20"/>
                <w:szCs w:val="20"/>
                <w:color w:val="auto"/>
              </w:rPr>
            </w:pPr>
            <w:r>
              <w:rPr>
                <w:rFonts w:ascii="Arial" w:cs="Arial" w:eastAsia="Arial" w:hAnsi="Arial"/>
                <w:sz w:val="13"/>
                <w:szCs w:val="13"/>
                <w:color w:val="auto"/>
              </w:rPr>
              <w:t>$</w:t>
            </w:r>
          </w:p>
        </w:tc>
        <w:tc>
          <w:tcPr>
            <w:tcW w:w="1100" w:type="dxa"/>
            <w:vAlign w:val="bottom"/>
            <w:shd w:val="clear" w:color="auto" w:fill="CCEEFF"/>
          </w:tcPr>
          <w:p>
            <w:pPr>
              <w:jc w:val="right"/>
              <w:spacing w:after="0" w:line="134" w:lineRule="exact"/>
              <w:rPr>
                <w:sz w:val="20"/>
                <w:szCs w:val="20"/>
                <w:color w:val="auto"/>
              </w:rPr>
            </w:pPr>
            <w:r>
              <w:rPr>
                <w:rFonts w:ascii="Arial" w:cs="Arial" w:eastAsia="Arial" w:hAnsi="Arial"/>
                <w:sz w:val="13"/>
                <w:szCs w:val="13"/>
                <w:color w:val="auto"/>
              </w:rPr>
              <w:t>24</w:t>
            </w:r>
          </w:p>
        </w:tc>
      </w:tr>
      <w:tr>
        <w:trPr>
          <w:trHeight w:val="144"/>
        </w:trPr>
        <w:tc>
          <w:tcPr>
            <w:tcW w:w="458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color w:val="auto"/>
              </w:rPr>
              <w:t>Outstanding and exercisable</w:t>
            </w:r>
          </w:p>
        </w:tc>
        <w:tc>
          <w:tcPr>
            <w:tcW w:w="3260" w:type="dxa"/>
            <w:vAlign w:val="bottom"/>
            <w:tcBorders>
              <w:bottom w:val="single" w:sz="8" w:color="auto"/>
            </w:tcBorders>
          </w:tcPr>
          <w:p>
            <w:pPr>
              <w:jc w:val="right"/>
              <w:ind w:right="175"/>
              <w:spacing w:after="0" w:line="144" w:lineRule="exact"/>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5</w:t>
            </w:r>
          </w:p>
        </w:tc>
      </w:tr>
    </w:tbl>
    <w:p>
      <w:pPr>
        <w:spacing w:after="0" w:line="139" w:lineRule="exact"/>
        <w:rPr>
          <w:sz w:val="20"/>
          <w:szCs w:val="20"/>
          <w:color w:val="auto"/>
        </w:rPr>
      </w:pPr>
    </w:p>
    <w:p>
      <w:pPr>
        <w:jc w:val="both"/>
        <w:ind w:left="20" w:right="39"/>
        <w:spacing w:after="0"/>
        <w:rPr>
          <w:sz w:val="20"/>
          <w:szCs w:val="20"/>
          <w:color w:val="auto"/>
        </w:rPr>
      </w:pPr>
      <w:r>
        <w:rPr>
          <w:rFonts w:ascii="Arial" w:cs="Arial" w:eastAsia="Arial" w:hAnsi="Arial"/>
          <w:sz w:val="13"/>
          <w:szCs w:val="13"/>
          <w:color w:val="auto"/>
        </w:rPr>
        <w:t>As of January 30, 2021, there was $3 million of total unrecognized compensation cost related to nonvested stock options, which is expected to be recognized over a remaining weighted-average period of 1.4 years.</w:t>
      </w:r>
    </w:p>
    <w:p>
      <w:pPr>
        <w:spacing w:after="0" w:line="122" w:lineRule="exact"/>
        <w:rPr>
          <w:sz w:val="20"/>
          <w:szCs w:val="20"/>
          <w:color w:val="auto"/>
        </w:rPr>
      </w:pPr>
    </w:p>
    <w:p>
      <w:pPr>
        <w:ind w:left="20"/>
        <w:spacing w:after="0"/>
        <w:rPr>
          <w:sz w:val="20"/>
          <w:szCs w:val="20"/>
          <w:color w:val="auto"/>
        </w:rPr>
      </w:pPr>
      <w:r>
        <w:rPr>
          <w:rFonts w:ascii="Arial" w:cs="Arial" w:eastAsia="Arial" w:hAnsi="Arial"/>
          <w:sz w:val="13"/>
          <w:szCs w:val="13"/>
          <w:color w:val="auto"/>
        </w:rPr>
        <w:t>The following table summarizes information about stock options outstanding and exercisable at January 30, 2021:</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64"/>
        </w:trPr>
        <w:tc>
          <w:tcPr>
            <w:tcW w:w="232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7"/>
              </w:rPr>
              <w:t>Options Outstanding</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right"/>
              <w:ind w:right="355"/>
              <w:spacing w:after="0"/>
              <w:rPr>
                <w:sz w:val="20"/>
                <w:szCs w:val="20"/>
                <w:color w:val="auto"/>
              </w:rPr>
            </w:pPr>
            <w:r>
              <w:rPr>
                <w:rFonts w:ascii="Arial" w:cs="Arial" w:eastAsia="Arial" w:hAnsi="Arial"/>
                <w:sz w:val="13"/>
                <w:szCs w:val="13"/>
                <w:b w:val="1"/>
                <w:bCs w:val="1"/>
                <w:color w:val="auto"/>
              </w:rPr>
              <w:t>Options Exercisable</w:t>
            </w:r>
          </w:p>
        </w:tc>
      </w:tr>
      <w:tr>
        <w:trPr>
          <w:trHeight w:val="113"/>
        </w:trPr>
        <w:tc>
          <w:tcPr>
            <w:tcW w:w="23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340" w:type="dxa"/>
            <w:vAlign w:val="bottom"/>
          </w:tcPr>
          <w:p>
            <w:pPr>
              <w:jc w:val="center"/>
              <w:spacing w:after="0" w:line="113" w:lineRule="exact"/>
              <w:rPr>
                <w:sz w:val="20"/>
                <w:szCs w:val="20"/>
                <w:color w:val="auto"/>
              </w:rPr>
            </w:pPr>
            <w:r>
              <w:rPr>
                <w:rFonts w:ascii="Arial" w:cs="Arial" w:eastAsia="Arial" w:hAnsi="Arial"/>
                <w:sz w:val="13"/>
                <w:szCs w:val="13"/>
                <w:b w:val="1"/>
                <w:bCs w:val="1"/>
                <w:color w:val="auto"/>
                <w:w w:val="98"/>
              </w:rPr>
              <w:t>Weighted-</w:t>
            </w: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44"/>
        </w:trPr>
        <w:tc>
          <w:tcPr>
            <w:tcW w:w="23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3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7"/>
              </w:rPr>
              <w:t>Average</w:t>
            </w:r>
          </w:p>
        </w:tc>
        <w:tc>
          <w:tcPr>
            <w:tcW w:w="100" w:type="dxa"/>
            <w:vAlign w:val="bottom"/>
          </w:tcPr>
          <w:p>
            <w:pPr>
              <w:spacing w:after="0"/>
              <w:rPr>
                <w:sz w:val="12"/>
                <w:szCs w:val="12"/>
                <w:color w:val="auto"/>
              </w:rPr>
            </w:pPr>
          </w:p>
        </w:tc>
        <w:tc>
          <w:tcPr>
            <w:tcW w:w="920" w:type="dxa"/>
            <w:vAlign w:val="bottom"/>
          </w:tcPr>
          <w:p>
            <w:pPr>
              <w:jc w:val="center"/>
              <w:ind w:right="175"/>
              <w:spacing w:after="0" w:line="144" w:lineRule="exact"/>
              <w:rPr>
                <w:sz w:val="20"/>
                <w:szCs w:val="20"/>
                <w:color w:val="auto"/>
              </w:rPr>
            </w:pPr>
            <w:r>
              <w:rPr>
                <w:rFonts w:ascii="Arial" w:cs="Arial" w:eastAsia="Arial" w:hAnsi="Arial"/>
                <w:sz w:val="13"/>
                <w:szCs w:val="13"/>
                <w:b w:val="1"/>
                <w:bCs w:val="1"/>
                <w:color w:val="auto"/>
              </w:rPr>
              <w:t>Weighted-</w:t>
            </w: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ind w:right="35"/>
              <w:spacing w:after="0" w:line="144" w:lineRule="exact"/>
              <w:rPr>
                <w:sz w:val="20"/>
                <w:szCs w:val="20"/>
                <w:color w:val="auto"/>
              </w:rPr>
            </w:pPr>
            <w:r>
              <w:rPr>
                <w:rFonts w:ascii="Arial" w:cs="Arial" w:eastAsia="Arial" w:hAnsi="Arial"/>
                <w:sz w:val="13"/>
                <w:szCs w:val="13"/>
                <w:b w:val="1"/>
                <w:bCs w:val="1"/>
                <w:color w:val="auto"/>
                <w:w w:val="98"/>
              </w:rPr>
              <w:t>Weighted-</w:t>
            </w:r>
          </w:p>
        </w:tc>
      </w:tr>
      <w:tr>
        <w:trPr>
          <w:trHeight w:val="144"/>
        </w:trPr>
        <w:tc>
          <w:tcPr>
            <w:tcW w:w="23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3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99"/>
              </w:rPr>
              <w:t>Remaining</w:t>
            </w:r>
          </w:p>
        </w:tc>
        <w:tc>
          <w:tcPr>
            <w:tcW w:w="100" w:type="dxa"/>
            <w:vAlign w:val="bottom"/>
          </w:tcPr>
          <w:p>
            <w:pPr>
              <w:spacing w:after="0"/>
              <w:rPr>
                <w:sz w:val="12"/>
                <w:szCs w:val="12"/>
                <w:color w:val="auto"/>
              </w:rPr>
            </w:pPr>
          </w:p>
        </w:tc>
        <w:tc>
          <w:tcPr>
            <w:tcW w:w="920" w:type="dxa"/>
            <w:vAlign w:val="bottom"/>
          </w:tcPr>
          <w:p>
            <w:pPr>
              <w:jc w:val="center"/>
              <w:ind w:right="175"/>
              <w:spacing w:after="0" w:line="144" w:lineRule="exact"/>
              <w:rPr>
                <w:sz w:val="20"/>
                <w:szCs w:val="20"/>
                <w:color w:val="auto"/>
              </w:rPr>
            </w:pPr>
            <w:r>
              <w:rPr>
                <w:rFonts w:ascii="Arial" w:cs="Arial" w:eastAsia="Arial" w:hAnsi="Arial"/>
                <w:sz w:val="13"/>
                <w:szCs w:val="13"/>
                <w:b w:val="1"/>
                <w:bCs w:val="1"/>
                <w:color w:val="auto"/>
              </w:rPr>
              <w:t>Average</w:t>
            </w: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ind w:right="35"/>
              <w:spacing w:after="0" w:line="144" w:lineRule="exact"/>
              <w:rPr>
                <w:sz w:val="20"/>
                <w:szCs w:val="20"/>
                <w:color w:val="auto"/>
              </w:rPr>
            </w:pPr>
            <w:r>
              <w:rPr>
                <w:rFonts w:ascii="Arial" w:cs="Arial" w:eastAsia="Arial" w:hAnsi="Arial"/>
                <w:sz w:val="13"/>
                <w:szCs w:val="13"/>
                <w:b w:val="1"/>
                <w:bCs w:val="1"/>
                <w:color w:val="auto"/>
                <w:w w:val="97"/>
              </w:rPr>
              <w:t>Average</w:t>
            </w:r>
          </w:p>
        </w:tc>
      </w:tr>
      <w:tr>
        <w:trPr>
          <w:trHeight w:val="144"/>
        </w:trPr>
        <w:tc>
          <w:tcPr>
            <w:tcW w:w="2320" w:type="dxa"/>
            <w:vAlign w:val="bottom"/>
          </w:tcPr>
          <w:p>
            <w:pPr>
              <w:spacing w:after="0" w:line="144" w:lineRule="exact"/>
              <w:rPr>
                <w:sz w:val="20"/>
                <w:szCs w:val="20"/>
                <w:color w:val="auto"/>
              </w:rPr>
            </w:pPr>
            <w:r>
              <w:rPr>
                <w:rFonts w:ascii="Arial" w:cs="Arial" w:eastAsia="Arial" w:hAnsi="Arial"/>
                <w:sz w:val="13"/>
                <w:szCs w:val="13"/>
                <w:b w:val="1"/>
                <w:bCs w:val="1"/>
                <w:color w:val="auto"/>
              </w:rPr>
              <w:t>Range of Exercise</w:t>
            </w:r>
          </w:p>
        </w:tc>
        <w:tc>
          <w:tcPr>
            <w:tcW w:w="2120" w:type="dxa"/>
            <w:vAlign w:val="bottom"/>
          </w:tcPr>
          <w:p>
            <w:pPr>
              <w:jc w:val="right"/>
              <w:ind w:right="215"/>
              <w:spacing w:after="0" w:line="144" w:lineRule="exact"/>
              <w:rPr>
                <w:sz w:val="20"/>
                <w:szCs w:val="20"/>
                <w:color w:val="auto"/>
              </w:rPr>
            </w:pPr>
            <w:r>
              <w:rPr>
                <w:rFonts w:ascii="Arial" w:cs="Arial" w:eastAsia="Arial" w:hAnsi="Arial"/>
                <w:sz w:val="13"/>
                <w:szCs w:val="13"/>
                <w:b w:val="1"/>
                <w:bCs w:val="1"/>
                <w:color w:val="auto"/>
              </w:rPr>
              <w:t>Number</w:t>
            </w:r>
          </w:p>
        </w:tc>
        <w:tc>
          <w:tcPr>
            <w:tcW w:w="13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rPr>
              <w:t>Contractual</w:t>
            </w:r>
          </w:p>
        </w:tc>
        <w:tc>
          <w:tcPr>
            <w:tcW w:w="100" w:type="dxa"/>
            <w:vAlign w:val="bottom"/>
          </w:tcPr>
          <w:p>
            <w:pPr>
              <w:spacing w:after="0"/>
              <w:rPr>
                <w:sz w:val="12"/>
                <w:szCs w:val="12"/>
                <w:color w:val="auto"/>
              </w:rPr>
            </w:pPr>
          </w:p>
        </w:tc>
        <w:tc>
          <w:tcPr>
            <w:tcW w:w="920" w:type="dxa"/>
            <w:vAlign w:val="bottom"/>
          </w:tcPr>
          <w:p>
            <w:pPr>
              <w:jc w:val="center"/>
              <w:ind w:right="175"/>
              <w:spacing w:after="0" w:line="144" w:lineRule="exact"/>
              <w:rPr>
                <w:sz w:val="20"/>
                <w:szCs w:val="20"/>
                <w:color w:val="auto"/>
              </w:rPr>
            </w:pPr>
            <w:r>
              <w:rPr>
                <w:rFonts w:ascii="Arial" w:cs="Arial" w:eastAsia="Arial" w:hAnsi="Arial"/>
                <w:sz w:val="13"/>
                <w:szCs w:val="13"/>
                <w:b w:val="1"/>
                <w:bCs w:val="1"/>
                <w:color w:val="auto"/>
                <w:w w:val="97"/>
              </w:rPr>
              <w:t>Exercise</w:t>
            </w:r>
          </w:p>
        </w:tc>
        <w:tc>
          <w:tcPr>
            <w:tcW w:w="1140" w:type="dxa"/>
            <w:vAlign w:val="bottom"/>
          </w:tcPr>
          <w:p>
            <w:pPr>
              <w:jc w:val="right"/>
              <w:ind w:right="275"/>
              <w:spacing w:after="0" w:line="144" w:lineRule="exact"/>
              <w:rPr>
                <w:sz w:val="20"/>
                <w:szCs w:val="20"/>
                <w:color w:val="auto"/>
              </w:rPr>
            </w:pPr>
            <w:r>
              <w:rPr>
                <w:rFonts w:ascii="Arial" w:cs="Arial" w:eastAsia="Arial" w:hAnsi="Arial"/>
                <w:sz w:val="13"/>
                <w:szCs w:val="13"/>
                <w:b w:val="1"/>
                <w:bCs w:val="1"/>
                <w:color w:val="auto"/>
              </w:rPr>
              <w:t>Number</w:t>
            </w:r>
          </w:p>
        </w:tc>
        <w:tc>
          <w:tcPr>
            <w:tcW w:w="200" w:type="dxa"/>
            <w:vAlign w:val="bottom"/>
          </w:tcPr>
          <w:p>
            <w:pPr>
              <w:spacing w:after="0"/>
              <w:rPr>
                <w:sz w:val="12"/>
                <w:szCs w:val="12"/>
                <w:color w:val="auto"/>
              </w:rPr>
            </w:pPr>
          </w:p>
        </w:tc>
        <w:tc>
          <w:tcPr>
            <w:tcW w:w="800" w:type="dxa"/>
            <w:vAlign w:val="bottom"/>
          </w:tcPr>
          <w:p>
            <w:pPr>
              <w:jc w:val="center"/>
              <w:ind w:right="35"/>
              <w:spacing w:after="0" w:line="144" w:lineRule="exact"/>
              <w:rPr>
                <w:sz w:val="20"/>
                <w:szCs w:val="20"/>
                <w:color w:val="auto"/>
              </w:rPr>
            </w:pPr>
            <w:r>
              <w:rPr>
                <w:rFonts w:ascii="Arial" w:cs="Arial" w:eastAsia="Arial" w:hAnsi="Arial"/>
                <w:sz w:val="13"/>
                <w:szCs w:val="13"/>
                <w:b w:val="1"/>
                <w:bCs w:val="1"/>
                <w:color w:val="auto"/>
              </w:rPr>
              <w:t>Exercise</w:t>
            </w:r>
          </w:p>
        </w:tc>
      </w:tr>
      <w:tr>
        <w:trPr>
          <w:trHeight w:val="164"/>
        </w:trPr>
        <w:tc>
          <w:tcPr>
            <w:tcW w:w="23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Prices</w:t>
            </w:r>
          </w:p>
        </w:tc>
        <w:tc>
          <w:tcPr>
            <w:tcW w:w="2120" w:type="dxa"/>
            <w:vAlign w:val="bottom"/>
            <w:tcBorders>
              <w:bottom w:val="single" w:sz="8" w:color="auto"/>
            </w:tcBorders>
          </w:tcPr>
          <w:p>
            <w:pPr>
              <w:jc w:val="right"/>
              <w:ind w:right="75"/>
              <w:spacing w:after="0"/>
              <w:rPr>
                <w:sz w:val="20"/>
                <w:szCs w:val="20"/>
                <w:color w:val="auto"/>
              </w:rPr>
            </w:pPr>
            <w:r>
              <w:rPr>
                <w:rFonts w:ascii="Arial" w:cs="Arial" w:eastAsia="Arial" w:hAnsi="Arial"/>
                <w:sz w:val="13"/>
                <w:szCs w:val="13"/>
                <w:b w:val="1"/>
                <w:bCs w:val="1"/>
                <w:color w:val="auto"/>
              </w:rPr>
              <w:t>Outstanding</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Life</w:t>
            </w: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75"/>
              <w:spacing w:after="0"/>
              <w:rPr>
                <w:sz w:val="20"/>
                <w:szCs w:val="20"/>
                <w:color w:val="auto"/>
              </w:rPr>
            </w:pPr>
            <w:r>
              <w:rPr>
                <w:rFonts w:ascii="Arial" w:cs="Arial" w:eastAsia="Arial" w:hAnsi="Arial"/>
                <w:sz w:val="13"/>
                <w:szCs w:val="13"/>
                <w:b w:val="1"/>
                <w:bCs w:val="1"/>
                <w:color w:val="auto"/>
              </w:rPr>
              <w:t>Price</w:t>
            </w:r>
          </w:p>
        </w:tc>
        <w:tc>
          <w:tcPr>
            <w:tcW w:w="1140" w:type="dxa"/>
            <w:vAlign w:val="bottom"/>
            <w:tcBorders>
              <w:bottom w:val="single" w:sz="8" w:color="auto"/>
            </w:tcBorders>
          </w:tcPr>
          <w:p>
            <w:pPr>
              <w:jc w:val="right"/>
              <w:ind w:right="155"/>
              <w:spacing w:after="0"/>
              <w:rPr>
                <w:sz w:val="20"/>
                <w:szCs w:val="20"/>
                <w:color w:val="auto"/>
              </w:rPr>
            </w:pPr>
            <w:r>
              <w:rPr>
                <w:rFonts w:ascii="Arial" w:cs="Arial" w:eastAsia="Arial" w:hAnsi="Arial"/>
                <w:sz w:val="13"/>
                <w:szCs w:val="13"/>
                <w:b w:val="1"/>
                <w:bCs w:val="1"/>
                <w:color w:val="auto"/>
              </w:rPr>
              <w:t>Exercisable</w:t>
            </w: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55"/>
              <w:spacing w:after="0"/>
              <w:rPr>
                <w:sz w:val="20"/>
                <w:szCs w:val="20"/>
                <w:color w:val="auto"/>
              </w:rPr>
            </w:pPr>
            <w:r>
              <w:rPr>
                <w:rFonts w:ascii="Arial" w:cs="Arial" w:eastAsia="Arial" w:hAnsi="Arial"/>
                <w:sz w:val="13"/>
                <w:szCs w:val="13"/>
                <w:b w:val="1"/>
                <w:bCs w:val="1"/>
                <w:color w:val="auto"/>
              </w:rPr>
              <w:t>Price</w:t>
            </w:r>
          </w:p>
        </w:tc>
      </w:tr>
      <w:tr>
        <w:trPr>
          <w:trHeight w:val="134"/>
        </w:trPr>
        <w:tc>
          <w:tcPr>
            <w:tcW w:w="23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3500" w:type="dxa"/>
            <w:vAlign w:val="bottom"/>
            <w:gridSpan w:val="4"/>
          </w:tcPr>
          <w:p>
            <w:pPr>
              <w:ind w:left="40"/>
              <w:spacing w:after="0" w:line="134" w:lineRule="exact"/>
              <w:rPr>
                <w:sz w:val="20"/>
                <w:szCs w:val="20"/>
                <w:color w:val="auto"/>
              </w:rPr>
            </w:pPr>
            <w:r>
              <w:rPr>
                <w:rFonts w:ascii="Arial" w:cs="Arial" w:eastAsia="Arial" w:hAnsi="Arial"/>
                <w:sz w:val="13"/>
                <w:szCs w:val="13"/>
                <w:color w:val="auto"/>
              </w:rPr>
              <w:t>(in thousands, except prices per share and contractual life)</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44"/>
        </w:trPr>
        <w:tc>
          <w:tcPr>
            <w:tcW w:w="23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$18.84 to $23.09</w:t>
            </w:r>
          </w:p>
        </w:tc>
        <w:tc>
          <w:tcPr>
            <w:tcW w:w="21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937</w:t>
            </w:r>
          </w:p>
        </w:tc>
        <w:tc>
          <w:tcPr>
            <w:tcW w:w="1340" w:type="dxa"/>
            <w:vAlign w:val="bottom"/>
            <w:shd w:val="clear" w:color="auto" w:fill="CCEEFF"/>
          </w:tcPr>
          <w:p>
            <w:pPr>
              <w:jc w:val="right"/>
              <w:ind w:right="155"/>
              <w:spacing w:after="0" w:line="144" w:lineRule="exact"/>
              <w:rPr>
                <w:sz w:val="20"/>
                <w:szCs w:val="20"/>
                <w:color w:val="auto"/>
              </w:rPr>
            </w:pPr>
            <w:r>
              <w:rPr>
                <w:rFonts w:ascii="Arial" w:cs="Arial" w:eastAsia="Arial" w:hAnsi="Arial"/>
                <w:sz w:val="13"/>
                <w:szCs w:val="13"/>
                <w:color w:val="auto"/>
              </w:rPr>
              <w:t>8.7</w:t>
            </w:r>
          </w:p>
        </w:tc>
        <w:tc>
          <w:tcPr>
            <w:tcW w:w="1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ind w:right="135"/>
              <w:spacing w:after="0" w:line="144" w:lineRule="exact"/>
              <w:rPr>
                <w:sz w:val="20"/>
                <w:szCs w:val="20"/>
                <w:color w:val="auto"/>
              </w:rPr>
            </w:pPr>
            <w:r>
              <w:rPr>
                <w:rFonts w:ascii="Arial" w:cs="Arial" w:eastAsia="Arial" w:hAnsi="Arial"/>
                <w:sz w:val="13"/>
                <w:szCs w:val="13"/>
                <w:color w:val="auto"/>
              </w:rPr>
              <w:t>21.55</w:t>
            </w:r>
          </w:p>
        </w:tc>
        <w:tc>
          <w:tcPr>
            <w:tcW w:w="114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color w:val="auto"/>
              </w:rPr>
              <w:t>60</w:t>
            </w:r>
          </w:p>
        </w:tc>
        <w:tc>
          <w:tcPr>
            <w:tcW w:w="2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20.72</w:t>
            </w:r>
          </w:p>
        </w:tc>
      </w:tr>
      <w:tr>
        <w:trPr>
          <w:trHeight w:val="144"/>
        </w:trPr>
        <w:tc>
          <w:tcPr>
            <w:tcW w:w="2320" w:type="dxa"/>
            <w:vAlign w:val="bottom"/>
          </w:tcPr>
          <w:p>
            <w:pPr>
              <w:spacing w:after="0" w:line="144" w:lineRule="exact"/>
              <w:rPr>
                <w:sz w:val="20"/>
                <w:szCs w:val="20"/>
                <w:color w:val="auto"/>
              </w:rPr>
            </w:pPr>
            <w:r>
              <w:rPr>
                <w:rFonts w:ascii="Arial" w:cs="Arial" w:eastAsia="Arial" w:hAnsi="Arial"/>
                <w:sz w:val="13"/>
                <w:szCs w:val="13"/>
                <w:color w:val="auto"/>
              </w:rPr>
              <w:t>$24.75 to $36.51</w:t>
            </w:r>
          </w:p>
        </w:tc>
        <w:tc>
          <w:tcPr>
            <w:tcW w:w="2120" w:type="dxa"/>
            <w:vAlign w:val="bottom"/>
          </w:tcPr>
          <w:p>
            <w:pPr>
              <w:jc w:val="right"/>
              <w:spacing w:after="0" w:line="144" w:lineRule="exact"/>
              <w:rPr>
                <w:sz w:val="20"/>
                <w:szCs w:val="20"/>
                <w:color w:val="auto"/>
              </w:rPr>
            </w:pPr>
            <w:r>
              <w:rPr>
                <w:rFonts w:ascii="Arial" w:cs="Arial" w:eastAsia="Arial" w:hAnsi="Arial"/>
                <w:sz w:val="13"/>
                <w:szCs w:val="13"/>
                <w:color w:val="auto"/>
              </w:rPr>
              <w:t>329</w:t>
            </w:r>
          </w:p>
        </w:tc>
        <w:tc>
          <w:tcPr>
            <w:tcW w:w="1340" w:type="dxa"/>
            <w:vAlign w:val="bottom"/>
          </w:tcPr>
          <w:p>
            <w:pPr>
              <w:jc w:val="right"/>
              <w:ind w:right="155"/>
              <w:spacing w:after="0" w:line="144" w:lineRule="exact"/>
              <w:rPr>
                <w:sz w:val="20"/>
                <w:szCs w:val="20"/>
                <w:color w:val="auto"/>
              </w:rPr>
            </w:pPr>
            <w:r>
              <w:rPr>
                <w:rFonts w:ascii="Arial" w:cs="Arial" w:eastAsia="Arial" w:hAnsi="Arial"/>
                <w:sz w:val="13"/>
                <w:szCs w:val="13"/>
                <w:color w:val="auto"/>
              </w:rPr>
              <w:t>2.3</w:t>
            </w:r>
          </w:p>
        </w:tc>
        <w:tc>
          <w:tcPr>
            <w:tcW w:w="100" w:type="dxa"/>
            <w:vAlign w:val="bottom"/>
          </w:tcPr>
          <w:p>
            <w:pPr>
              <w:spacing w:after="0"/>
              <w:rPr>
                <w:sz w:val="12"/>
                <w:szCs w:val="12"/>
                <w:color w:val="auto"/>
              </w:rPr>
            </w:pPr>
          </w:p>
        </w:tc>
        <w:tc>
          <w:tcPr>
            <w:tcW w:w="920" w:type="dxa"/>
            <w:vAlign w:val="bottom"/>
          </w:tcPr>
          <w:p>
            <w:pPr>
              <w:jc w:val="right"/>
              <w:ind w:right="135"/>
              <w:spacing w:after="0" w:line="144" w:lineRule="exact"/>
              <w:rPr>
                <w:sz w:val="20"/>
                <w:szCs w:val="20"/>
                <w:color w:val="auto"/>
              </w:rPr>
            </w:pPr>
            <w:r>
              <w:rPr>
                <w:rFonts w:ascii="Arial" w:cs="Arial" w:eastAsia="Arial" w:hAnsi="Arial"/>
                <w:sz w:val="13"/>
                <w:szCs w:val="13"/>
                <w:color w:val="auto"/>
              </w:rPr>
              <w:t>33.01</w:t>
            </w:r>
          </w:p>
        </w:tc>
        <w:tc>
          <w:tcPr>
            <w:tcW w:w="1140" w:type="dxa"/>
            <w:vAlign w:val="bottom"/>
          </w:tcPr>
          <w:p>
            <w:pPr>
              <w:jc w:val="right"/>
              <w:ind w:right="75"/>
              <w:spacing w:after="0" w:line="144" w:lineRule="exact"/>
              <w:rPr>
                <w:sz w:val="20"/>
                <w:szCs w:val="20"/>
                <w:color w:val="auto"/>
              </w:rPr>
            </w:pPr>
            <w:r>
              <w:rPr>
                <w:rFonts w:ascii="Arial" w:cs="Arial" w:eastAsia="Arial" w:hAnsi="Arial"/>
                <w:sz w:val="13"/>
                <w:szCs w:val="13"/>
                <w:color w:val="auto"/>
              </w:rPr>
              <w:t>326</w:t>
            </w:r>
          </w:p>
        </w:tc>
        <w:tc>
          <w:tcPr>
            <w:tcW w:w="200" w:type="dxa"/>
            <w:vAlign w:val="bottom"/>
          </w:tcPr>
          <w:p>
            <w:pPr>
              <w:spacing w:after="0"/>
              <w:rPr>
                <w:sz w:val="12"/>
                <w:szCs w:val="12"/>
                <w:color w:val="auto"/>
              </w:rPr>
            </w:pPr>
          </w:p>
        </w:tc>
        <w:tc>
          <w:tcPr>
            <w:tcW w:w="800" w:type="dxa"/>
            <w:vAlign w:val="bottom"/>
          </w:tcPr>
          <w:p>
            <w:pPr>
              <w:jc w:val="right"/>
              <w:spacing w:after="0" w:line="144" w:lineRule="exact"/>
              <w:rPr>
                <w:sz w:val="20"/>
                <w:szCs w:val="20"/>
                <w:color w:val="auto"/>
              </w:rPr>
            </w:pPr>
            <w:r>
              <w:rPr>
                <w:rFonts w:ascii="Arial" w:cs="Arial" w:eastAsia="Arial" w:hAnsi="Arial"/>
                <w:sz w:val="13"/>
                <w:szCs w:val="13"/>
                <w:color w:val="auto"/>
              </w:rPr>
              <w:t>32.98</w:t>
            </w:r>
          </w:p>
        </w:tc>
      </w:tr>
      <w:tr>
        <w:trPr>
          <w:trHeight w:val="144"/>
        </w:trPr>
        <w:tc>
          <w:tcPr>
            <w:tcW w:w="232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$44.78 to $45.75</w:t>
            </w:r>
          </w:p>
        </w:tc>
        <w:tc>
          <w:tcPr>
            <w:tcW w:w="21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537</w:t>
            </w:r>
          </w:p>
        </w:tc>
        <w:tc>
          <w:tcPr>
            <w:tcW w:w="1340" w:type="dxa"/>
            <w:vAlign w:val="bottom"/>
            <w:shd w:val="clear" w:color="auto" w:fill="CCEEFF"/>
          </w:tcPr>
          <w:p>
            <w:pPr>
              <w:jc w:val="right"/>
              <w:ind w:right="155"/>
              <w:spacing w:after="0" w:line="144" w:lineRule="exact"/>
              <w:rPr>
                <w:sz w:val="20"/>
                <w:szCs w:val="20"/>
                <w:color w:val="auto"/>
              </w:rPr>
            </w:pPr>
            <w:r>
              <w:rPr>
                <w:rFonts w:ascii="Arial" w:cs="Arial" w:eastAsia="Arial" w:hAnsi="Arial"/>
                <w:sz w:val="13"/>
                <w:szCs w:val="13"/>
                <w:color w:val="auto"/>
              </w:rPr>
              <w:t>4.9</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35"/>
              <w:spacing w:after="0" w:line="144" w:lineRule="exact"/>
              <w:rPr>
                <w:sz w:val="20"/>
                <w:szCs w:val="20"/>
                <w:color w:val="auto"/>
              </w:rPr>
            </w:pPr>
            <w:r>
              <w:rPr>
                <w:rFonts w:ascii="Arial" w:cs="Arial" w:eastAsia="Arial" w:hAnsi="Arial"/>
                <w:sz w:val="13"/>
                <w:szCs w:val="13"/>
                <w:color w:val="auto"/>
              </w:rPr>
              <w:t>44.91</w:t>
            </w:r>
          </w:p>
        </w:tc>
        <w:tc>
          <w:tcPr>
            <w:tcW w:w="1140" w:type="dxa"/>
            <w:vAlign w:val="bottom"/>
            <w:shd w:val="clear" w:color="auto" w:fill="CCEEFF"/>
          </w:tcPr>
          <w:p>
            <w:pPr>
              <w:jc w:val="right"/>
              <w:ind w:right="75"/>
              <w:spacing w:after="0" w:line="144" w:lineRule="exact"/>
              <w:rPr>
                <w:sz w:val="20"/>
                <w:szCs w:val="20"/>
                <w:color w:val="auto"/>
              </w:rPr>
            </w:pPr>
            <w:r>
              <w:rPr>
                <w:rFonts w:ascii="Arial" w:cs="Arial" w:eastAsia="Arial" w:hAnsi="Arial"/>
                <w:sz w:val="13"/>
                <w:szCs w:val="13"/>
                <w:color w:val="auto"/>
              </w:rPr>
              <w:t>447</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44.94</w:t>
            </w:r>
          </w:p>
        </w:tc>
      </w:tr>
      <w:tr>
        <w:trPr>
          <w:trHeight w:val="144"/>
        </w:trPr>
        <w:tc>
          <w:tcPr>
            <w:tcW w:w="2320" w:type="dxa"/>
            <w:vAlign w:val="bottom"/>
          </w:tcPr>
          <w:p>
            <w:pPr>
              <w:spacing w:after="0" w:line="144" w:lineRule="exact"/>
              <w:rPr>
                <w:sz w:val="20"/>
                <w:szCs w:val="20"/>
                <w:color w:val="auto"/>
              </w:rPr>
            </w:pPr>
            <w:r>
              <w:rPr>
                <w:rFonts w:ascii="Arial" w:cs="Arial" w:eastAsia="Arial" w:hAnsi="Arial"/>
                <w:sz w:val="13"/>
                <w:szCs w:val="13"/>
                <w:color w:val="auto"/>
              </w:rPr>
              <w:t>$46.64 to $62.11</w:t>
            </w:r>
          </w:p>
        </w:tc>
        <w:tc>
          <w:tcPr>
            <w:tcW w:w="2120" w:type="dxa"/>
            <w:vAlign w:val="bottom"/>
          </w:tcPr>
          <w:p>
            <w:pPr>
              <w:jc w:val="right"/>
              <w:spacing w:after="0" w:line="144" w:lineRule="exact"/>
              <w:rPr>
                <w:sz w:val="20"/>
                <w:szCs w:val="20"/>
                <w:color w:val="auto"/>
              </w:rPr>
            </w:pPr>
            <w:r>
              <w:rPr>
                <w:rFonts w:ascii="Arial" w:cs="Arial" w:eastAsia="Arial" w:hAnsi="Arial"/>
                <w:sz w:val="13"/>
                <w:szCs w:val="13"/>
                <w:color w:val="auto"/>
              </w:rPr>
              <w:t>869</w:t>
            </w:r>
          </w:p>
        </w:tc>
        <w:tc>
          <w:tcPr>
            <w:tcW w:w="1340" w:type="dxa"/>
            <w:vAlign w:val="bottom"/>
          </w:tcPr>
          <w:p>
            <w:pPr>
              <w:jc w:val="right"/>
              <w:ind w:right="155"/>
              <w:spacing w:after="0" w:line="144" w:lineRule="exact"/>
              <w:rPr>
                <w:sz w:val="20"/>
                <w:szCs w:val="20"/>
                <w:color w:val="auto"/>
              </w:rPr>
            </w:pPr>
            <w:r>
              <w:rPr>
                <w:rFonts w:ascii="Arial" w:cs="Arial" w:eastAsia="Arial" w:hAnsi="Arial"/>
                <w:sz w:val="13"/>
                <w:szCs w:val="13"/>
                <w:color w:val="auto"/>
              </w:rPr>
              <w:t>5.0</w:t>
            </w:r>
          </w:p>
        </w:tc>
        <w:tc>
          <w:tcPr>
            <w:tcW w:w="100" w:type="dxa"/>
            <w:vAlign w:val="bottom"/>
          </w:tcPr>
          <w:p>
            <w:pPr>
              <w:spacing w:after="0"/>
              <w:rPr>
                <w:sz w:val="12"/>
                <w:szCs w:val="12"/>
                <w:color w:val="auto"/>
              </w:rPr>
            </w:pPr>
          </w:p>
        </w:tc>
        <w:tc>
          <w:tcPr>
            <w:tcW w:w="920" w:type="dxa"/>
            <w:vAlign w:val="bottom"/>
          </w:tcPr>
          <w:p>
            <w:pPr>
              <w:jc w:val="right"/>
              <w:ind w:right="135"/>
              <w:spacing w:after="0" w:line="144" w:lineRule="exact"/>
              <w:rPr>
                <w:sz w:val="20"/>
                <w:szCs w:val="20"/>
                <w:color w:val="auto"/>
              </w:rPr>
            </w:pPr>
            <w:r>
              <w:rPr>
                <w:rFonts w:ascii="Arial" w:cs="Arial" w:eastAsia="Arial" w:hAnsi="Arial"/>
                <w:sz w:val="13"/>
                <w:szCs w:val="13"/>
                <w:color w:val="auto"/>
              </w:rPr>
              <w:t>60.12</w:t>
            </w:r>
          </w:p>
        </w:tc>
        <w:tc>
          <w:tcPr>
            <w:tcW w:w="1140" w:type="dxa"/>
            <w:vAlign w:val="bottom"/>
          </w:tcPr>
          <w:p>
            <w:pPr>
              <w:jc w:val="right"/>
              <w:ind w:right="75"/>
              <w:spacing w:after="0" w:line="144" w:lineRule="exact"/>
              <w:rPr>
                <w:sz w:val="20"/>
                <w:szCs w:val="20"/>
                <w:color w:val="auto"/>
              </w:rPr>
            </w:pPr>
            <w:r>
              <w:rPr>
                <w:rFonts w:ascii="Arial" w:cs="Arial" w:eastAsia="Arial" w:hAnsi="Arial"/>
                <w:sz w:val="13"/>
                <w:szCs w:val="13"/>
                <w:color w:val="auto"/>
              </w:rPr>
              <w:t>703</w:t>
            </w:r>
          </w:p>
        </w:tc>
        <w:tc>
          <w:tcPr>
            <w:tcW w:w="200" w:type="dxa"/>
            <w:vAlign w:val="bottom"/>
          </w:tcPr>
          <w:p>
            <w:pPr>
              <w:spacing w:after="0"/>
              <w:rPr>
                <w:sz w:val="12"/>
                <w:szCs w:val="12"/>
                <w:color w:val="auto"/>
              </w:rPr>
            </w:pPr>
          </w:p>
        </w:tc>
        <w:tc>
          <w:tcPr>
            <w:tcW w:w="800" w:type="dxa"/>
            <w:vAlign w:val="bottom"/>
          </w:tcPr>
          <w:p>
            <w:pPr>
              <w:jc w:val="right"/>
              <w:spacing w:after="0" w:line="144" w:lineRule="exact"/>
              <w:rPr>
                <w:sz w:val="20"/>
                <w:szCs w:val="20"/>
                <w:color w:val="auto"/>
              </w:rPr>
            </w:pPr>
            <w:r>
              <w:rPr>
                <w:rFonts w:ascii="Arial" w:cs="Arial" w:eastAsia="Arial" w:hAnsi="Arial"/>
                <w:sz w:val="13"/>
                <w:szCs w:val="13"/>
                <w:color w:val="auto"/>
              </w:rPr>
              <w:t>60.50</w:t>
            </w:r>
          </w:p>
        </w:tc>
      </w:tr>
      <w:tr>
        <w:trPr>
          <w:trHeight w:val="144"/>
        </w:trPr>
        <w:tc>
          <w:tcPr>
            <w:tcW w:w="2320" w:type="dxa"/>
            <w:vAlign w:val="bottom"/>
            <w:tcBorders>
              <w:bottom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rPr>
              <w:t>$63.33 to $73.21</w:t>
            </w:r>
          </w:p>
        </w:tc>
        <w:tc>
          <w:tcPr>
            <w:tcW w:w="212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868</w:t>
            </w:r>
          </w:p>
        </w:tc>
        <w:tc>
          <w:tcPr>
            <w:tcW w:w="1340" w:type="dxa"/>
            <w:vAlign w:val="bottom"/>
            <w:tcBorders>
              <w:bottom w:val="single" w:sz="8" w:color="auto"/>
            </w:tcBorders>
            <w:shd w:val="clear" w:color="auto" w:fill="CCEEFF"/>
          </w:tcPr>
          <w:p>
            <w:pPr>
              <w:jc w:val="right"/>
              <w:ind w:right="155"/>
              <w:spacing w:after="0" w:line="144" w:lineRule="exact"/>
              <w:rPr>
                <w:sz w:val="20"/>
                <w:szCs w:val="20"/>
                <w:color w:val="auto"/>
              </w:rPr>
            </w:pPr>
            <w:r>
              <w:rPr>
                <w:rFonts w:ascii="Arial" w:cs="Arial" w:eastAsia="Arial" w:hAnsi="Arial"/>
                <w:sz w:val="13"/>
                <w:szCs w:val="13"/>
                <w:color w:val="auto"/>
              </w:rPr>
              <w:t>4.8</w:t>
            </w:r>
          </w:p>
        </w:tc>
        <w:tc>
          <w:tcPr>
            <w:tcW w:w="10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ind w:right="135"/>
              <w:spacing w:after="0" w:line="144" w:lineRule="exact"/>
              <w:rPr>
                <w:sz w:val="20"/>
                <w:szCs w:val="20"/>
                <w:color w:val="auto"/>
              </w:rPr>
            </w:pPr>
            <w:r>
              <w:rPr>
                <w:rFonts w:ascii="Arial" w:cs="Arial" w:eastAsia="Arial" w:hAnsi="Arial"/>
                <w:sz w:val="13"/>
                <w:szCs w:val="13"/>
                <w:color w:val="auto"/>
              </w:rPr>
              <w:t>68.60</w:t>
            </w:r>
          </w:p>
        </w:tc>
        <w:tc>
          <w:tcPr>
            <w:tcW w:w="1140" w:type="dxa"/>
            <w:vAlign w:val="bottom"/>
            <w:tcBorders>
              <w:bottom w:val="single" w:sz="8" w:color="auto"/>
            </w:tcBorders>
            <w:shd w:val="clear" w:color="auto" w:fill="CCEEFF"/>
          </w:tcPr>
          <w:p>
            <w:pPr>
              <w:jc w:val="right"/>
              <w:ind w:right="75"/>
              <w:spacing w:after="0" w:line="144" w:lineRule="exact"/>
              <w:rPr>
                <w:sz w:val="20"/>
                <w:szCs w:val="20"/>
                <w:color w:val="auto"/>
              </w:rPr>
            </w:pPr>
            <w:r>
              <w:rPr>
                <w:rFonts w:ascii="Arial" w:cs="Arial" w:eastAsia="Arial" w:hAnsi="Arial"/>
                <w:sz w:val="13"/>
                <w:szCs w:val="13"/>
                <w:color w:val="auto"/>
              </w:rPr>
              <w:t>867</w:t>
            </w: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68.60</w:t>
            </w:r>
          </w:p>
        </w:tc>
      </w:tr>
      <w:tr>
        <w:trPr>
          <w:trHeight w:val="134"/>
        </w:trPr>
        <w:tc>
          <w:tcPr>
            <w:tcW w:w="232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3,540</w:t>
            </w:r>
          </w:p>
        </w:tc>
        <w:tc>
          <w:tcPr>
            <w:tcW w:w="1340" w:type="dxa"/>
            <w:vAlign w:val="bottom"/>
            <w:tcBorders>
              <w:bottom w:val="single" w:sz="8" w:color="auto"/>
            </w:tcBorders>
          </w:tcPr>
          <w:p>
            <w:pPr>
              <w:jc w:val="right"/>
              <w:ind w:right="155"/>
              <w:spacing w:after="0" w:line="134" w:lineRule="exact"/>
              <w:rPr>
                <w:sz w:val="20"/>
                <w:szCs w:val="20"/>
                <w:color w:val="auto"/>
              </w:rPr>
            </w:pPr>
            <w:r>
              <w:rPr>
                <w:rFonts w:ascii="Arial" w:cs="Arial" w:eastAsia="Arial" w:hAnsi="Arial"/>
                <w:sz w:val="13"/>
                <w:szCs w:val="13"/>
                <w:color w:val="auto"/>
              </w:rPr>
              <w:t>5.7</w:t>
            </w:r>
          </w:p>
        </w:tc>
        <w:tc>
          <w:tcPr>
            <w:tcW w:w="1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w w:val="82"/>
              </w:rPr>
              <w:t>$</w:t>
            </w:r>
          </w:p>
        </w:tc>
        <w:tc>
          <w:tcPr>
            <w:tcW w:w="920" w:type="dxa"/>
            <w:vAlign w:val="bottom"/>
            <w:tcBorders>
              <w:bottom w:val="single" w:sz="8" w:color="auto"/>
            </w:tcBorders>
          </w:tcPr>
          <w:p>
            <w:pPr>
              <w:jc w:val="right"/>
              <w:ind w:right="135"/>
              <w:spacing w:after="0" w:line="134" w:lineRule="exact"/>
              <w:rPr>
                <w:sz w:val="20"/>
                <w:szCs w:val="20"/>
                <w:color w:val="auto"/>
              </w:rPr>
            </w:pPr>
            <w:r>
              <w:rPr>
                <w:rFonts w:ascii="Arial" w:cs="Arial" w:eastAsia="Arial" w:hAnsi="Arial"/>
                <w:sz w:val="13"/>
                <w:szCs w:val="13"/>
                <w:color w:val="auto"/>
              </w:rPr>
              <w:t>47.17</w:t>
            </w:r>
          </w:p>
        </w:tc>
        <w:tc>
          <w:tcPr>
            <w:tcW w:w="1140" w:type="dxa"/>
            <w:vAlign w:val="bottom"/>
            <w:tcBorders>
              <w:bottom w:val="single" w:sz="8" w:color="auto"/>
            </w:tcBorders>
          </w:tcPr>
          <w:p>
            <w:pPr>
              <w:jc w:val="right"/>
              <w:ind w:right="75"/>
              <w:spacing w:after="0" w:line="134" w:lineRule="exact"/>
              <w:rPr>
                <w:sz w:val="20"/>
                <w:szCs w:val="20"/>
                <w:color w:val="auto"/>
              </w:rPr>
            </w:pPr>
            <w:r>
              <w:rPr>
                <w:rFonts w:ascii="Arial" w:cs="Arial" w:eastAsia="Arial" w:hAnsi="Arial"/>
                <w:sz w:val="13"/>
                <w:szCs w:val="13"/>
                <w:color w:val="auto"/>
              </w:rPr>
              <w:t>2,403</w:t>
            </w:r>
          </w:p>
        </w:tc>
        <w:tc>
          <w:tcPr>
            <w:tcW w:w="2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w:t>
            </w:r>
          </w:p>
        </w:tc>
        <w:tc>
          <w:tcPr>
            <w:tcW w:w="8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55.81</w:t>
            </w:r>
          </w:p>
        </w:tc>
      </w:tr>
      <w:tr>
        <w:trPr>
          <w:trHeight w:val="20"/>
        </w:trPr>
        <w:tc>
          <w:tcPr>
            <w:tcW w:w="23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7" w:lineRule="exact"/>
        <w:rPr>
          <w:sz w:val="20"/>
          <w:szCs w:val="20"/>
          <w:color w:val="auto"/>
        </w:rPr>
      </w:pPr>
    </w:p>
    <w:p>
      <w:pPr>
        <w:ind w:left="7520"/>
        <w:spacing w:after="0"/>
        <w:rPr>
          <w:sz w:val="20"/>
          <w:szCs w:val="20"/>
          <w:color w:val="auto"/>
        </w:rPr>
      </w:pPr>
      <w:r>
        <w:rPr>
          <w:rFonts w:ascii="Arial" w:cs="Arial" w:eastAsia="Arial" w:hAnsi="Arial"/>
          <w:sz w:val="12"/>
          <w:szCs w:val="12"/>
          <w:color w:val="auto"/>
        </w:rPr>
        <w:t>2020 Form 10-K Page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365125</wp:posOffset>
            </wp:positionV>
            <wp:extent cx="5680075" cy="133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80075" cy="13335"/>
                    </a:xfrm>
                    <a:prstGeom prst="rect">
                      <a:avLst/>
                    </a:prstGeom>
                    <a:noFill/>
                  </pic:spPr>
                </pic:pic>
              </a:graphicData>
            </a:graphic>
          </wp:anchor>
        </w:drawing>
      </w:r>
    </w:p>
    <w:p>
      <w:pPr>
        <w:sectPr>
          <w:pgSz w:w="11900" w:h="16838" w:orient="portrait"/>
          <w:cols w:equalWidth="0" w:num="1">
            <w:col w:w="9019"/>
          </w:cols>
          <w:pgMar w:left="1440" w:top="995" w:right="1440" w:bottom="1440" w:gutter="0" w:footer="0" w:header="0"/>
        </w:sectPr>
      </w:pPr>
    </w:p>
    <w:bookmarkStart w:id="74" w:name="page75"/>
    <w:bookmarkEnd w:id="74"/>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2992755</wp:posOffset>
            </wp:positionH>
            <wp:positionV relativeFrom="page">
              <wp:posOffset>375285</wp:posOffset>
            </wp:positionV>
            <wp:extent cx="1563370" cy="169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1563370" cy="169545"/>
                    </a:xfrm>
                    <a:prstGeom prst="rect">
                      <a:avLst/>
                    </a:prstGeom>
                    <a:noFill/>
                  </pic:spPr>
                </pic:pic>
              </a:graphicData>
            </a:graphic>
          </wp:anchor>
        </w:drawing>
        <w:t>NOTES TO CONSOLIDATED FINANCIAL STATEMENTS</w:t>
      </w:r>
    </w:p>
    <w:p>
      <w:pPr>
        <w:spacing w:after="0" w:line="145"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Restricted Stock Units</w:t>
      </w:r>
    </w:p>
    <w:p>
      <w:pPr>
        <w:spacing w:after="0" w:line="172" w:lineRule="exact"/>
        <w:rPr>
          <w:sz w:val="20"/>
          <w:szCs w:val="20"/>
          <w:color w:val="auto"/>
        </w:rPr>
      </w:pPr>
    </w:p>
    <w:p>
      <w:pPr>
        <w:jc w:val="both"/>
        <w:ind w:left="20" w:right="39"/>
        <w:spacing w:after="0" w:line="236" w:lineRule="auto"/>
        <w:rPr>
          <w:sz w:val="20"/>
          <w:szCs w:val="20"/>
          <w:color w:val="auto"/>
        </w:rPr>
      </w:pPr>
      <w:r>
        <w:rPr>
          <w:rFonts w:ascii="Arial" w:cs="Arial" w:eastAsia="Arial" w:hAnsi="Arial"/>
          <w:sz w:val="13"/>
          <w:szCs w:val="13"/>
          <w:color w:val="auto"/>
        </w:rPr>
        <w:t>Restricted stock units (“RSU”) may be awarded to certain officers and key employees. Additionally, RSU awards are made to employees in connection with our long-term incentive program, and to nonemployee directors. Each RSU award represents the right to receive one share of our common stock provided that the performance and vesting conditions are satisfied.</w:t>
      </w:r>
    </w:p>
    <w:p>
      <w:pPr>
        <w:spacing w:after="0" w:line="154" w:lineRule="exact"/>
        <w:rPr>
          <w:sz w:val="20"/>
          <w:szCs w:val="20"/>
          <w:color w:val="auto"/>
        </w:rPr>
      </w:pPr>
    </w:p>
    <w:p>
      <w:pPr>
        <w:jc w:val="both"/>
        <w:ind w:left="20" w:right="39"/>
        <w:spacing w:after="0" w:line="236" w:lineRule="auto"/>
        <w:rPr>
          <w:sz w:val="20"/>
          <w:szCs w:val="20"/>
          <w:color w:val="auto"/>
        </w:rPr>
      </w:pPr>
      <w:r>
        <w:rPr>
          <w:rFonts w:ascii="Arial" w:cs="Arial" w:eastAsia="Arial" w:hAnsi="Arial"/>
          <w:sz w:val="13"/>
          <w:szCs w:val="13"/>
          <w:color w:val="auto"/>
        </w:rPr>
        <w:t>Generally, awards fully vest after the passage of time, typically three years. However, RSU awards made in connection with our performance-based long-term incentive program are earned after the attainment of certain performance metrics and, with regards to certain awards, vest after an additional one-year period. No dividends are paid or accumulated on any RSU awards.</w:t>
      </w:r>
    </w:p>
    <w:p>
      <w:pPr>
        <w:spacing w:after="0" w:line="133" w:lineRule="exact"/>
        <w:rPr>
          <w:sz w:val="20"/>
          <w:szCs w:val="20"/>
          <w:color w:val="auto"/>
        </w:rPr>
      </w:pPr>
    </w:p>
    <w:p>
      <w:pPr>
        <w:jc w:val="both"/>
        <w:ind w:left="20" w:right="59"/>
        <w:spacing w:after="0" w:line="238" w:lineRule="auto"/>
        <w:rPr>
          <w:sz w:val="20"/>
          <w:szCs w:val="20"/>
          <w:color w:val="auto"/>
        </w:rPr>
      </w:pPr>
      <w:r>
        <w:rPr>
          <w:rFonts w:ascii="Arial" w:cs="Arial" w:eastAsia="Arial" w:hAnsi="Arial"/>
          <w:sz w:val="13"/>
          <w:szCs w:val="13"/>
          <w:color w:val="auto"/>
        </w:rPr>
        <w:t>Compensation expense is recognized using the market value at the date of grant and is amortized over the vesting period, provided the recipient continues to be employed. RSU activity is summarized as follows:</w:t>
      </w:r>
    </w:p>
    <w:tbl>
      <w:tblPr>
        <w:tblLayout w:type="fixed"/>
        <w:tblInd w:w="4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480" w:type="dxa"/>
            <w:vAlign w:val="bottom"/>
          </w:tcPr>
          <w:p>
            <w:pPr>
              <w:jc w:val="center"/>
              <w:ind w:left="55"/>
              <w:spacing w:after="0" w:line="129" w:lineRule="exact"/>
              <w:rPr>
                <w:sz w:val="20"/>
                <w:szCs w:val="20"/>
                <w:color w:val="auto"/>
              </w:rPr>
            </w:pPr>
            <w:r>
              <w:rPr>
                <w:rFonts w:ascii="Arial" w:cs="Arial" w:eastAsia="Arial" w:hAnsi="Arial"/>
                <w:sz w:val="13"/>
                <w:szCs w:val="13"/>
                <w:b w:val="1"/>
                <w:bCs w:val="1"/>
                <w:color w:val="auto"/>
                <w:w w:val="98"/>
              </w:rPr>
              <w:t>Weighted-Average</w:t>
            </w:r>
          </w:p>
        </w:tc>
        <w:tc>
          <w:tcPr>
            <w:tcW w:w="2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40" w:type="dxa"/>
            <w:vAlign w:val="bottom"/>
          </w:tcPr>
          <w:p>
            <w:pPr>
              <w:jc w:val="center"/>
              <w:ind w:right="155"/>
              <w:spacing w:after="0" w:line="144" w:lineRule="exact"/>
              <w:rPr>
                <w:sz w:val="20"/>
                <w:szCs w:val="20"/>
                <w:color w:val="auto"/>
              </w:rPr>
            </w:pPr>
            <w:r>
              <w:rPr>
                <w:rFonts w:ascii="Arial" w:cs="Arial" w:eastAsia="Arial" w:hAnsi="Arial"/>
                <w:sz w:val="13"/>
                <w:szCs w:val="13"/>
                <w:b w:val="1"/>
                <w:bCs w:val="1"/>
                <w:color w:val="auto"/>
                <w:w w:val="97"/>
              </w:rPr>
              <w:t>Number</w:t>
            </w:r>
          </w:p>
        </w:tc>
        <w:tc>
          <w:tcPr>
            <w:tcW w:w="1480" w:type="dxa"/>
            <w:vAlign w:val="bottom"/>
          </w:tcPr>
          <w:p>
            <w:pPr>
              <w:jc w:val="center"/>
              <w:ind w:left="35"/>
              <w:spacing w:after="0" w:line="144" w:lineRule="exact"/>
              <w:rPr>
                <w:sz w:val="20"/>
                <w:szCs w:val="20"/>
                <w:color w:val="auto"/>
              </w:rPr>
            </w:pPr>
            <w:r>
              <w:rPr>
                <w:rFonts w:ascii="Arial" w:cs="Arial" w:eastAsia="Arial" w:hAnsi="Arial"/>
                <w:sz w:val="13"/>
                <w:szCs w:val="13"/>
                <w:b w:val="1"/>
                <w:bCs w:val="1"/>
                <w:color w:val="auto"/>
                <w:w w:val="99"/>
              </w:rPr>
              <w:t>Remaining</w:t>
            </w:r>
          </w:p>
        </w:tc>
        <w:tc>
          <w:tcPr>
            <w:tcW w:w="240" w:type="dxa"/>
            <w:vAlign w:val="bottom"/>
          </w:tcPr>
          <w:p>
            <w:pPr>
              <w:spacing w:after="0"/>
              <w:rPr>
                <w:sz w:val="12"/>
                <w:szCs w:val="12"/>
                <w:color w:val="auto"/>
              </w:rPr>
            </w:pPr>
          </w:p>
        </w:tc>
        <w:tc>
          <w:tcPr>
            <w:tcW w:w="1420" w:type="dxa"/>
            <w:vAlign w:val="bottom"/>
          </w:tcPr>
          <w:p>
            <w:pPr>
              <w:jc w:val="center"/>
              <w:ind w:right="75"/>
              <w:spacing w:after="0" w:line="144" w:lineRule="exact"/>
              <w:rPr>
                <w:sz w:val="20"/>
                <w:szCs w:val="20"/>
                <w:color w:val="auto"/>
              </w:rPr>
            </w:pPr>
            <w:r>
              <w:rPr>
                <w:rFonts w:ascii="Arial" w:cs="Arial" w:eastAsia="Arial" w:hAnsi="Arial"/>
                <w:sz w:val="13"/>
                <w:szCs w:val="13"/>
                <w:b w:val="1"/>
                <w:bCs w:val="1"/>
                <w:color w:val="auto"/>
                <w:w w:val="98"/>
              </w:rPr>
              <w:t>Weighted-Average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340" w:type="dxa"/>
            <w:vAlign w:val="bottom"/>
          </w:tcPr>
          <w:p>
            <w:pPr>
              <w:jc w:val="center"/>
              <w:ind w:right="155"/>
              <w:spacing w:after="0" w:line="144" w:lineRule="exact"/>
              <w:rPr>
                <w:sz w:val="20"/>
                <w:szCs w:val="20"/>
                <w:color w:val="auto"/>
              </w:rPr>
            </w:pPr>
            <w:r>
              <w:rPr>
                <w:rFonts w:ascii="Arial" w:cs="Arial" w:eastAsia="Arial" w:hAnsi="Arial"/>
                <w:sz w:val="13"/>
                <w:szCs w:val="13"/>
                <w:b w:val="1"/>
                <w:bCs w:val="1"/>
                <w:color w:val="auto"/>
                <w:w w:val="97"/>
              </w:rPr>
              <w:t>of</w:t>
            </w:r>
          </w:p>
        </w:tc>
        <w:tc>
          <w:tcPr>
            <w:tcW w:w="1480" w:type="dxa"/>
            <w:vAlign w:val="bottom"/>
          </w:tcPr>
          <w:p>
            <w:pPr>
              <w:jc w:val="center"/>
              <w:ind w:left="55"/>
              <w:spacing w:after="0" w:line="144" w:lineRule="exact"/>
              <w:rPr>
                <w:sz w:val="20"/>
                <w:szCs w:val="20"/>
                <w:color w:val="auto"/>
              </w:rPr>
            </w:pPr>
            <w:r>
              <w:rPr>
                <w:rFonts w:ascii="Arial" w:cs="Arial" w:eastAsia="Arial" w:hAnsi="Arial"/>
                <w:sz w:val="13"/>
                <w:szCs w:val="13"/>
                <w:b w:val="1"/>
                <w:bCs w:val="1"/>
                <w:color w:val="auto"/>
                <w:w w:val="99"/>
              </w:rPr>
              <w:t>Contractual</w:t>
            </w:r>
          </w:p>
        </w:tc>
        <w:tc>
          <w:tcPr>
            <w:tcW w:w="240" w:type="dxa"/>
            <w:vAlign w:val="bottom"/>
          </w:tcPr>
          <w:p>
            <w:pPr>
              <w:spacing w:after="0"/>
              <w:rPr>
                <w:sz w:val="12"/>
                <w:szCs w:val="12"/>
                <w:color w:val="auto"/>
              </w:rPr>
            </w:pPr>
          </w:p>
        </w:tc>
        <w:tc>
          <w:tcPr>
            <w:tcW w:w="1420" w:type="dxa"/>
            <w:vAlign w:val="bottom"/>
          </w:tcPr>
          <w:p>
            <w:pPr>
              <w:jc w:val="center"/>
              <w:ind w:right="55"/>
              <w:spacing w:after="0" w:line="144" w:lineRule="exact"/>
              <w:rPr>
                <w:sz w:val="20"/>
                <w:szCs w:val="20"/>
                <w:color w:val="auto"/>
              </w:rPr>
            </w:pPr>
            <w:r>
              <w:rPr>
                <w:rFonts w:ascii="Arial" w:cs="Arial" w:eastAsia="Arial" w:hAnsi="Arial"/>
                <w:sz w:val="13"/>
                <w:szCs w:val="13"/>
                <w:b w:val="1"/>
                <w:bCs w:val="1"/>
                <w:color w:val="auto"/>
                <w:w w:val="99"/>
              </w:rPr>
              <w:t>Grant Date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30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55"/>
              <w:spacing w:after="0"/>
              <w:rPr>
                <w:sz w:val="20"/>
                <w:szCs w:val="20"/>
                <w:color w:val="auto"/>
              </w:rPr>
            </w:pPr>
            <w:r>
              <w:rPr>
                <w:rFonts w:ascii="Arial" w:cs="Arial" w:eastAsia="Arial" w:hAnsi="Arial"/>
                <w:sz w:val="13"/>
                <w:szCs w:val="13"/>
                <w:b w:val="1"/>
                <w:bCs w:val="1"/>
                <w:color w:val="auto"/>
              </w:rPr>
              <w:t>Shares</w:t>
            </w:r>
          </w:p>
        </w:tc>
        <w:tc>
          <w:tcPr>
            <w:tcW w:w="1480" w:type="dxa"/>
            <w:vAlign w:val="bottom"/>
            <w:tcBorders>
              <w:bottom w:val="single" w:sz="8" w:color="auto"/>
            </w:tcBorders>
          </w:tcPr>
          <w:p>
            <w:pPr>
              <w:jc w:val="center"/>
              <w:ind w:left="55"/>
              <w:spacing w:after="0"/>
              <w:rPr>
                <w:sz w:val="20"/>
                <w:szCs w:val="20"/>
                <w:color w:val="auto"/>
              </w:rPr>
            </w:pPr>
            <w:r>
              <w:rPr>
                <w:rFonts w:ascii="Arial" w:cs="Arial" w:eastAsia="Arial" w:hAnsi="Arial"/>
                <w:sz w:val="13"/>
                <w:szCs w:val="13"/>
                <w:b w:val="1"/>
                <w:bCs w:val="1"/>
                <w:color w:val="auto"/>
              </w:rPr>
              <w:t>Life</w:t>
            </w:r>
          </w:p>
        </w:tc>
        <w:tc>
          <w:tcPr>
            <w:tcW w:w="2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75"/>
              <w:spacing w:after="0"/>
              <w:rPr>
                <w:sz w:val="20"/>
                <w:szCs w:val="20"/>
                <w:color w:val="auto"/>
              </w:rPr>
            </w:pPr>
            <w:r>
              <w:rPr>
                <w:rFonts w:ascii="Arial" w:cs="Arial" w:eastAsia="Arial" w:hAnsi="Arial"/>
                <w:sz w:val="13"/>
                <w:szCs w:val="13"/>
                <w:b w:val="1"/>
                <w:bCs w:val="1"/>
                <w:color w:val="auto"/>
                <w:w w:val="96"/>
              </w:rPr>
              <w:t>Fair Value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340" w:type="dxa"/>
            <w:vAlign w:val="bottom"/>
          </w:tcPr>
          <w:p>
            <w:pPr>
              <w:jc w:val="center"/>
              <w:ind w:right="175"/>
              <w:spacing w:after="0" w:line="134" w:lineRule="exact"/>
              <w:rPr>
                <w:sz w:val="20"/>
                <w:szCs w:val="20"/>
                <w:color w:val="auto"/>
              </w:rPr>
            </w:pPr>
            <w:r>
              <w:rPr>
                <w:rFonts w:ascii="Arial" w:cs="Arial" w:eastAsia="Arial" w:hAnsi="Arial"/>
                <w:sz w:val="13"/>
                <w:szCs w:val="13"/>
                <w:color w:val="auto"/>
                <w:w w:val="99"/>
              </w:rPr>
              <w:t>(in thousands)</w:t>
            </w:r>
          </w:p>
        </w:tc>
        <w:tc>
          <w:tcPr>
            <w:tcW w:w="1480" w:type="dxa"/>
            <w:vAlign w:val="bottom"/>
          </w:tcPr>
          <w:p>
            <w:pPr>
              <w:jc w:val="center"/>
              <w:ind w:left="35"/>
              <w:spacing w:after="0" w:line="134" w:lineRule="exact"/>
              <w:rPr>
                <w:sz w:val="20"/>
                <w:szCs w:val="20"/>
                <w:color w:val="auto"/>
              </w:rPr>
            </w:pPr>
            <w:r>
              <w:rPr>
                <w:rFonts w:ascii="Arial" w:cs="Arial" w:eastAsia="Arial" w:hAnsi="Arial"/>
                <w:sz w:val="13"/>
                <w:szCs w:val="13"/>
                <w:color w:val="auto"/>
                <w:w w:val="99"/>
              </w:rPr>
              <w:t>(in years)</w:t>
            </w:r>
          </w:p>
        </w:tc>
        <w:tc>
          <w:tcPr>
            <w:tcW w:w="240" w:type="dxa"/>
            <w:vAlign w:val="bottom"/>
          </w:tcPr>
          <w:p>
            <w:pPr>
              <w:spacing w:after="0"/>
              <w:rPr>
                <w:sz w:val="11"/>
                <w:szCs w:val="11"/>
                <w:color w:val="auto"/>
              </w:rPr>
            </w:pPr>
          </w:p>
        </w:tc>
        <w:tc>
          <w:tcPr>
            <w:tcW w:w="1420" w:type="dxa"/>
            <w:vAlign w:val="bottom"/>
          </w:tcPr>
          <w:p>
            <w:pPr>
              <w:jc w:val="right"/>
              <w:ind w:right="255"/>
              <w:spacing w:after="0" w:line="134" w:lineRule="exact"/>
              <w:rPr>
                <w:sz w:val="20"/>
                <w:szCs w:val="20"/>
                <w:color w:val="auto"/>
              </w:rPr>
            </w:pPr>
            <w:r>
              <w:rPr>
                <w:rFonts w:ascii="Arial" w:cs="Arial" w:eastAsia="Arial" w:hAnsi="Arial"/>
                <w:sz w:val="13"/>
                <w:szCs w:val="13"/>
                <w:color w:val="auto"/>
              </w:rPr>
              <w:t>(per share)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Nonvested at beginning of year</w:t>
            </w:r>
          </w:p>
        </w:tc>
        <w:tc>
          <w:tcPr>
            <w:tcW w:w="1440" w:type="dxa"/>
            <w:vAlign w:val="bottom"/>
            <w:shd w:val="clear" w:color="auto" w:fill="CCEEFF"/>
          </w:tcPr>
          <w:p>
            <w:pPr>
              <w:spacing w:after="0"/>
              <w:rPr>
                <w:sz w:val="12"/>
                <w:szCs w:val="12"/>
                <w:color w:val="auto"/>
              </w:rPr>
            </w:pPr>
          </w:p>
        </w:tc>
        <w:tc>
          <w:tcPr>
            <w:tcW w:w="1340" w:type="dxa"/>
            <w:vAlign w:val="bottom"/>
            <w:shd w:val="clear" w:color="auto" w:fill="CCEEFF"/>
          </w:tcPr>
          <w:p>
            <w:pPr>
              <w:jc w:val="right"/>
              <w:ind w:right="195"/>
              <w:spacing w:after="0" w:line="144" w:lineRule="exact"/>
              <w:rPr>
                <w:sz w:val="20"/>
                <w:szCs w:val="20"/>
                <w:color w:val="auto"/>
              </w:rPr>
            </w:pPr>
            <w:r>
              <w:rPr>
                <w:rFonts w:ascii="Arial" w:cs="Arial" w:eastAsia="Arial" w:hAnsi="Arial"/>
                <w:sz w:val="13"/>
                <w:szCs w:val="13"/>
                <w:color w:val="auto"/>
              </w:rPr>
              <w:t>936</w:t>
            </w: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14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49.25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0" w:type="dxa"/>
            <w:vAlign w:val="bottom"/>
          </w:tcPr>
          <w:p>
            <w:pPr>
              <w:spacing w:after="0" w:line="144" w:lineRule="exact"/>
              <w:rPr>
                <w:sz w:val="20"/>
                <w:szCs w:val="20"/>
                <w:color w:val="auto"/>
              </w:rPr>
            </w:pPr>
            <w:r>
              <w:rPr>
                <w:rFonts w:ascii="Arial" w:cs="Arial" w:eastAsia="Arial" w:hAnsi="Arial"/>
                <w:sz w:val="11"/>
                <w:szCs w:val="11"/>
                <w:color w:val="auto"/>
              </w:rPr>
              <w:t xml:space="preserve">Granted </w:t>
            </w:r>
            <w:r>
              <w:rPr>
                <w:rFonts w:ascii="Arial" w:cs="Arial" w:eastAsia="Arial" w:hAnsi="Arial"/>
                <w:sz w:val="16"/>
                <w:szCs w:val="16"/>
                <w:color w:val="auto"/>
                <w:vertAlign w:val="superscript"/>
              </w:rPr>
              <w:t>(1)</w:t>
            </w:r>
          </w:p>
        </w:tc>
        <w:tc>
          <w:tcPr>
            <w:tcW w:w="1440" w:type="dxa"/>
            <w:vAlign w:val="bottom"/>
          </w:tcPr>
          <w:p>
            <w:pPr>
              <w:spacing w:after="0"/>
              <w:rPr>
                <w:sz w:val="12"/>
                <w:szCs w:val="12"/>
                <w:color w:val="auto"/>
              </w:rPr>
            </w:pPr>
          </w:p>
        </w:tc>
        <w:tc>
          <w:tcPr>
            <w:tcW w:w="1340" w:type="dxa"/>
            <w:vAlign w:val="bottom"/>
          </w:tcPr>
          <w:p>
            <w:pPr>
              <w:jc w:val="right"/>
              <w:ind w:right="195"/>
              <w:spacing w:after="0" w:line="144" w:lineRule="exact"/>
              <w:rPr>
                <w:sz w:val="20"/>
                <w:szCs w:val="20"/>
                <w:color w:val="auto"/>
              </w:rPr>
            </w:pPr>
            <w:r>
              <w:rPr>
                <w:rFonts w:ascii="Arial" w:cs="Arial" w:eastAsia="Arial" w:hAnsi="Arial"/>
                <w:sz w:val="13"/>
                <w:szCs w:val="13"/>
                <w:color w:val="auto"/>
              </w:rPr>
              <w:t>639</w:t>
            </w: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jc w:val="right"/>
              <w:spacing w:after="0" w:line="144" w:lineRule="exact"/>
              <w:rPr>
                <w:sz w:val="20"/>
                <w:szCs w:val="20"/>
                <w:color w:val="auto"/>
              </w:rPr>
            </w:pPr>
            <w:r>
              <w:rPr>
                <w:rFonts w:ascii="Arial" w:cs="Arial" w:eastAsia="Arial" w:hAnsi="Arial"/>
                <w:sz w:val="13"/>
                <w:szCs w:val="13"/>
                <w:color w:val="auto"/>
              </w:rPr>
              <w:t>28.69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0" w:type="dxa"/>
            <w:vAlign w:val="bottom"/>
            <w:shd w:val="clear" w:color="auto" w:fill="CCEEFF"/>
          </w:tcPr>
          <w:p>
            <w:pPr>
              <w:spacing w:after="0" w:line="144" w:lineRule="exact"/>
              <w:rPr>
                <w:sz w:val="20"/>
                <w:szCs w:val="20"/>
                <w:color w:val="auto"/>
              </w:rPr>
            </w:pPr>
            <w:r>
              <w:rPr>
                <w:rFonts w:ascii="Arial" w:cs="Arial" w:eastAsia="Arial" w:hAnsi="Arial"/>
                <w:sz w:val="13"/>
                <w:szCs w:val="13"/>
                <w:color w:val="auto"/>
              </w:rPr>
              <w:t>Vested</w:t>
            </w:r>
          </w:p>
        </w:tc>
        <w:tc>
          <w:tcPr>
            <w:tcW w:w="1440" w:type="dxa"/>
            <w:vAlign w:val="bottom"/>
            <w:shd w:val="clear" w:color="auto" w:fill="CCEEFF"/>
          </w:tcPr>
          <w:p>
            <w:pPr>
              <w:spacing w:after="0"/>
              <w:rPr>
                <w:sz w:val="12"/>
                <w:szCs w:val="12"/>
                <w:color w:val="auto"/>
              </w:rPr>
            </w:pPr>
          </w:p>
        </w:tc>
        <w:tc>
          <w:tcPr>
            <w:tcW w:w="1340" w:type="dxa"/>
            <w:vAlign w:val="bottom"/>
            <w:shd w:val="clear" w:color="auto" w:fill="CCEEFF"/>
          </w:tcPr>
          <w:p>
            <w:pPr>
              <w:jc w:val="right"/>
              <w:ind w:right="155"/>
              <w:spacing w:after="0" w:line="144" w:lineRule="exact"/>
              <w:rPr>
                <w:sz w:val="20"/>
                <w:szCs w:val="20"/>
                <w:color w:val="auto"/>
              </w:rPr>
            </w:pPr>
            <w:r>
              <w:rPr>
                <w:rFonts w:ascii="Arial" w:cs="Arial" w:eastAsia="Arial" w:hAnsi="Arial"/>
                <w:sz w:val="13"/>
                <w:szCs w:val="13"/>
                <w:color w:val="auto"/>
              </w:rPr>
              <w:t>(121)</w:t>
            </w:r>
          </w:p>
        </w:tc>
        <w:tc>
          <w:tcPr>
            <w:tcW w:w="1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53.27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0" w:type="dxa"/>
            <w:vAlign w:val="bottom"/>
          </w:tcPr>
          <w:p>
            <w:pPr>
              <w:spacing w:after="0" w:line="144" w:lineRule="exact"/>
              <w:rPr>
                <w:sz w:val="20"/>
                <w:szCs w:val="20"/>
                <w:color w:val="auto"/>
              </w:rPr>
            </w:pPr>
            <w:r>
              <w:rPr>
                <w:rFonts w:ascii="Arial" w:cs="Arial" w:eastAsia="Arial" w:hAnsi="Arial"/>
                <w:sz w:val="11"/>
                <w:szCs w:val="11"/>
                <w:color w:val="auto"/>
              </w:rPr>
              <w:t xml:space="preserve">Performance adjustment </w:t>
            </w:r>
            <w:r>
              <w:rPr>
                <w:rFonts w:ascii="Arial" w:cs="Arial" w:eastAsia="Arial" w:hAnsi="Arial"/>
                <w:sz w:val="16"/>
                <w:szCs w:val="16"/>
                <w:color w:val="auto"/>
                <w:vertAlign w:val="superscript"/>
              </w:rPr>
              <w:t>(2)</w:t>
            </w:r>
          </w:p>
        </w:tc>
        <w:tc>
          <w:tcPr>
            <w:tcW w:w="1440" w:type="dxa"/>
            <w:vAlign w:val="bottom"/>
          </w:tcPr>
          <w:p>
            <w:pPr>
              <w:spacing w:after="0"/>
              <w:rPr>
                <w:sz w:val="12"/>
                <w:szCs w:val="12"/>
                <w:color w:val="auto"/>
              </w:rPr>
            </w:pPr>
          </w:p>
        </w:tc>
        <w:tc>
          <w:tcPr>
            <w:tcW w:w="1340" w:type="dxa"/>
            <w:vAlign w:val="bottom"/>
          </w:tcPr>
          <w:p>
            <w:pPr>
              <w:jc w:val="right"/>
              <w:ind w:right="195"/>
              <w:spacing w:after="0" w:line="144" w:lineRule="exact"/>
              <w:rPr>
                <w:sz w:val="20"/>
                <w:szCs w:val="20"/>
                <w:color w:val="auto"/>
              </w:rPr>
            </w:pPr>
            <w:r>
              <w:rPr>
                <w:rFonts w:ascii="Arial" w:cs="Arial" w:eastAsia="Arial" w:hAnsi="Arial"/>
                <w:sz w:val="13"/>
                <w:szCs w:val="13"/>
                <w:color w:val="auto"/>
              </w:rPr>
              <w:t>51</w:t>
            </w: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000" w:type="dxa"/>
            <w:vAlign w:val="bottom"/>
            <w:tcBorders>
              <w:bottom w:val="single" w:sz="8" w:color="auto"/>
            </w:tcBorders>
            <w:shd w:val="clear" w:color="auto" w:fill="CCEEFF"/>
          </w:tcPr>
          <w:p>
            <w:pPr>
              <w:spacing w:after="0" w:line="144" w:lineRule="exact"/>
              <w:rPr>
                <w:sz w:val="20"/>
                <w:szCs w:val="20"/>
                <w:color w:val="auto"/>
              </w:rPr>
            </w:pPr>
            <w:r>
              <w:rPr>
                <w:rFonts w:ascii="Arial" w:cs="Arial" w:eastAsia="Arial" w:hAnsi="Arial"/>
                <w:sz w:val="13"/>
                <w:szCs w:val="13"/>
                <w:color w:val="auto"/>
              </w:rPr>
              <w:t>Forfeited</w:t>
            </w:r>
          </w:p>
        </w:tc>
        <w:tc>
          <w:tcPr>
            <w:tcW w:w="144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ind w:right="155"/>
              <w:spacing w:after="0" w:line="144" w:lineRule="exact"/>
              <w:rPr>
                <w:sz w:val="20"/>
                <w:szCs w:val="20"/>
                <w:color w:val="auto"/>
              </w:rPr>
            </w:pPr>
            <w:r>
              <w:rPr>
                <w:rFonts w:ascii="Arial" w:cs="Arial" w:eastAsia="Arial" w:hAnsi="Arial"/>
                <w:sz w:val="13"/>
                <w:szCs w:val="13"/>
                <w:color w:val="auto"/>
              </w:rPr>
              <w:t>(157)</w:t>
            </w:r>
          </w:p>
        </w:tc>
        <w:tc>
          <w:tcPr>
            <w:tcW w:w="148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420" w:type="dxa"/>
            <w:vAlign w:val="bottom"/>
            <w:tcBorders>
              <w:bottom w:val="single" w:sz="8" w:color="auto"/>
            </w:tcBorders>
            <w:shd w:val="clear" w:color="auto" w:fill="CCEEFF"/>
          </w:tcPr>
          <w:p>
            <w:pPr>
              <w:jc w:val="right"/>
              <w:spacing w:after="0" w:line="144" w:lineRule="exact"/>
              <w:rPr>
                <w:sz w:val="20"/>
                <w:szCs w:val="20"/>
                <w:color w:val="auto"/>
              </w:rPr>
            </w:pPr>
            <w:r>
              <w:rPr>
                <w:rFonts w:ascii="Arial" w:cs="Arial" w:eastAsia="Arial" w:hAnsi="Arial"/>
                <w:sz w:val="13"/>
                <w:szCs w:val="13"/>
                <w:color w:val="auto"/>
              </w:rPr>
              <w:t>38.41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00" w:type="dxa"/>
            <w:vAlign w:val="bottom"/>
            <w:tcBorders>
              <w:bottom w:val="single" w:sz="8" w:color="auto"/>
            </w:tcBorders>
          </w:tcPr>
          <w:p>
            <w:pPr>
              <w:spacing w:after="0" w:line="134" w:lineRule="exact"/>
              <w:rPr>
                <w:sz w:val="20"/>
                <w:szCs w:val="20"/>
                <w:color w:val="auto"/>
              </w:rPr>
            </w:pPr>
            <w:r>
              <w:rPr>
                <w:rFonts w:ascii="Arial" w:cs="Arial" w:eastAsia="Arial" w:hAnsi="Arial"/>
                <w:sz w:val="13"/>
                <w:szCs w:val="13"/>
                <w:color w:val="auto"/>
              </w:rPr>
              <w:t>Nonvested at January 30, 2021</w:t>
            </w:r>
          </w:p>
        </w:tc>
        <w:tc>
          <w:tcPr>
            <w:tcW w:w="14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95"/>
              <w:spacing w:after="0" w:line="134" w:lineRule="exact"/>
              <w:rPr>
                <w:sz w:val="20"/>
                <w:szCs w:val="20"/>
                <w:color w:val="auto"/>
              </w:rPr>
            </w:pPr>
            <w:r>
              <w:rPr>
                <w:rFonts w:ascii="Arial" w:cs="Arial" w:eastAsia="Arial" w:hAnsi="Arial"/>
                <w:sz w:val="13"/>
                <w:szCs w:val="13"/>
                <w:color w:val="auto"/>
              </w:rPr>
              <w:t>1,348</w:t>
            </w:r>
          </w:p>
        </w:tc>
        <w:tc>
          <w:tcPr>
            <w:tcW w:w="1480" w:type="dxa"/>
            <w:vAlign w:val="bottom"/>
            <w:tcBorders>
              <w:bottom w:val="single" w:sz="8" w:color="auto"/>
            </w:tcBorders>
          </w:tcPr>
          <w:p>
            <w:pPr>
              <w:jc w:val="right"/>
              <w:ind w:right="95"/>
              <w:spacing w:after="0" w:line="134" w:lineRule="exact"/>
              <w:rPr>
                <w:sz w:val="20"/>
                <w:szCs w:val="20"/>
                <w:color w:val="auto"/>
              </w:rPr>
            </w:pPr>
            <w:r>
              <w:rPr>
                <w:rFonts w:ascii="Arial" w:cs="Arial" w:eastAsia="Arial" w:hAnsi="Arial"/>
                <w:sz w:val="13"/>
                <w:szCs w:val="13"/>
                <w:color w:val="auto"/>
              </w:rPr>
              <w:t>1.3</w:t>
            </w:r>
          </w:p>
        </w:tc>
        <w:tc>
          <w:tcPr>
            <w:tcW w:w="2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w:t>
            </w:r>
          </w:p>
        </w:tc>
        <w:tc>
          <w:tcPr>
            <w:tcW w:w="14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38.48</w:t>
            </w:r>
          </w:p>
        </w:tc>
        <w:tc>
          <w:tcPr>
            <w:tcW w:w="0" w:type="dxa"/>
            <w:vAlign w:val="bottom"/>
          </w:tcPr>
          <w:p>
            <w:pPr>
              <w:spacing w:after="0"/>
              <w:rPr>
                <w:sz w:val="1"/>
                <w:szCs w:val="1"/>
                <w:color w:val="auto"/>
              </w:rPr>
            </w:pPr>
          </w:p>
        </w:tc>
      </w:tr>
      <w:tr>
        <w:trPr>
          <w:trHeight w:val="114"/>
        </w:trPr>
        <w:tc>
          <w:tcPr>
            <w:tcW w:w="20" w:type="dxa"/>
            <w:vAlign w:val="bottom"/>
            <w:vMerge w:val="restart"/>
          </w:tcPr>
          <w:p>
            <w:pPr>
              <w:spacing w:after="0"/>
              <w:rPr>
                <w:sz w:val="9"/>
                <w:szCs w:val="9"/>
                <w:color w:val="auto"/>
              </w:rPr>
            </w:pPr>
          </w:p>
        </w:tc>
        <w:tc>
          <w:tcPr>
            <w:tcW w:w="300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c>
          <w:tcPr>
            <w:tcW w:w="134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4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0" w:type="dxa"/>
            <w:vAlign w:val="bottom"/>
            <w:tcBorders>
              <w:bottom w:val="single" w:sz="8" w:color="auto"/>
            </w:tcBorders>
            <w:vMerge w:val="continue"/>
          </w:tcPr>
          <w:p>
            <w:pPr>
              <w:spacing w:after="0"/>
              <w:rPr>
                <w:sz w:val="12"/>
                <w:szCs w:val="12"/>
                <w:color w:val="auto"/>
              </w:rPr>
            </w:pPr>
          </w:p>
        </w:tc>
        <w:tc>
          <w:tcPr>
            <w:tcW w:w="3000" w:type="dxa"/>
            <w:vAlign w:val="bottom"/>
            <w:tcBorders>
              <w:bottom w:val="single" w:sz="8" w:color="auto"/>
            </w:tcBorders>
          </w:tcPr>
          <w:p>
            <w:pPr>
              <w:spacing w:after="0" w:line="144" w:lineRule="exact"/>
              <w:rPr>
                <w:sz w:val="20"/>
                <w:szCs w:val="20"/>
                <w:color w:val="auto"/>
              </w:rPr>
            </w:pPr>
            <w:r>
              <w:rPr>
                <w:rFonts w:ascii="Arial" w:cs="Arial" w:eastAsia="Arial" w:hAnsi="Arial"/>
                <w:sz w:val="13"/>
                <w:szCs w:val="13"/>
                <w:color w:val="auto"/>
              </w:rPr>
              <w:t>Aggregate value ($ in millions)</w:t>
            </w:r>
          </w:p>
        </w:tc>
        <w:tc>
          <w:tcPr>
            <w:tcW w:w="1440" w:type="dxa"/>
            <w:vAlign w:val="bottom"/>
            <w:tcBorders>
              <w:bottom w:val="single" w:sz="8" w:color="auto"/>
            </w:tcBorders>
          </w:tcPr>
          <w:p>
            <w:pPr>
              <w:jc w:val="right"/>
              <w:ind w:right="95"/>
              <w:spacing w:after="0" w:line="144" w:lineRule="exact"/>
              <w:rPr>
                <w:sz w:val="20"/>
                <w:szCs w:val="20"/>
                <w:color w:val="auto"/>
              </w:rPr>
            </w:pPr>
            <w:r>
              <w:rPr>
                <w:rFonts w:ascii="Arial" w:cs="Arial" w:eastAsia="Arial" w:hAnsi="Arial"/>
                <w:sz w:val="13"/>
                <w:szCs w:val="13"/>
                <w:color w:val="auto"/>
              </w:rPr>
              <w:t>$</w:t>
            </w:r>
          </w:p>
        </w:tc>
        <w:tc>
          <w:tcPr>
            <w:tcW w:w="1340" w:type="dxa"/>
            <w:vAlign w:val="bottom"/>
            <w:tcBorders>
              <w:bottom w:val="single" w:sz="8" w:color="auto"/>
            </w:tcBorders>
          </w:tcPr>
          <w:p>
            <w:pPr>
              <w:jc w:val="right"/>
              <w:ind w:right="195"/>
              <w:spacing w:after="0" w:line="144" w:lineRule="exact"/>
              <w:rPr>
                <w:sz w:val="20"/>
                <w:szCs w:val="20"/>
                <w:color w:val="auto"/>
              </w:rPr>
            </w:pPr>
            <w:r>
              <w:rPr>
                <w:rFonts w:ascii="Arial" w:cs="Arial" w:eastAsia="Arial" w:hAnsi="Arial"/>
                <w:sz w:val="13"/>
                <w:szCs w:val="13"/>
                <w:color w:val="auto"/>
              </w:rPr>
              <w:t>52</w:t>
            </w:r>
          </w:p>
        </w:tc>
        <w:tc>
          <w:tcPr>
            <w:tcW w:w="14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280" w:right="39" w:hanging="250"/>
        <w:spacing w:after="0" w:line="251" w:lineRule="auto"/>
        <w:tabs>
          <w:tab w:leader="none" w:pos="280" w:val="left"/>
        </w:tabs>
        <w:numPr>
          <w:ilvl w:val="0"/>
          <w:numId w:val="27"/>
        </w:numPr>
        <w:rPr>
          <w:rFonts w:ascii="Arial" w:cs="Arial" w:eastAsia="Arial" w:hAnsi="Arial"/>
          <w:sz w:val="10"/>
          <w:szCs w:val="10"/>
          <w:color w:val="auto"/>
        </w:rPr>
      </w:pPr>
      <w:r>
        <w:rPr>
          <w:rFonts w:ascii="Arial" w:cs="Arial" w:eastAsia="Arial" w:hAnsi="Arial"/>
          <w:sz w:val="10"/>
          <w:szCs w:val="10"/>
          <w:color w:val="auto"/>
        </w:rPr>
        <w:t>Included in the units granted are approximately 0.2 million performance-based RSUs. The number of performance-based RSUs that are ultimately earned may vary from 0% to 200% of target depending on the achievement relative to predefined financial performance targets.</w:t>
      </w:r>
    </w:p>
    <w:p>
      <w:pPr>
        <w:spacing w:after="0" w:line="5" w:lineRule="exact"/>
        <w:rPr>
          <w:rFonts w:ascii="Arial" w:cs="Arial" w:eastAsia="Arial" w:hAnsi="Arial"/>
          <w:sz w:val="10"/>
          <w:szCs w:val="10"/>
          <w:color w:val="auto"/>
        </w:rPr>
      </w:pPr>
    </w:p>
    <w:p>
      <w:pPr>
        <w:ind w:left="280" w:hanging="250"/>
        <w:spacing w:after="0"/>
        <w:tabs>
          <w:tab w:leader="none" w:pos="280" w:val="left"/>
        </w:tabs>
        <w:numPr>
          <w:ilvl w:val="0"/>
          <w:numId w:val="27"/>
        </w:numPr>
        <w:rPr>
          <w:rFonts w:ascii="Arial" w:cs="Arial" w:eastAsia="Arial" w:hAnsi="Arial"/>
          <w:sz w:val="10"/>
          <w:szCs w:val="10"/>
          <w:color w:val="auto"/>
        </w:rPr>
      </w:pPr>
      <w:r>
        <w:rPr>
          <w:rFonts w:ascii="Arial" w:cs="Arial" w:eastAsia="Arial" w:hAnsi="Arial"/>
          <w:sz w:val="10"/>
          <w:szCs w:val="10"/>
          <w:color w:val="auto"/>
        </w:rPr>
        <w:t>This represents adjustments made to performance-based RSU awards and reflect changes in estimates based upon our current performance against predefined financial targets.</w:t>
      </w:r>
    </w:p>
    <w:p>
      <w:pPr>
        <w:spacing w:after="0" w:line="107" w:lineRule="exact"/>
        <w:rPr>
          <w:sz w:val="20"/>
          <w:szCs w:val="20"/>
          <w:color w:val="auto"/>
        </w:rPr>
      </w:pPr>
    </w:p>
    <w:p>
      <w:pPr>
        <w:jc w:val="both"/>
        <w:ind w:left="20" w:right="39"/>
        <w:spacing w:after="0" w:line="256" w:lineRule="auto"/>
        <w:rPr>
          <w:sz w:val="20"/>
          <w:szCs w:val="20"/>
          <w:color w:val="auto"/>
        </w:rPr>
      </w:pPr>
      <w:r>
        <w:rPr>
          <w:rFonts w:ascii="Arial" w:cs="Arial" w:eastAsia="Arial" w:hAnsi="Arial"/>
          <w:sz w:val="13"/>
          <w:szCs w:val="13"/>
          <w:color w:val="auto"/>
        </w:rPr>
        <w:t>The total fair value of awards vested was $6 million, $5 million, and $7 million, for 2020, 2019, and 2018, respectively. At January 30, 2021, there was $23 million of total unrecognized compensation cost related to nonvested RSU awards.</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21. Shareholder Rights Plan</w:t>
      </w:r>
    </w:p>
    <w:p>
      <w:pPr>
        <w:spacing w:after="0" w:line="148" w:lineRule="exact"/>
        <w:rPr>
          <w:sz w:val="20"/>
          <w:szCs w:val="20"/>
          <w:color w:val="auto"/>
        </w:rPr>
      </w:pPr>
    </w:p>
    <w:p>
      <w:pPr>
        <w:jc w:val="both"/>
        <w:ind w:left="20" w:right="39"/>
        <w:spacing w:after="0" w:line="233" w:lineRule="auto"/>
        <w:rPr>
          <w:sz w:val="20"/>
          <w:szCs w:val="20"/>
          <w:color w:val="auto"/>
        </w:rPr>
      </w:pPr>
      <w:r>
        <w:rPr>
          <w:rFonts w:ascii="Arial" w:cs="Arial" w:eastAsia="Arial" w:hAnsi="Arial"/>
          <w:sz w:val="13"/>
          <w:szCs w:val="13"/>
          <w:color w:val="auto"/>
        </w:rPr>
        <w:t>On December 7, 2020, our Board of Directors adopted a shareholder rights plan and declared a dividend distribution of one right (a "Right") for each outstanding share of common stock to shareholders of record at the close of business on December 18, 2020. Each Right entitles the registered holder to purchase from the Company, when exercisable, a unit consisting of one one-thousandth (1/1,000) of a share of Series C Junior Participating Preferred Stock, par value $1.00 per share, of the Company, at a purchase price of $210.00 per unit, subject to adjustment. The description and complete terms of the Rights are set forth in a Rights Agreement (the "Rights Agreement"), dated as of December 7, 2020, between the Company and Computershare Trust Company, N.A., as rights agent.</w:t>
      </w:r>
    </w:p>
    <w:p>
      <w:pPr>
        <w:spacing w:after="0" w:line="134" w:lineRule="exact"/>
        <w:rPr>
          <w:sz w:val="20"/>
          <w:szCs w:val="20"/>
          <w:color w:val="auto"/>
        </w:rPr>
      </w:pPr>
    </w:p>
    <w:p>
      <w:pPr>
        <w:jc w:val="both"/>
        <w:ind w:left="20" w:right="39"/>
        <w:spacing w:after="0" w:line="233" w:lineRule="auto"/>
        <w:rPr>
          <w:sz w:val="20"/>
          <w:szCs w:val="20"/>
          <w:color w:val="auto"/>
        </w:rPr>
      </w:pPr>
      <w:r>
        <w:rPr>
          <w:rFonts w:ascii="Arial" w:cs="Arial" w:eastAsia="Arial" w:hAnsi="Arial"/>
          <w:sz w:val="13"/>
          <w:szCs w:val="13"/>
          <w:color w:val="auto"/>
        </w:rPr>
        <w:t>Initially, the Rights will not be exercisable and will be attached to all outstanding shares of our common stock. In the event that a person, either individually or with or through certain affiliated or associated persons, acquires beneficial ownership of 20 percent or more of our then outstanding common stock, subject to certain exceptions, or following the commencement of a tender offer or exchange offer that would result in a person becoming an Acquiring Person (as defined in the Rights Agreement), the Rights will become exercisable. Once exercisable, each holder of a Right (other than the Acquiring Person, whose Rights will become null and void), will be entitled to purchase additional shares of our common stock at a 50 percent discount. The Board may redeem the Rights at a price of $0.001 per Right, subject to adjustment.</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3"/>
          <w:szCs w:val="13"/>
          <w:color w:val="auto"/>
        </w:rPr>
        <w:t>The Rights will expire on December 7, 2021, unless the Rights are earlier redeemed, exchanged or terminated.</w:t>
      </w:r>
    </w:p>
    <w:p>
      <w:pPr>
        <w:spacing w:after="0" w:line="148" w:lineRule="exact"/>
        <w:rPr>
          <w:sz w:val="20"/>
          <w:szCs w:val="20"/>
          <w:color w:val="auto"/>
        </w:rPr>
      </w:pPr>
    </w:p>
    <w:p>
      <w:pPr>
        <w:ind w:left="7520"/>
        <w:spacing w:after="0"/>
        <w:rPr>
          <w:sz w:val="20"/>
          <w:szCs w:val="20"/>
          <w:color w:val="auto"/>
        </w:rPr>
      </w:pPr>
      <w:r>
        <w:rPr>
          <w:rFonts w:ascii="Arial" w:cs="Arial" w:eastAsia="Arial" w:hAnsi="Arial"/>
          <w:sz w:val="12"/>
          <w:szCs w:val="12"/>
          <w:color w:val="auto"/>
        </w:rPr>
        <w:t>2020 Form 10-K Page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365125</wp:posOffset>
            </wp:positionV>
            <wp:extent cx="5680075" cy="133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80075" cy="13335"/>
                    </a:xfrm>
                    <a:prstGeom prst="rect">
                      <a:avLst/>
                    </a:prstGeom>
                    <a:noFill/>
                  </pic:spPr>
                </pic:pic>
              </a:graphicData>
            </a:graphic>
          </wp:anchor>
        </w:drawing>
      </w:r>
    </w:p>
    <w:p>
      <w:pPr>
        <w:sectPr>
          <w:pgSz w:w="11900" w:h="16838" w:orient="portrait"/>
          <w:cols w:equalWidth="0" w:num="1">
            <w:col w:w="9019"/>
          </w:cols>
          <w:pgMar w:left="1440" w:top="995" w:right="1440" w:bottom="1440" w:gutter="0" w:footer="0" w:header="0"/>
        </w:sectPr>
      </w:pPr>
    </w:p>
    <w:bookmarkStart w:id="75" w:name="page76"/>
    <w:bookmarkEnd w:id="75"/>
    <w:p>
      <w:pPr>
        <w:jc w:val="center"/>
        <w:ind w:right="19"/>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2992755</wp:posOffset>
            </wp:positionH>
            <wp:positionV relativeFrom="page">
              <wp:posOffset>375285</wp:posOffset>
            </wp:positionV>
            <wp:extent cx="1563370" cy="169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1563370" cy="169545"/>
                    </a:xfrm>
                    <a:prstGeom prst="rect">
                      <a:avLst/>
                    </a:prstGeom>
                    <a:noFill/>
                  </pic:spPr>
                </pic:pic>
              </a:graphicData>
            </a:graphic>
          </wp:anchor>
        </w:drawing>
        <w:t>NOTES TO CONSOLIDATED FINANCIAL STATEMENTS</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22. Legal Proceedings</w:t>
      </w:r>
    </w:p>
    <w:p>
      <w:pPr>
        <w:spacing w:after="0" w:line="92" w:lineRule="exact"/>
        <w:rPr>
          <w:sz w:val="20"/>
          <w:szCs w:val="20"/>
          <w:color w:val="auto"/>
        </w:rPr>
      </w:pPr>
    </w:p>
    <w:p>
      <w:pPr>
        <w:jc w:val="both"/>
        <w:ind w:left="20" w:right="39"/>
        <w:spacing w:after="0" w:line="233" w:lineRule="auto"/>
        <w:rPr>
          <w:sz w:val="20"/>
          <w:szCs w:val="20"/>
          <w:color w:val="auto"/>
        </w:rPr>
      </w:pPr>
      <w:r>
        <w:rPr>
          <w:rFonts w:ascii="Arial" w:cs="Arial" w:eastAsia="Arial" w:hAnsi="Arial"/>
          <w:sz w:val="13"/>
          <w:szCs w:val="13"/>
          <w:color w:val="auto"/>
        </w:rPr>
        <w:t>Legal proceedings pending against the Company or its consolidated subsidiaries consist of ordinary, routine litigation, including administrative proceedings, incidental to the business of the Company or businesses that have been sold or discontinued by the Company in past years. These legal proceedings include commercial, intellectual property, customer, environmental, and employment-related claims. We do not believe that the outcome of any such legal proceedings pending against the Company or its consolidated subsidiaries, as described above, would have a material adverse effect on our consolidated financial position, liquidity, or results of operations, taken as a whole, based upon current knowledge and taking into consideration current accruals. Litigation is inherently unpredictable. Judgments could be rendered or settlements made that could adversely affect the Company’s operating results or cash flows in a particular period.</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2620" w:type="dxa"/>
            <w:vAlign w:val="bottom"/>
            <w:gridSpan w:val="2"/>
          </w:tcPr>
          <w:p>
            <w:pPr>
              <w:spacing w:after="0"/>
              <w:rPr>
                <w:sz w:val="20"/>
                <w:szCs w:val="20"/>
                <w:color w:val="auto"/>
              </w:rPr>
            </w:pPr>
            <w:r>
              <w:rPr>
                <w:rFonts w:ascii="Arial" w:cs="Arial" w:eastAsia="Arial" w:hAnsi="Arial"/>
                <w:sz w:val="13"/>
                <w:szCs w:val="13"/>
                <w:b w:val="1"/>
                <w:bCs w:val="1"/>
                <w:color w:val="auto"/>
              </w:rPr>
              <w:t>23. Quarterly Results (Unaudited)</w:t>
            </w:r>
          </w:p>
        </w:tc>
        <w:tc>
          <w:tcPr>
            <w:tcW w:w="15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70"/>
        </w:trPr>
        <w:tc>
          <w:tcPr>
            <w:tcW w:w="2620" w:type="dxa"/>
            <w:vAlign w:val="bottom"/>
            <w:gridSpan w:val="2"/>
          </w:tcPr>
          <w:p>
            <w:pPr>
              <w:ind w:left="20"/>
              <w:spacing w:after="0"/>
              <w:rPr>
                <w:sz w:val="20"/>
                <w:szCs w:val="20"/>
                <w:color w:val="auto"/>
              </w:rPr>
            </w:pPr>
            <w:r>
              <w:rPr>
                <w:rFonts w:ascii="Arial" w:cs="Arial" w:eastAsia="Arial" w:hAnsi="Arial"/>
                <w:sz w:val="13"/>
                <w:szCs w:val="13"/>
                <w:color w:val="auto"/>
              </w:rPr>
              <w:t>($ in millions)</w:t>
            </w:r>
          </w:p>
        </w:tc>
        <w:tc>
          <w:tcPr>
            <w:tcW w:w="1560" w:type="dxa"/>
            <w:vAlign w:val="bottom"/>
          </w:tcPr>
          <w:p>
            <w:pPr>
              <w:jc w:val="right"/>
              <w:ind w:right="275"/>
              <w:spacing w:after="0"/>
              <w:rPr>
                <w:sz w:val="20"/>
                <w:szCs w:val="20"/>
                <w:color w:val="auto"/>
              </w:rPr>
            </w:pPr>
            <w:r>
              <w:rPr>
                <w:rFonts w:ascii="Arial" w:cs="Arial" w:eastAsia="Arial" w:hAnsi="Arial"/>
                <w:sz w:val="13"/>
                <w:szCs w:val="13"/>
                <w:b w:val="1"/>
                <w:bCs w:val="1"/>
                <w:color w:val="auto"/>
              </w:rPr>
              <w:t>1</w:t>
            </w:r>
            <w:r>
              <w:rPr>
                <w:rFonts w:ascii="Arial" w:cs="Arial" w:eastAsia="Arial" w:hAnsi="Arial"/>
                <w:sz w:val="19"/>
                <w:szCs w:val="19"/>
                <w:b w:val="1"/>
                <w:bCs w:val="1"/>
                <w:color w:val="auto"/>
                <w:vertAlign w:val="superscript"/>
              </w:rPr>
              <w:t>st</w:t>
            </w:r>
            <w:r>
              <w:rPr>
                <w:rFonts w:ascii="Arial" w:cs="Arial" w:eastAsia="Arial" w:hAnsi="Arial"/>
                <w:sz w:val="13"/>
                <w:szCs w:val="13"/>
                <w:b w:val="1"/>
                <w:bCs w:val="1"/>
                <w:color w:val="auto"/>
              </w:rPr>
              <w:t xml:space="preserve"> Quarter</w:t>
            </w:r>
          </w:p>
        </w:tc>
        <w:tc>
          <w:tcPr>
            <w:tcW w:w="1200" w:type="dxa"/>
            <w:vAlign w:val="bottom"/>
          </w:tcPr>
          <w:p>
            <w:pPr>
              <w:jc w:val="right"/>
              <w:ind w:right="255"/>
              <w:spacing w:after="0"/>
              <w:rPr>
                <w:sz w:val="20"/>
                <w:szCs w:val="20"/>
                <w:color w:val="auto"/>
              </w:rPr>
            </w:pPr>
            <w:r>
              <w:rPr>
                <w:rFonts w:ascii="Arial" w:cs="Arial" w:eastAsia="Arial" w:hAnsi="Arial"/>
                <w:sz w:val="13"/>
                <w:szCs w:val="13"/>
                <w:b w:val="1"/>
                <w:bCs w:val="1"/>
                <w:color w:val="auto"/>
              </w:rPr>
              <w:t>2</w:t>
            </w:r>
            <w:r>
              <w:rPr>
                <w:rFonts w:ascii="Arial" w:cs="Arial" w:eastAsia="Arial" w:hAnsi="Arial"/>
                <w:sz w:val="19"/>
                <w:szCs w:val="19"/>
                <w:b w:val="1"/>
                <w:bCs w:val="1"/>
                <w:color w:val="auto"/>
                <w:vertAlign w:val="superscript"/>
              </w:rPr>
              <w:t>nd</w:t>
            </w:r>
            <w:r>
              <w:rPr>
                <w:rFonts w:ascii="Arial" w:cs="Arial" w:eastAsia="Arial" w:hAnsi="Arial"/>
                <w:sz w:val="13"/>
                <w:szCs w:val="13"/>
                <w:b w:val="1"/>
                <w:bCs w:val="1"/>
                <w:color w:val="auto"/>
              </w:rPr>
              <w:t xml:space="preserve"> Quarter</w:t>
            </w:r>
          </w:p>
        </w:tc>
        <w:tc>
          <w:tcPr>
            <w:tcW w:w="1220" w:type="dxa"/>
            <w:vAlign w:val="bottom"/>
          </w:tcPr>
          <w:p>
            <w:pPr>
              <w:jc w:val="right"/>
              <w:ind w:right="275"/>
              <w:spacing w:after="0"/>
              <w:rPr>
                <w:sz w:val="20"/>
                <w:szCs w:val="20"/>
                <w:color w:val="auto"/>
              </w:rPr>
            </w:pPr>
            <w:r>
              <w:rPr>
                <w:rFonts w:ascii="Arial" w:cs="Arial" w:eastAsia="Arial" w:hAnsi="Arial"/>
                <w:sz w:val="13"/>
                <w:szCs w:val="13"/>
                <w:b w:val="1"/>
                <w:bCs w:val="1"/>
                <w:color w:val="auto"/>
              </w:rPr>
              <w:t>3</w:t>
            </w:r>
            <w:r>
              <w:rPr>
                <w:rFonts w:ascii="Arial" w:cs="Arial" w:eastAsia="Arial" w:hAnsi="Arial"/>
                <w:sz w:val="19"/>
                <w:szCs w:val="19"/>
                <w:b w:val="1"/>
                <w:bCs w:val="1"/>
                <w:color w:val="auto"/>
                <w:vertAlign w:val="superscript"/>
              </w:rPr>
              <w:t>rd</w:t>
            </w:r>
            <w:r>
              <w:rPr>
                <w:rFonts w:ascii="Arial" w:cs="Arial" w:eastAsia="Arial" w:hAnsi="Arial"/>
                <w:sz w:val="13"/>
                <w:szCs w:val="13"/>
                <w:b w:val="1"/>
                <w:bCs w:val="1"/>
                <w:color w:val="auto"/>
              </w:rPr>
              <w:t xml:space="preserve"> Quarter</w:t>
            </w:r>
          </w:p>
        </w:tc>
        <w:tc>
          <w:tcPr>
            <w:tcW w:w="1120" w:type="dxa"/>
            <w:vAlign w:val="bottom"/>
          </w:tcPr>
          <w:p>
            <w:pPr>
              <w:jc w:val="right"/>
              <w:ind w:right="175"/>
              <w:spacing w:after="0"/>
              <w:rPr>
                <w:sz w:val="20"/>
                <w:szCs w:val="20"/>
                <w:color w:val="auto"/>
              </w:rPr>
            </w:pPr>
            <w:r>
              <w:rPr>
                <w:rFonts w:ascii="Arial" w:cs="Arial" w:eastAsia="Arial" w:hAnsi="Arial"/>
                <w:sz w:val="13"/>
                <w:szCs w:val="13"/>
                <w:b w:val="1"/>
                <w:bCs w:val="1"/>
                <w:color w:val="auto"/>
              </w:rPr>
              <w:t>4</w:t>
            </w:r>
            <w:r>
              <w:rPr>
                <w:rFonts w:ascii="Arial" w:cs="Arial" w:eastAsia="Arial" w:hAnsi="Arial"/>
                <w:sz w:val="19"/>
                <w:szCs w:val="19"/>
                <w:b w:val="1"/>
                <w:bCs w:val="1"/>
                <w:color w:val="auto"/>
                <w:vertAlign w:val="superscript"/>
              </w:rPr>
              <w:t>th</w:t>
            </w:r>
            <w:r>
              <w:rPr>
                <w:rFonts w:ascii="Arial" w:cs="Arial" w:eastAsia="Arial" w:hAnsi="Arial"/>
                <w:sz w:val="13"/>
                <w:szCs w:val="13"/>
                <w:b w:val="1"/>
                <w:bCs w:val="1"/>
                <w:color w:val="auto"/>
              </w:rPr>
              <w:t xml:space="preserve"> Quarter</w:t>
            </w:r>
          </w:p>
        </w:tc>
        <w:tc>
          <w:tcPr>
            <w:tcW w:w="260" w:type="dxa"/>
            <w:vAlign w:val="bottom"/>
          </w:tcPr>
          <w:p>
            <w:pPr>
              <w:spacing w:after="0"/>
              <w:rPr>
                <w:sz w:val="23"/>
                <w:szCs w:val="23"/>
                <w:color w:val="auto"/>
              </w:rPr>
            </w:pPr>
          </w:p>
        </w:tc>
        <w:tc>
          <w:tcPr>
            <w:tcW w:w="980" w:type="dxa"/>
            <w:vAlign w:val="bottom"/>
          </w:tcPr>
          <w:p>
            <w:pPr>
              <w:jc w:val="right"/>
              <w:ind w:right="155"/>
              <w:spacing w:after="0"/>
              <w:rPr>
                <w:sz w:val="20"/>
                <w:szCs w:val="20"/>
                <w:color w:val="auto"/>
              </w:rPr>
            </w:pPr>
            <w:r>
              <w:rPr>
                <w:rFonts w:ascii="Arial" w:cs="Arial" w:eastAsia="Arial" w:hAnsi="Arial"/>
                <w:sz w:val="13"/>
                <w:szCs w:val="13"/>
                <w:b w:val="1"/>
                <w:bCs w:val="1"/>
                <w:color w:val="auto"/>
              </w:rPr>
              <w:t>Fiscal Year</w:t>
            </w:r>
          </w:p>
        </w:tc>
      </w:tr>
      <w:tr>
        <w:trPr>
          <w:trHeight w:val="134"/>
        </w:trPr>
        <w:tc>
          <w:tcPr>
            <w:tcW w:w="20" w:type="dxa"/>
            <w:vAlign w:val="bottom"/>
          </w:tcPr>
          <w:p>
            <w:pPr>
              <w:spacing w:after="0"/>
              <w:rPr>
                <w:sz w:val="11"/>
                <w:szCs w:val="11"/>
                <w:color w:val="auto"/>
              </w:rPr>
            </w:pPr>
          </w:p>
        </w:tc>
        <w:tc>
          <w:tcPr>
            <w:tcW w:w="2600" w:type="dxa"/>
            <w:vAlign w:val="bottom"/>
            <w:tcBorders>
              <w:top w:val="single" w:sz="8" w:color="auto"/>
            </w:tcBorders>
            <w:shd w:val="clear" w:color="auto" w:fill="CCEEFF"/>
          </w:tcPr>
          <w:p>
            <w:pPr>
              <w:spacing w:after="0" w:line="134" w:lineRule="exact"/>
              <w:rPr>
                <w:sz w:val="20"/>
                <w:szCs w:val="20"/>
                <w:color w:val="auto"/>
              </w:rPr>
            </w:pPr>
            <w:r>
              <w:rPr>
                <w:rFonts w:ascii="Arial" w:cs="Arial" w:eastAsia="Arial" w:hAnsi="Arial"/>
                <w:sz w:val="13"/>
                <w:szCs w:val="13"/>
                <w:color w:val="auto"/>
              </w:rPr>
              <w:t>Sales</w:t>
            </w:r>
          </w:p>
        </w:tc>
        <w:tc>
          <w:tcPr>
            <w:tcW w:w="1560" w:type="dxa"/>
            <w:vAlign w:val="bottom"/>
            <w:tcBorders>
              <w:top w:val="single" w:sz="8" w:color="auto"/>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rPr>
                <w:sz w:val="11"/>
                <w:szCs w:val="11"/>
                <w:color w:val="auto"/>
              </w:rPr>
            </w:pPr>
          </w:p>
        </w:tc>
        <w:tc>
          <w:tcPr>
            <w:tcW w:w="1220" w:type="dxa"/>
            <w:vAlign w:val="bottom"/>
            <w:tcBorders>
              <w:top w:val="single" w:sz="8" w:color="auto"/>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2600" w:type="dxa"/>
            <w:vAlign w:val="bottom"/>
          </w:tcPr>
          <w:p>
            <w:pPr>
              <w:jc w:val="right"/>
              <w:ind w:right="2178"/>
              <w:spacing w:after="0" w:line="144" w:lineRule="exact"/>
              <w:rPr>
                <w:sz w:val="20"/>
                <w:szCs w:val="20"/>
                <w:color w:val="auto"/>
              </w:rPr>
            </w:pPr>
            <w:r>
              <w:rPr>
                <w:rFonts w:ascii="Arial" w:cs="Arial" w:eastAsia="Arial" w:hAnsi="Arial"/>
                <w:sz w:val="13"/>
                <w:szCs w:val="13"/>
                <w:b w:val="1"/>
                <w:bCs w:val="1"/>
                <w:color w:val="auto"/>
              </w:rPr>
              <w:t>2020</w:t>
            </w:r>
          </w:p>
        </w:tc>
        <w:tc>
          <w:tcPr>
            <w:tcW w:w="1560" w:type="dxa"/>
            <w:vAlign w:val="bottom"/>
          </w:tcPr>
          <w:p>
            <w:pPr>
              <w:jc w:val="right"/>
              <w:ind w:right="135"/>
              <w:spacing w:after="0" w:line="144" w:lineRule="exact"/>
              <w:rPr>
                <w:sz w:val="20"/>
                <w:szCs w:val="20"/>
                <w:color w:val="auto"/>
              </w:rPr>
            </w:pPr>
            <w:r>
              <w:rPr>
                <w:rFonts w:ascii="Arial" w:cs="Arial" w:eastAsia="Arial" w:hAnsi="Arial"/>
                <w:sz w:val="13"/>
                <w:szCs w:val="13"/>
                <w:b w:val="1"/>
                <w:bCs w:val="1"/>
                <w:color w:val="auto"/>
              </w:rPr>
              <w:t>1,176</w:t>
            </w:r>
          </w:p>
        </w:tc>
        <w:tc>
          <w:tcPr>
            <w:tcW w:w="1200" w:type="dxa"/>
            <w:vAlign w:val="bottom"/>
          </w:tcPr>
          <w:p>
            <w:pPr>
              <w:jc w:val="right"/>
              <w:ind w:right="135"/>
              <w:spacing w:after="0" w:line="144" w:lineRule="exact"/>
              <w:rPr>
                <w:sz w:val="20"/>
                <w:szCs w:val="20"/>
                <w:color w:val="auto"/>
              </w:rPr>
            </w:pPr>
            <w:r>
              <w:rPr>
                <w:rFonts w:ascii="Arial" w:cs="Arial" w:eastAsia="Arial" w:hAnsi="Arial"/>
                <w:sz w:val="13"/>
                <w:szCs w:val="13"/>
                <w:b w:val="1"/>
                <w:bCs w:val="1"/>
                <w:color w:val="auto"/>
              </w:rPr>
              <w:t>2,077</w:t>
            </w:r>
          </w:p>
        </w:tc>
        <w:tc>
          <w:tcPr>
            <w:tcW w:w="1220" w:type="dxa"/>
            <w:vAlign w:val="bottom"/>
          </w:tcPr>
          <w:p>
            <w:pPr>
              <w:jc w:val="right"/>
              <w:ind w:right="135"/>
              <w:spacing w:after="0" w:line="144" w:lineRule="exact"/>
              <w:rPr>
                <w:sz w:val="20"/>
                <w:szCs w:val="20"/>
                <w:color w:val="auto"/>
              </w:rPr>
            </w:pPr>
            <w:r>
              <w:rPr>
                <w:rFonts w:ascii="Arial" w:cs="Arial" w:eastAsia="Arial" w:hAnsi="Arial"/>
                <w:sz w:val="13"/>
                <w:szCs w:val="13"/>
                <w:b w:val="1"/>
                <w:bCs w:val="1"/>
                <w:color w:val="auto"/>
              </w:rPr>
              <w:t>2,106</w:t>
            </w:r>
          </w:p>
        </w:tc>
        <w:tc>
          <w:tcPr>
            <w:tcW w:w="1120" w:type="dxa"/>
            <w:vAlign w:val="bottom"/>
          </w:tcPr>
          <w:p>
            <w:pPr>
              <w:jc w:val="right"/>
              <w:ind w:right="55"/>
              <w:spacing w:after="0" w:line="144" w:lineRule="exact"/>
              <w:rPr>
                <w:sz w:val="20"/>
                <w:szCs w:val="20"/>
                <w:color w:val="auto"/>
              </w:rPr>
            </w:pPr>
            <w:r>
              <w:rPr>
                <w:rFonts w:ascii="Arial" w:cs="Arial" w:eastAsia="Arial" w:hAnsi="Arial"/>
                <w:sz w:val="13"/>
                <w:szCs w:val="13"/>
                <w:b w:val="1"/>
                <w:bCs w:val="1"/>
                <w:color w:val="auto"/>
              </w:rPr>
              <w:t>2,189</w:t>
            </w:r>
          </w:p>
        </w:tc>
        <w:tc>
          <w:tcPr>
            <w:tcW w:w="26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w:t>
            </w:r>
          </w:p>
        </w:tc>
        <w:tc>
          <w:tcPr>
            <w:tcW w:w="98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7,548</w:t>
            </w:r>
          </w:p>
        </w:tc>
      </w:tr>
      <w:tr>
        <w:trPr>
          <w:trHeight w:val="144"/>
        </w:trPr>
        <w:tc>
          <w:tcPr>
            <w:tcW w:w="20" w:type="dxa"/>
            <w:vAlign w:val="bottom"/>
          </w:tcPr>
          <w:p>
            <w:pPr>
              <w:spacing w:after="0"/>
              <w:rPr>
                <w:sz w:val="12"/>
                <w:szCs w:val="12"/>
                <w:color w:val="auto"/>
              </w:rPr>
            </w:pPr>
          </w:p>
        </w:tc>
        <w:tc>
          <w:tcPr>
            <w:tcW w:w="2600" w:type="dxa"/>
            <w:vAlign w:val="bottom"/>
            <w:shd w:val="clear" w:color="auto" w:fill="CCEEFF"/>
          </w:tcPr>
          <w:p>
            <w:pPr>
              <w:jc w:val="right"/>
              <w:ind w:right="2178"/>
              <w:spacing w:after="0" w:line="144" w:lineRule="exact"/>
              <w:rPr>
                <w:sz w:val="20"/>
                <w:szCs w:val="20"/>
                <w:color w:val="auto"/>
              </w:rPr>
            </w:pPr>
            <w:r>
              <w:rPr>
                <w:rFonts w:ascii="Arial" w:cs="Arial" w:eastAsia="Arial" w:hAnsi="Arial"/>
                <w:sz w:val="13"/>
                <w:szCs w:val="13"/>
                <w:color w:val="auto"/>
              </w:rPr>
              <w:t>2019</w:t>
            </w:r>
          </w:p>
        </w:tc>
        <w:tc>
          <w:tcPr>
            <w:tcW w:w="1560" w:type="dxa"/>
            <w:vAlign w:val="bottom"/>
            <w:shd w:val="clear" w:color="auto" w:fill="CCEEFF"/>
          </w:tcPr>
          <w:p>
            <w:pPr>
              <w:jc w:val="right"/>
              <w:ind w:right="135"/>
              <w:spacing w:after="0" w:line="144" w:lineRule="exact"/>
              <w:rPr>
                <w:sz w:val="20"/>
                <w:szCs w:val="20"/>
                <w:color w:val="auto"/>
              </w:rPr>
            </w:pPr>
            <w:r>
              <w:rPr>
                <w:rFonts w:ascii="Arial" w:cs="Arial" w:eastAsia="Arial" w:hAnsi="Arial"/>
                <w:sz w:val="13"/>
                <w:szCs w:val="13"/>
                <w:color w:val="auto"/>
              </w:rPr>
              <w:t>2,078</w:t>
            </w:r>
          </w:p>
        </w:tc>
        <w:tc>
          <w:tcPr>
            <w:tcW w:w="1200" w:type="dxa"/>
            <w:vAlign w:val="bottom"/>
            <w:shd w:val="clear" w:color="auto" w:fill="CCEEFF"/>
          </w:tcPr>
          <w:p>
            <w:pPr>
              <w:jc w:val="right"/>
              <w:ind w:right="135"/>
              <w:spacing w:after="0" w:line="144" w:lineRule="exact"/>
              <w:rPr>
                <w:sz w:val="20"/>
                <w:szCs w:val="20"/>
                <w:color w:val="auto"/>
              </w:rPr>
            </w:pPr>
            <w:r>
              <w:rPr>
                <w:rFonts w:ascii="Arial" w:cs="Arial" w:eastAsia="Arial" w:hAnsi="Arial"/>
                <w:sz w:val="13"/>
                <w:szCs w:val="13"/>
                <w:color w:val="auto"/>
              </w:rPr>
              <w:t>1,774</w:t>
            </w:r>
          </w:p>
        </w:tc>
        <w:tc>
          <w:tcPr>
            <w:tcW w:w="1220" w:type="dxa"/>
            <w:vAlign w:val="bottom"/>
            <w:shd w:val="clear" w:color="auto" w:fill="CCEEFF"/>
          </w:tcPr>
          <w:p>
            <w:pPr>
              <w:jc w:val="right"/>
              <w:ind w:right="135"/>
              <w:spacing w:after="0" w:line="144" w:lineRule="exact"/>
              <w:rPr>
                <w:sz w:val="20"/>
                <w:szCs w:val="20"/>
                <w:color w:val="auto"/>
              </w:rPr>
            </w:pPr>
            <w:r>
              <w:rPr>
                <w:rFonts w:ascii="Arial" w:cs="Arial" w:eastAsia="Arial" w:hAnsi="Arial"/>
                <w:sz w:val="13"/>
                <w:szCs w:val="13"/>
                <w:color w:val="auto"/>
              </w:rPr>
              <w:t>1,932</w:t>
            </w:r>
          </w:p>
        </w:tc>
        <w:tc>
          <w:tcPr>
            <w:tcW w:w="112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2,221</w:t>
            </w:r>
          </w:p>
        </w:tc>
        <w:tc>
          <w:tcPr>
            <w:tcW w:w="2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8,005</w:t>
            </w:r>
          </w:p>
        </w:tc>
      </w:tr>
      <w:tr>
        <w:trPr>
          <w:trHeight w:val="144"/>
        </w:trPr>
        <w:tc>
          <w:tcPr>
            <w:tcW w:w="20" w:type="dxa"/>
            <w:vAlign w:val="bottom"/>
          </w:tcPr>
          <w:p>
            <w:pPr>
              <w:spacing w:after="0"/>
              <w:rPr>
                <w:sz w:val="12"/>
                <w:szCs w:val="12"/>
                <w:color w:val="auto"/>
              </w:rPr>
            </w:pPr>
          </w:p>
        </w:tc>
        <w:tc>
          <w:tcPr>
            <w:tcW w:w="2600" w:type="dxa"/>
            <w:vAlign w:val="bottom"/>
          </w:tcPr>
          <w:p>
            <w:pPr>
              <w:spacing w:after="0" w:line="144" w:lineRule="exact"/>
              <w:rPr>
                <w:sz w:val="20"/>
                <w:szCs w:val="20"/>
                <w:color w:val="auto"/>
              </w:rPr>
            </w:pPr>
            <w:r>
              <w:rPr>
                <w:rFonts w:ascii="Arial" w:cs="Arial" w:eastAsia="Arial" w:hAnsi="Arial"/>
                <w:sz w:val="11"/>
                <w:szCs w:val="11"/>
                <w:color w:val="auto"/>
              </w:rPr>
              <w:t xml:space="preserve">Gross margin </w:t>
            </w:r>
            <w:r>
              <w:rPr>
                <w:rFonts w:ascii="Arial" w:cs="Arial" w:eastAsia="Arial" w:hAnsi="Arial"/>
                <w:sz w:val="16"/>
                <w:szCs w:val="16"/>
                <w:color w:val="auto"/>
                <w:vertAlign w:val="superscript"/>
              </w:rPr>
              <w:t>(1)</w:t>
            </w:r>
          </w:p>
        </w:tc>
        <w:tc>
          <w:tcPr>
            <w:tcW w:w="1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2600" w:type="dxa"/>
            <w:vAlign w:val="bottom"/>
            <w:shd w:val="clear" w:color="auto" w:fill="CCEEFF"/>
          </w:tcPr>
          <w:p>
            <w:pPr>
              <w:jc w:val="right"/>
              <w:ind w:right="2178"/>
              <w:spacing w:after="0" w:line="144" w:lineRule="exact"/>
              <w:rPr>
                <w:sz w:val="20"/>
                <w:szCs w:val="20"/>
                <w:color w:val="auto"/>
              </w:rPr>
            </w:pPr>
            <w:r>
              <w:rPr>
                <w:rFonts w:ascii="Arial" w:cs="Arial" w:eastAsia="Arial" w:hAnsi="Arial"/>
                <w:sz w:val="13"/>
                <w:szCs w:val="13"/>
                <w:b w:val="1"/>
                <w:bCs w:val="1"/>
                <w:color w:val="auto"/>
              </w:rPr>
              <w:t>2020</w:t>
            </w:r>
          </w:p>
        </w:tc>
        <w:tc>
          <w:tcPr>
            <w:tcW w:w="1560" w:type="dxa"/>
            <w:vAlign w:val="bottom"/>
            <w:shd w:val="clear" w:color="auto" w:fill="CCEEFF"/>
          </w:tcPr>
          <w:p>
            <w:pPr>
              <w:jc w:val="right"/>
              <w:ind w:right="135"/>
              <w:spacing w:after="0" w:line="144" w:lineRule="exact"/>
              <w:rPr>
                <w:sz w:val="20"/>
                <w:szCs w:val="20"/>
                <w:color w:val="auto"/>
              </w:rPr>
            </w:pPr>
            <w:r>
              <w:rPr>
                <w:rFonts w:ascii="Arial" w:cs="Arial" w:eastAsia="Arial" w:hAnsi="Arial"/>
                <w:sz w:val="13"/>
                <w:szCs w:val="13"/>
                <w:b w:val="1"/>
                <w:bCs w:val="1"/>
                <w:color w:val="auto"/>
              </w:rPr>
              <w:t>271</w:t>
            </w:r>
          </w:p>
        </w:tc>
        <w:tc>
          <w:tcPr>
            <w:tcW w:w="1200" w:type="dxa"/>
            <w:vAlign w:val="bottom"/>
            <w:shd w:val="clear" w:color="auto" w:fill="CCEEFF"/>
          </w:tcPr>
          <w:p>
            <w:pPr>
              <w:jc w:val="right"/>
              <w:ind w:right="135"/>
              <w:spacing w:after="0" w:line="144" w:lineRule="exact"/>
              <w:rPr>
                <w:sz w:val="20"/>
                <w:szCs w:val="20"/>
                <w:color w:val="auto"/>
              </w:rPr>
            </w:pPr>
            <w:r>
              <w:rPr>
                <w:rFonts w:ascii="Arial" w:cs="Arial" w:eastAsia="Arial" w:hAnsi="Arial"/>
                <w:sz w:val="13"/>
                <w:szCs w:val="13"/>
                <w:b w:val="1"/>
                <w:bCs w:val="1"/>
                <w:color w:val="auto"/>
              </w:rPr>
              <w:t>538</w:t>
            </w:r>
          </w:p>
        </w:tc>
        <w:tc>
          <w:tcPr>
            <w:tcW w:w="1220" w:type="dxa"/>
            <w:vAlign w:val="bottom"/>
            <w:shd w:val="clear" w:color="auto" w:fill="CCEEFF"/>
          </w:tcPr>
          <w:p>
            <w:pPr>
              <w:jc w:val="right"/>
              <w:ind w:right="135"/>
              <w:spacing w:after="0" w:line="144" w:lineRule="exact"/>
              <w:rPr>
                <w:sz w:val="20"/>
                <w:szCs w:val="20"/>
                <w:color w:val="auto"/>
              </w:rPr>
            </w:pPr>
            <w:r>
              <w:rPr>
                <w:rFonts w:ascii="Arial" w:cs="Arial" w:eastAsia="Arial" w:hAnsi="Arial"/>
                <w:sz w:val="13"/>
                <w:szCs w:val="13"/>
                <w:b w:val="1"/>
                <w:bCs w:val="1"/>
                <w:color w:val="auto"/>
              </w:rPr>
              <w:t>650</w:t>
            </w:r>
          </w:p>
        </w:tc>
        <w:tc>
          <w:tcPr>
            <w:tcW w:w="112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b w:val="1"/>
                <w:bCs w:val="1"/>
                <w:color w:val="auto"/>
              </w:rPr>
              <w:t>724</w:t>
            </w:r>
          </w:p>
        </w:tc>
        <w:tc>
          <w:tcPr>
            <w:tcW w:w="2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w:t>
            </w:r>
          </w:p>
        </w:tc>
        <w:tc>
          <w:tcPr>
            <w:tcW w:w="9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2,183</w:t>
            </w:r>
          </w:p>
        </w:tc>
      </w:tr>
      <w:tr>
        <w:trPr>
          <w:trHeight w:val="144"/>
        </w:trPr>
        <w:tc>
          <w:tcPr>
            <w:tcW w:w="20" w:type="dxa"/>
            <w:vAlign w:val="bottom"/>
          </w:tcPr>
          <w:p>
            <w:pPr>
              <w:spacing w:after="0"/>
              <w:rPr>
                <w:sz w:val="12"/>
                <w:szCs w:val="12"/>
                <w:color w:val="auto"/>
              </w:rPr>
            </w:pPr>
          </w:p>
        </w:tc>
        <w:tc>
          <w:tcPr>
            <w:tcW w:w="2600" w:type="dxa"/>
            <w:vAlign w:val="bottom"/>
          </w:tcPr>
          <w:p>
            <w:pPr>
              <w:jc w:val="right"/>
              <w:ind w:right="2178"/>
              <w:spacing w:after="0" w:line="144" w:lineRule="exact"/>
              <w:rPr>
                <w:sz w:val="20"/>
                <w:szCs w:val="20"/>
                <w:color w:val="auto"/>
              </w:rPr>
            </w:pPr>
            <w:r>
              <w:rPr>
                <w:rFonts w:ascii="Arial" w:cs="Arial" w:eastAsia="Arial" w:hAnsi="Arial"/>
                <w:sz w:val="13"/>
                <w:szCs w:val="13"/>
                <w:color w:val="auto"/>
              </w:rPr>
              <w:t>2019</w:t>
            </w:r>
          </w:p>
        </w:tc>
        <w:tc>
          <w:tcPr>
            <w:tcW w:w="1560" w:type="dxa"/>
            <w:vAlign w:val="bottom"/>
          </w:tcPr>
          <w:p>
            <w:pPr>
              <w:jc w:val="right"/>
              <w:ind w:right="135"/>
              <w:spacing w:after="0" w:line="144" w:lineRule="exact"/>
              <w:rPr>
                <w:sz w:val="20"/>
                <w:szCs w:val="20"/>
                <w:color w:val="auto"/>
              </w:rPr>
            </w:pPr>
            <w:r>
              <w:rPr>
                <w:rFonts w:ascii="Arial" w:cs="Arial" w:eastAsia="Arial" w:hAnsi="Arial"/>
                <w:sz w:val="13"/>
                <w:szCs w:val="13"/>
                <w:color w:val="auto"/>
              </w:rPr>
              <w:t>689</w:t>
            </w:r>
          </w:p>
        </w:tc>
        <w:tc>
          <w:tcPr>
            <w:tcW w:w="1200" w:type="dxa"/>
            <w:vAlign w:val="bottom"/>
          </w:tcPr>
          <w:p>
            <w:pPr>
              <w:jc w:val="right"/>
              <w:ind w:right="135"/>
              <w:spacing w:after="0" w:line="144" w:lineRule="exact"/>
              <w:rPr>
                <w:sz w:val="20"/>
                <w:szCs w:val="20"/>
                <w:color w:val="auto"/>
              </w:rPr>
            </w:pPr>
            <w:r>
              <w:rPr>
                <w:rFonts w:ascii="Arial" w:cs="Arial" w:eastAsia="Arial" w:hAnsi="Arial"/>
                <w:sz w:val="13"/>
                <w:szCs w:val="13"/>
                <w:color w:val="auto"/>
              </w:rPr>
              <w:t>534</w:t>
            </w:r>
          </w:p>
        </w:tc>
        <w:tc>
          <w:tcPr>
            <w:tcW w:w="1220" w:type="dxa"/>
            <w:vAlign w:val="bottom"/>
          </w:tcPr>
          <w:p>
            <w:pPr>
              <w:jc w:val="right"/>
              <w:ind w:right="135"/>
              <w:spacing w:after="0" w:line="144" w:lineRule="exact"/>
              <w:rPr>
                <w:sz w:val="20"/>
                <w:szCs w:val="20"/>
                <w:color w:val="auto"/>
              </w:rPr>
            </w:pPr>
            <w:r>
              <w:rPr>
                <w:rFonts w:ascii="Arial" w:cs="Arial" w:eastAsia="Arial" w:hAnsi="Arial"/>
                <w:sz w:val="13"/>
                <w:szCs w:val="13"/>
                <w:color w:val="auto"/>
              </w:rPr>
              <w:t>620</w:t>
            </w:r>
          </w:p>
        </w:tc>
        <w:tc>
          <w:tcPr>
            <w:tcW w:w="1120" w:type="dxa"/>
            <w:vAlign w:val="bottom"/>
          </w:tcPr>
          <w:p>
            <w:pPr>
              <w:jc w:val="right"/>
              <w:ind w:right="55"/>
              <w:spacing w:after="0" w:line="144" w:lineRule="exact"/>
              <w:rPr>
                <w:sz w:val="20"/>
                <w:szCs w:val="20"/>
                <w:color w:val="auto"/>
              </w:rPr>
            </w:pPr>
            <w:r>
              <w:rPr>
                <w:rFonts w:ascii="Arial" w:cs="Arial" w:eastAsia="Arial" w:hAnsi="Arial"/>
                <w:sz w:val="13"/>
                <w:szCs w:val="13"/>
                <w:color w:val="auto"/>
              </w:rPr>
              <w:t>700</w:t>
            </w:r>
          </w:p>
        </w:tc>
        <w:tc>
          <w:tcPr>
            <w:tcW w:w="2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980" w:type="dxa"/>
            <w:vAlign w:val="bottom"/>
          </w:tcPr>
          <w:p>
            <w:pPr>
              <w:jc w:val="right"/>
              <w:spacing w:after="0" w:line="144" w:lineRule="exact"/>
              <w:rPr>
                <w:sz w:val="20"/>
                <w:szCs w:val="20"/>
                <w:color w:val="auto"/>
              </w:rPr>
            </w:pPr>
            <w:r>
              <w:rPr>
                <w:rFonts w:ascii="Arial" w:cs="Arial" w:eastAsia="Arial" w:hAnsi="Arial"/>
                <w:sz w:val="13"/>
                <w:szCs w:val="13"/>
                <w:color w:val="auto"/>
              </w:rPr>
              <w:t>2,543</w:t>
            </w:r>
          </w:p>
        </w:tc>
      </w:tr>
      <w:tr>
        <w:trPr>
          <w:trHeight w:val="144"/>
        </w:trPr>
        <w:tc>
          <w:tcPr>
            <w:tcW w:w="20" w:type="dxa"/>
            <w:vAlign w:val="bottom"/>
          </w:tcPr>
          <w:p>
            <w:pPr>
              <w:spacing w:after="0"/>
              <w:rPr>
                <w:sz w:val="12"/>
                <w:szCs w:val="12"/>
                <w:color w:val="auto"/>
              </w:rPr>
            </w:pPr>
          </w:p>
        </w:tc>
        <w:tc>
          <w:tcPr>
            <w:tcW w:w="2600" w:type="dxa"/>
            <w:vAlign w:val="bottom"/>
            <w:shd w:val="clear" w:color="auto" w:fill="CCEEFF"/>
          </w:tcPr>
          <w:p>
            <w:pPr>
              <w:spacing w:after="0" w:line="144" w:lineRule="exact"/>
              <w:rPr>
                <w:sz w:val="20"/>
                <w:szCs w:val="20"/>
                <w:color w:val="auto"/>
              </w:rPr>
            </w:pPr>
            <w:r>
              <w:rPr>
                <w:rFonts w:ascii="Arial" w:cs="Arial" w:eastAsia="Arial" w:hAnsi="Arial"/>
                <w:sz w:val="11"/>
                <w:szCs w:val="11"/>
                <w:color w:val="auto"/>
              </w:rPr>
              <w:t xml:space="preserve">Operating profit </w:t>
            </w:r>
            <w:r>
              <w:rPr>
                <w:rFonts w:ascii="Arial" w:cs="Arial" w:eastAsia="Arial" w:hAnsi="Arial"/>
                <w:sz w:val="16"/>
                <w:szCs w:val="16"/>
                <w:color w:val="auto"/>
                <w:vertAlign w:val="superscript"/>
              </w:rPr>
              <w:t>(2)</w:t>
            </w:r>
          </w:p>
        </w:tc>
        <w:tc>
          <w:tcPr>
            <w:tcW w:w="15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2600" w:type="dxa"/>
            <w:vAlign w:val="bottom"/>
          </w:tcPr>
          <w:p>
            <w:pPr>
              <w:jc w:val="right"/>
              <w:ind w:right="2178"/>
              <w:spacing w:after="0" w:line="144" w:lineRule="exact"/>
              <w:rPr>
                <w:sz w:val="20"/>
                <w:szCs w:val="20"/>
                <w:color w:val="auto"/>
              </w:rPr>
            </w:pPr>
            <w:r>
              <w:rPr>
                <w:rFonts w:ascii="Arial" w:cs="Arial" w:eastAsia="Arial" w:hAnsi="Arial"/>
                <w:sz w:val="13"/>
                <w:szCs w:val="13"/>
                <w:b w:val="1"/>
                <w:bCs w:val="1"/>
                <w:color w:val="auto"/>
              </w:rPr>
              <w:t>2020</w:t>
            </w:r>
          </w:p>
        </w:tc>
        <w:tc>
          <w:tcPr>
            <w:tcW w:w="1560" w:type="dxa"/>
            <w:vAlign w:val="bottom"/>
          </w:tcPr>
          <w:p>
            <w:pPr>
              <w:jc w:val="right"/>
              <w:ind w:right="95"/>
              <w:spacing w:after="0" w:line="144" w:lineRule="exact"/>
              <w:rPr>
                <w:sz w:val="20"/>
                <w:szCs w:val="20"/>
                <w:color w:val="auto"/>
              </w:rPr>
            </w:pPr>
            <w:r>
              <w:rPr>
                <w:rFonts w:ascii="Arial" w:cs="Arial" w:eastAsia="Arial" w:hAnsi="Arial"/>
                <w:sz w:val="13"/>
                <w:szCs w:val="13"/>
                <w:b w:val="1"/>
                <w:bCs w:val="1"/>
                <w:color w:val="auto"/>
              </w:rPr>
              <w:t>(105)</w:t>
            </w:r>
          </w:p>
        </w:tc>
        <w:tc>
          <w:tcPr>
            <w:tcW w:w="1200" w:type="dxa"/>
            <w:vAlign w:val="bottom"/>
          </w:tcPr>
          <w:p>
            <w:pPr>
              <w:jc w:val="right"/>
              <w:ind w:right="135"/>
              <w:spacing w:after="0" w:line="144" w:lineRule="exact"/>
              <w:rPr>
                <w:sz w:val="20"/>
                <w:szCs w:val="20"/>
                <w:color w:val="auto"/>
              </w:rPr>
            </w:pPr>
            <w:r>
              <w:rPr>
                <w:rFonts w:ascii="Arial" w:cs="Arial" w:eastAsia="Arial" w:hAnsi="Arial"/>
                <w:sz w:val="13"/>
                <w:szCs w:val="13"/>
                <w:b w:val="1"/>
                <w:bCs w:val="1"/>
                <w:color w:val="auto"/>
              </w:rPr>
              <w:t>69</w:t>
            </w:r>
          </w:p>
        </w:tc>
        <w:tc>
          <w:tcPr>
            <w:tcW w:w="1220" w:type="dxa"/>
            <w:vAlign w:val="bottom"/>
          </w:tcPr>
          <w:p>
            <w:pPr>
              <w:jc w:val="right"/>
              <w:ind w:right="135"/>
              <w:spacing w:after="0" w:line="144" w:lineRule="exact"/>
              <w:rPr>
                <w:sz w:val="20"/>
                <w:szCs w:val="20"/>
                <w:color w:val="auto"/>
              </w:rPr>
            </w:pPr>
            <w:r>
              <w:rPr>
                <w:rFonts w:ascii="Arial" w:cs="Arial" w:eastAsia="Arial" w:hAnsi="Arial"/>
                <w:sz w:val="13"/>
                <w:szCs w:val="13"/>
                <w:b w:val="1"/>
                <w:bCs w:val="1"/>
                <w:color w:val="auto"/>
              </w:rPr>
              <w:t>178</w:t>
            </w:r>
          </w:p>
        </w:tc>
        <w:tc>
          <w:tcPr>
            <w:tcW w:w="1120" w:type="dxa"/>
            <w:vAlign w:val="bottom"/>
          </w:tcPr>
          <w:p>
            <w:pPr>
              <w:jc w:val="right"/>
              <w:ind w:right="55"/>
              <w:spacing w:after="0" w:line="144" w:lineRule="exact"/>
              <w:rPr>
                <w:sz w:val="20"/>
                <w:szCs w:val="20"/>
                <w:color w:val="auto"/>
              </w:rPr>
            </w:pPr>
            <w:r>
              <w:rPr>
                <w:rFonts w:ascii="Arial" w:cs="Arial" w:eastAsia="Arial" w:hAnsi="Arial"/>
                <w:sz w:val="13"/>
                <w:szCs w:val="13"/>
                <w:b w:val="1"/>
                <w:bCs w:val="1"/>
                <w:color w:val="auto"/>
              </w:rPr>
              <w:t>161</w:t>
            </w:r>
          </w:p>
        </w:tc>
        <w:tc>
          <w:tcPr>
            <w:tcW w:w="26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w:t>
            </w:r>
          </w:p>
        </w:tc>
        <w:tc>
          <w:tcPr>
            <w:tcW w:w="98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303</w:t>
            </w:r>
          </w:p>
        </w:tc>
      </w:tr>
      <w:tr>
        <w:trPr>
          <w:trHeight w:val="144"/>
        </w:trPr>
        <w:tc>
          <w:tcPr>
            <w:tcW w:w="20" w:type="dxa"/>
            <w:vAlign w:val="bottom"/>
          </w:tcPr>
          <w:p>
            <w:pPr>
              <w:spacing w:after="0"/>
              <w:rPr>
                <w:sz w:val="12"/>
                <w:szCs w:val="12"/>
                <w:color w:val="auto"/>
              </w:rPr>
            </w:pPr>
          </w:p>
        </w:tc>
        <w:tc>
          <w:tcPr>
            <w:tcW w:w="2600" w:type="dxa"/>
            <w:vAlign w:val="bottom"/>
            <w:shd w:val="clear" w:color="auto" w:fill="CCEEFF"/>
          </w:tcPr>
          <w:p>
            <w:pPr>
              <w:jc w:val="right"/>
              <w:ind w:right="2178"/>
              <w:spacing w:after="0" w:line="144" w:lineRule="exact"/>
              <w:rPr>
                <w:sz w:val="20"/>
                <w:szCs w:val="20"/>
                <w:color w:val="auto"/>
              </w:rPr>
            </w:pPr>
            <w:r>
              <w:rPr>
                <w:rFonts w:ascii="Arial" w:cs="Arial" w:eastAsia="Arial" w:hAnsi="Arial"/>
                <w:sz w:val="13"/>
                <w:szCs w:val="13"/>
                <w:color w:val="auto"/>
              </w:rPr>
              <w:t>2019</w:t>
            </w:r>
          </w:p>
        </w:tc>
        <w:tc>
          <w:tcPr>
            <w:tcW w:w="1560" w:type="dxa"/>
            <w:vAlign w:val="bottom"/>
            <w:shd w:val="clear" w:color="auto" w:fill="CCEEFF"/>
          </w:tcPr>
          <w:p>
            <w:pPr>
              <w:jc w:val="right"/>
              <w:ind w:right="135"/>
              <w:spacing w:after="0" w:line="144" w:lineRule="exact"/>
              <w:rPr>
                <w:sz w:val="20"/>
                <w:szCs w:val="20"/>
                <w:color w:val="auto"/>
              </w:rPr>
            </w:pPr>
            <w:r>
              <w:rPr>
                <w:rFonts w:ascii="Arial" w:cs="Arial" w:eastAsia="Arial" w:hAnsi="Arial"/>
                <w:sz w:val="13"/>
                <w:szCs w:val="13"/>
                <w:color w:val="auto"/>
              </w:rPr>
              <w:t>228</w:t>
            </w:r>
          </w:p>
        </w:tc>
        <w:tc>
          <w:tcPr>
            <w:tcW w:w="1200" w:type="dxa"/>
            <w:vAlign w:val="bottom"/>
            <w:shd w:val="clear" w:color="auto" w:fill="CCEEFF"/>
          </w:tcPr>
          <w:p>
            <w:pPr>
              <w:jc w:val="right"/>
              <w:ind w:right="135"/>
              <w:spacing w:after="0" w:line="144" w:lineRule="exact"/>
              <w:rPr>
                <w:sz w:val="20"/>
                <w:szCs w:val="20"/>
                <w:color w:val="auto"/>
              </w:rPr>
            </w:pPr>
            <w:r>
              <w:rPr>
                <w:rFonts w:ascii="Arial" w:cs="Arial" w:eastAsia="Arial" w:hAnsi="Arial"/>
                <w:sz w:val="13"/>
                <w:szCs w:val="13"/>
                <w:color w:val="auto"/>
              </w:rPr>
              <w:t>81</w:t>
            </w:r>
          </w:p>
        </w:tc>
        <w:tc>
          <w:tcPr>
            <w:tcW w:w="1220" w:type="dxa"/>
            <w:vAlign w:val="bottom"/>
            <w:shd w:val="clear" w:color="auto" w:fill="CCEEFF"/>
          </w:tcPr>
          <w:p>
            <w:pPr>
              <w:jc w:val="right"/>
              <w:ind w:right="135"/>
              <w:spacing w:after="0" w:line="144" w:lineRule="exact"/>
              <w:rPr>
                <w:sz w:val="20"/>
                <w:szCs w:val="20"/>
                <w:color w:val="auto"/>
              </w:rPr>
            </w:pPr>
            <w:r>
              <w:rPr>
                <w:rFonts w:ascii="Arial" w:cs="Arial" w:eastAsia="Arial" w:hAnsi="Arial"/>
                <w:sz w:val="13"/>
                <w:szCs w:val="13"/>
                <w:color w:val="auto"/>
              </w:rPr>
              <w:t>164</w:t>
            </w:r>
          </w:p>
        </w:tc>
        <w:tc>
          <w:tcPr>
            <w:tcW w:w="112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176</w:t>
            </w:r>
          </w:p>
        </w:tc>
        <w:tc>
          <w:tcPr>
            <w:tcW w:w="2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649</w:t>
            </w:r>
          </w:p>
        </w:tc>
      </w:tr>
      <w:tr>
        <w:trPr>
          <w:trHeight w:val="144"/>
        </w:trPr>
        <w:tc>
          <w:tcPr>
            <w:tcW w:w="20" w:type="dxa"/>
            <w:vAlign w:val="bottom"/>
          </w:tcPr>
          <w:p>
            <w:pPr>
              <w:spacing w:after="0"/>
              <w:rPr>
                <w:sz w:val="12"/>
                <w:szCs w:val="12"/>
                <w:color w:val="auto"/>
              </w:rPr>
            </w:pPr>
          </w:p>
        </w:tc>
        <w:tc>
          <w:tcPr>
            <w:tcW w:w="2600" w:type="dxa"/>
            <w:vAlign w:val="bottom"/>
          </w:tcPr>
          <w:p>
            <w:pPr>
              <w:spacing w:after="0" w:line="144" w:lineRule="exact"/>
              <w:rPr>
                <w:sz w:val="20"/>
                <w:szCs w:val="20"/>
                <w:color w:val="auto"/>
              </w:rPr>
            </w:pPr>
            <w:r>
              <w:rPr>
                <w:rFonts w:ascii="Arial" w:cs="Arial" w:eastAsia="Arial" w:hAnsi="Arial"/>
                <w:sz w:val="11"/>
                <w:szCs w:val="11"/>
                <w:color w:val="auto"/>
              </w:rPr>
              <w:t xml:space="preserve">Net income </w:t>
            </w:r>
            <w:r>
              <w:rPr>
                <w:rFonts w:ascii="Arial" w:cs="Arial" w:eastAsia="Arial" w:hAnsi="Arial"/>
                <w:sz w:val="16"/>
                <w:szCs w:val="16"/>
                <w:color w:val="auto"/>
                <w:vertAlign w:val="superscript"/>
              </w:rPr>
              <w:t>(3), (4)</w:t>
            </w:r>
          </w:p>
        </w:tc>
        <w:tc>
          <w:tcPr>
            <w:tcW w:w="1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2600" w:type="dxa"/>
            <w:vAlign w:val="bottom"/>
            <w:shd w:val="clear" w:color="auto" w:fill="CCEEFF"/>
          </w:tcPr>
          <w:p>
            <w:pPr>
              <w:jc w:val="right"/>
              <w:ind w:right="2178"/>
              <w:spacing w:after="0" w:line="144" w:lineRule="exact"/>
              <w:rPr>
                <w:sz w:val="20"/>
                <w:szCs w:val="20"/>
                <w:color w:val="auto"/>
              </w:rPr>
            </w:pPr>
            <w:r>
              <w:rPr>
                <w:rFonts w:ascii="Arial" w:cs="Arial" w:eastAsia="Arial" w:hAnsi="Arial"/>
                <w:sz w:val="13"/>
                <w:szCs w:val="13"/>
                <w:b w:val="1"/>
                <w:bCs w:val="1"/>
                <w:color w:val="auto"/>
              </w:rPr>
              <w:t>2020</w:t>
            </w:r>
          </w:p>
        </w:tc>
        <w:tc>
          <w:tcPr>
            <w:tcW w:w="1560" w:type="dxa"/>
            <w:vAlign w:val="bottom"/>
            <w:shd w:val="clear" w:color="auto" w:fill="CCEEFF"/>
          </w:tcPr>
          <w:p>
            <w:pPr>
              <w:jc w:val="right"/>
              <w:ind w:right="95"/>
              <w:spacing w:after="0" w:line="144" w:lineRule="exact"/>
              <w:rPr>
                <w:sz w:val="20"/>
                <w:szCs w:val="20"/>
                <w:color w:val="auto"/>
              </w:rPr>
            </w:pPr>
            <w:r>
              <w:rPr>
                <w:rFonts w:ascii="Arial" w:cs="Arial" w:eastAsia="Arial" w:hAnsi="Arial"/>
                <w:sz w:val="13"/>
                <w:szCs w:val="13"/>
                <w:b w:val="1"/>
                <w:bCs w:val="1"/>
                <w:color w:val="auto"/>
              </w:rPr>
              <w:t>(110)</w:t>
            </w:r>
          </w:p>
        </w:tc>
        <w:tc>
          <w:tcPr>
            <w:tcW w:w="1200" w:type="dxa"/>
            <w:vAlign w:val="bottom"/>
            <w:shd w:val="clear" w:color="auto" w:fill="CCEEFF"/>
          </w:tcPr>
          <w:p>
            <w:pPr>
              <w:jc w:val="right"/>
              <w:ind w:right="135"/>
              <w:spacing w:after="0" w:line="144" w:lineRule="exact"/>
              <w:rPr>
                <w:sz w:val="20"/>
                <w:szCs w:val="20"/>
                <w:color w:val="auto"/>
              </w:rPr>
            </w:pPr>
            <w:r>
              <w:rPr>
                <w:rFonts w:ascii="Arial" w:cs="Arial" w:eastAsia="Arial" w:hAnsi="Arial"/>
                <w:sz w:val="13"/>
                <w:szCs w:val="13"/>
                <w:b w:val="1"/>
                <w:bCs w:val="1"/>
                <w:color w:val="auto"/>
              </w:rPr>
              <w:t>45</w:t>
            </w:r>
          </w:p>
        </w:tc>
        <w:tc>
          <w:tcPr>
            <w:tcW w:w="1220" w:type="dxa"/>
            <w:vAlign w:val="bottom"/>
            <w:shd w:val="clear" w:color="auto" w:fill="CCEEFF"/>
          </w:tcPr>
          <w:p>
            <w:pPr>
              <w:jc w:val="right"/>
              <w:ind w:right="135"/>
              <w:spacing w:after="0" w:line="144" w:lineRule="exact"/>
              <w:rPr>
                <w:sz w:val="20"/>
                <w:szCs w:val="20"/>
                <w:color w:val="auto"/>
              </w:rPr>
            </w:pPr>
            <w:r>
              <w:rPr>
                <w:rFonts w:ascii="Arial" w:cs="Arial" w:eastAsia="Arial" w:hAnsi="Arial"/>
                <w:sz w:val="13"/>
                <w:szCs w:val="13"/>
                <w:b w:val="1"/>
                <w:bCs w:val="1"/>
                <w:color w:val="auto"/>
              </w:rPr>
              <w:t>265</w:t>
            </w:r>
          </w:p>
        </w:tc>
        <w:tc>
          <w:tcPr>
            <w:tcW w:w="112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b w:val="1"/>
                <w:bCs w:val="1"/>
                <w:color w:val="auto"/>
              </w:rPr>
              <w:t>123</w:t>
            </w:r>
          </w:p>
        </w:tc>
        <w:tc>
          <w:tcPr>
            <w:tcW w:w="2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w:t>
            </w:r>
          </w:p>
        </w:tc>
        <w:tc>
          <w:tcPr>
            <w:tcW w:w="9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323</w:t>
            </w:r>
          </w:p>
        </w:tc>
      </w:tr>
      <w:tr>
        <w:trPr>
          <w:trHeight w:val="144"/>
        </w:trPr>
        <w:tc>
          <w:tcPr>
            <w:tcW w:w="20" w:type="dxa"/>
            <w:vAlign w:val="bottom"/>
          </w:tcPr>
          <w:p>
            <w:pPr>
              <w:spacing w:after="0"/>
              <w:rPr>
                <w:sz w:val="12"/>
                <w:szCs w:val="12"/>
                <w:color w:val="auto"/>
              </w:rPr>
            </w:pPr>
          </w:p>
        </w:tc>
        <w:tc>
          <w:tcPr>
            <w:tcW w:w="2600" w:type="dxa"/>
            <w:vAlign w:val="bottom"/>
          </w:tcPr>
          <w:p>
            <w:pPr>
              <w:jc w:val="right"/>
              <w:ind w:right="2178"/>
              <w:spacing w:after="0" w:line="144" w:lineRule="exact"/>
              <w:rPr>
                <w:sz w:val="20"/>
                <w:szCs w:val="20"/>
                <w:color w:val="auto"/>
              </w:rPr>
            </w:pPr>
            <w:r>
              <w:rPr>
                <w:rFonts w:ascii="Arial" w:cs="Arial" w:eastAsia="Arial" w:hAnsi="Arial"/>
                <w:sz w:val="13"/>
                <w:szCs w:val="13"/>
                <w:color w:val="auto"/>
              </w:rPr>
              <w:t>2019</w:t>
            </w:r>
          </w:p>
        </w:tc>
        <w:tc>
          <w:tcPr>
            <w:tcW w:w="1560" w:type="dxa"/>
            <w:vAlign w:val="bottom"/>
          </w:tcPr>
          <w:p>
            <w:pPr>
              <w:jc w:val="right"/>
              <w:ind w:right="135"/>
              <w:spacing w:after="0" w:line="144" w:lineRule="exact"/>
              <w:rPr>
                <w:sz w:val="20"/>
                <w:szCs w:val="20"/>
                <w:color w:val="auto"/>
              </w:rPr>
            </w:pPr>
            <w:r>
              <w:rPr>
                <w:rFonts w:ascii="Arial" w:cs="Arial" w:eastAsia="Arial" w:hAnsi="Arial"/>
                <w:sz w:val="13"/>
                <w:szCs w:val="13"/>
                <w:color w:val="auto"/>
              </w:rPr>
              <w:t>172</w:t>
            </w:r>
          </w:p>
        </w:tc>
        <w:tc>
          <w:tcPr>
            <w:tcW w:w="1200" w:type="dxa"/>
            <w:vAlign w:val="bottom"/>
          </w:tcPr>
          <w:p>
            <w:pPr>
              <w:jc w:val="right"/>
              <w:ind w:right="135"/>
              <w:spacing w:after="0" w:line="144" w:lineRule="exact"/>
              <w:rPr>
                <w:sz w:val="20"/>
                <w:szCs w:val="20"/>
                <w:color w:val="auto"/>
              </w:rPr>
            </w:pPr>
            <w:r>
              <w:rPr>
                <w:rFonts w:ascii="Arial" w:cs="Arial" w:eastAsia="Arial" w:hAnsi="Arial"/>
                <w:sz w:val="13"/>
                <w:szCs w:val="13"/>
                <w:color w:val="auto"/>
              </w:rPr>
              <w:t>60</w:t>
            </w:r>
          </w:p>
        </w:tc>
        <w:tc>
          <w:tcPr>
            <w:tcW w:w="1220" w:type="dxa"/>
            <w:vAlign w:val="bottom"/>
          </w:tcPr>
          <w:p>
            <w:pPr>
              <w:jc w:val="right"/>
              <w:ind w:right="135"/>
              <w:spacing w:after="0" w:line="144" w:lineRule="exact"/>
              <w:rPr>
                <w:sz w:val="20"/>
                <w:szCs w:val="20"/>
                <w:color w:val="auto"/>
              </w:rPr>
            </w:pPr>
            <w:r>
              <w:rPr>
                <w:rFonts w:ascii="Arial" w:cs="Arial" w:eastAsia="Arial" w:hAnsi="Arial"/>
                <w:sz w:val="13"/>
                <w:szCs w:val="13"/>
                <w:color w:val="auto"/>
              </w:rPr>
              <w:t>125</w:t>
            </w:r>
          </w:p>
        </w:tc>
        <w:tc>
          <w:tcPr>
            <w:tcW w:w="1120" w:type="dxa"/>
            <w:vAlign w:val="bottom"/>
          </w:tcPr>
          <w:p>
            <w:pPr>
              <w:jc w:val="right"/>
              <w:ind w:right="55"/>
              <w:spacing w:after="0" w:line="144" w:lineRule="exact"/>
              <w:rPr>
                <w:sz w:val="20"/>
                <w:szCs w:val="20"/>
                <w:color w:val="auto"/>
              </w:rPr>
            </w:pPr>
            <w:r>
              <w:rPr>
                <w:rFonts w:ascii="Arial" w:cs="Arial" w:eastAsia="Arial" w:hAnsi="Arial"/>
                <w:sz w:val="13"/>
                <w:szCs w:val="13"/>
                <w:color w:val="auto"/>
              </w:rPr>
              <w:t>134</w:t>
            </w:r>
          </w:p>
        </w:tc>
        <w:tc>
          <w:tcPr>
            <w:tcW w:w="26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980" w:type="dxa"/>
            <w:vAlign w:val="bottom"/>
          </w:tcPr>
          <w:p>
            <w:pPr>
              <w:jc w:val="right"/>
              <w:spacing w:after="0" w:line="144" w:lineRule="exact"/>
              <w:rPr>
                <w:sz w:val="20"/>
                <w:szCs w:val="20"/>
                <w:color w:val="auto"/>
              </w:rPr>
            </w:pPr>
            <w:r>
              <w:rPr>
                <w:rFonts w:ascii="Arial" w:cs="Arial" w:eastAsia="Arial" w:hAnsi="Arial"/>
                <w:sz w:val="13"/>
                <w:szCs w:val="13"/>
                <w:color w:val="auto"/>
              </w:rPr>
              <w:t>491</w:t>
            </w:r>
          </w:p>
        </w:tc>
      </w:tr>
      <w:tr>
        <w:trPr>
          <w:trHeight w:val="144"/>
        </w:trPr>
        <w:tc>
          <w:tcPr>
            <w:tcW w:w="20" w:type="dxa"/>
            <w:vAlign w:val="bottom"/>
          </w:tcPr>
          <w:p>
            <w:pPr>
              <w:spacing w:after="0"/>
              <w:rPr>
                <w:sz w:val="12"/>
                <w:szCs w:val="12"/>
                <w:color w:val="auto"/>
              </w:rPr>
            </w:pPr>
          </w:p>
        </w:tc>
        <w:tc>
          <w:tcPr>
            <w:tcW w:w="2600" w:type="dxa"/>
            <w:vAlign w:val="bottom"/>
            <w:shd w:val="clear" w:color="auto" w:fill="CCEEFF"/>
          </w:tcPr>
          <w:p>
            <w:pPr>
              <w:spacing w:after="0" w:line="144" w:lineRule="exact"/>
              <w:rPr>
                <w:sz w:val="20"/>
                <w:szCs w:val="20"/>
                <w:color w:val="auto"/>
              </w:rPr>
            </w:pPr>
            <w:r>
              <w:rPr>
                <w:rFonts w:ascii="Arial" w:cs="Arial" w:eastAsia="Arial" w:hAnsi="Arial"/>
                <w:sz w:val="11"/>
                <w:szCs w:val="11"/>
                <w:color w:val="auto"/>
              </w:rPr>
              <w:t xml:space="preserve">Basic earnings per share </w:t>
            </w:r>
            <w:r>
              <w:rPr>
                <w:rFonts w:ascii="Arial" w:cs="Arial" w:eastAsia="Arial" w:hAnsi="Arial"/>
                <w:sz w:val="16"/>
                <w:szCs w:val="16"/>
                <w:color w:val="auto"/>
                <w:vertAlign w:val="superscript"/>
              </w:rPr>
              <w:t>(5)</w:t>
            </w:r>
          </w:p>
        </w:tc>
        <w:tc>
          <w:tcPr>
            <w:tcW w:w="15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2600" w:type="dxa"/>
            <w:vAlign w:val="bottom"/>
          </w:tcPr>
          <w:p>
            <w:pPr>
              <w:jc w:val="right"/>
              <w:ind w:right="2178"/>
              <w:spacing w:after="0" w:line="144" w:lineRule="exact"/>
              <w:rPr>
                <w:sz w:val="20"/>
                <w:szCs w:val="20"/>
                <w:color w:val="auto"/>
              </w:rPr>
            </w:pPr>
            <w:r>
              <w:rPr>
                <w:rFonts w:ascii="Arial" w:cs="Arial" w:eastAsia="Arial" w:hAnsi="Arial"/>
                <w:sz w:val="13"/>
                <w:szCs w:val="13"/>
                <w:b w:val="1"/>
                <w:bCs w:val="1"/>
                <w:color w:val="auto"/>
              </w:rPr>
              <w:t>2020</w:t>
            </w:r>
          </w:p>
        </w:tc>
        <w:tc>
          <w:tcPr>
            <w:tcW w:w="1560" w:type="dxa"/>
            <w:vAlign w:val="bottom"/>
          </w:tcPr>
          <w:p>
            <w:pPr>
              <w:jc w:val="right"/>
              <w:ind w:right="95"/>
              <w:spacing w:after="0" w:line="144" w:lineRule="exact"/>
              <w:rPr>
                <w:sz w:val="20"/>
                <w:szCs w:val="20"/>
                <w:color w:val="auto"/>
              </w:rPr>
            </w:pPr>
            <w:r>
              <w:rPr>
                <w:rFonts w:ascii="Arial" w:cs="Arial" w:eastAsia="Arial" w:hAnsi="Arial"/>
                <w:sz w:val="13"/>
                <w:szCs w:val="13"/>
                <w:b w:val="1"/>
                <w:bCs w:val="1"/>
                <w:color w:val="auto"/>
              </w:rPr>
              <w:t>(1.06)</w:t>
            </w:r>
          </w:p>
        </w:tc>
        <w:tc>
          <w:tcPr>
            <w:tcW w:w="1200" w:type="dxa"/>
            <w:vAlign w:val="bottom"/>
          </w:tcPr>
          <w:p>
            <w:pPr>
              <w:jc w:val="right"/>
              <w:ind w:right="135"/>
              <w:spacing w:after="0" w:line="144" w:lineRule="exact"/>
              <w:rPr>
                <w:sz w:val="20"/>
                <w:szCs w:val="20"/>
                <w:color w:val="auto"/>
              </w:rPr>
            </w:pPr>
            <w:r>
              <w:rPr>
                <w:rFonts w:ascii="Arial" w:cs="Arial" w:eastAsia="Arial" w:hAnsi="Arial"/>
                <w:sz w:val="13"/>
                <w:szCs w:val="13"/>
                <w:b w:val="1"/>
                <w:bCs w:val="1"/>
                <w:color w:val="auto"/>
              </w:rPr>
              <w:t>0.43</w:t>
            </w:r>
          </w:p>
        </w:tc>
        <w:tc>
          <w:tcPr>
            <w:tcW w:w="1220" w:type="dxa"/>
            <w:vAlign w:val="bottom"/>
          </w:tcPr>
          <w:p>
            <w:pPr>
              <w:jc w:val="right"/>
              <w:ind w:right="135"/>
              <w:spacing w:after="0" w:line="144" w:lineRule="exact"/>
              <w:rPr>
                <w:sz w:val="20"/>
                <w:szCs w:val="20"/>
                <w:color w:val="auto"/>
              </w:rPr>
            </w:pPr>
            <w:r>
              <w:rPr>
                <w:rFonts w:ascii="Arial" w:cs="Arial" w:eastAsia="Arial" w:hAnsi="Arial"/>
                <w:sz w:val="13"/>
                <w:szCs w:val="13"/>
                <w:b w:val="1"/>
                <w:bCs w:val="1"/>
                <w:color w:val="auto"/>
              </w:rPr>
              <w:t>2.54</w:t>
            </w:r>
          </w:p>
        </w:tc>
        <w:tc>
          <w:tcPr>
            <w:tcW w:w="1120" w:type="dxa"/>
            <w:vAlign w:val="bottom"/>
          </w:tcPr>
          <w:p>
            <w:pPr>
              <w:jc w:val="right"/>
              <w:ind w:right="55"/>
              <w:spacing w:after="0" w:line="144" w:lineRule="exact"/>
              <w:rPr>
                <w:sz w:val="20"/>
                <w:szCs w:val="20"/>
                <w:color w:val="auto"/>
              </w:rPr>
            </w:pPr>
            <w:r>
              <w:rPr>
                <w:rFonts w:ascii="Arial" w:cs="Arial" w:eastAsia="Arial" w:hAnsi="Arial"/>
                <w:sz w:val="13"/>
                <w:szCs w:val="13"/>
                <w:b w:val="1"/>
                <w:bCs w:val="1"/>
                <w:color w:val="auto"/>
              </w:rPr>
              <w:t>1.18</w:t>
            </w:r>
          </w:p>
        </w:tc>
        <w:tc>
          <w:tcPr>
            <w:tcW w:w="26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w:t>
            </w:r>
          </w:p>
        </w:tc>
        <w:tc>
          <w:tcPr>
            <w:tcW w:w="980" w:type="dxa"/>
            <w:vAlign w:val="bottom"/>
          </w:tcPr>
          <w:p>
            <w:pPr>
              <w:jc w:val="right"/>
              <w:spacing w:after="0" w:line="144" w:lineRule="exact"/>
              <w:rPr>
                <w:sz w:val="20"/>
                <w:szCs w:val="20"/>
                <w:color w:val="auto"/>
              </w:rPr>
            </w:pPr>
            <w:r>
              <w:rPr>
                <w:rFonts w:ascii="Arial" w:cs="Arial" w:eastAsia="Arial" w:hAnsi="Arial"/>
                <w:sz w:val="13"/>
                <w:szCs w:val="13"/>
                <w:b w:val="1"/>
                <w:bCs w:val="1"/>
                <w:color w:val="auto"/>
              </w:rPr>
              <w:t>3.10</w:t>
            </w:r>
          </w:p>
        </w:tc>
      </w:tr>
      <w:tr>
        <w:trPr>
          <w:trHeight w:val="144"/>
        </w:trPr>
        <w:tc>
          <w:tcPr>
            <w:tcW w:w="20" w:type="dxa"/>
            <w:vAlign w:val="bottom"/>
          </w:tcPr>
          <w:p>
            <w:pPr>
              <w:spacing w:after="0"/>
              <w:rPr>
                <w:sz w:val="12"/>
                <w:szCs w:val="12"/>
                <w:color w:val="auto"/>
              </w:rPr>
            </w:pPr>
          </w:p>
        </w:tc>
        <w:tc>
          <w:tcPr>
            <w:tcW w:w="2600" w:type="dxa"/>
            <w:vAlign w:val="bottom"/>
            <w:shd w:val="clear" w:color="auto" w:fill="CCEEFF"/>
          </w:tcPr>
          <w:p>
            <w:pPr>
              <w:jc w:val="right"/>
              <w:ind w:right="2178"/>
              <w:spacing w:after="0" w:line="144" w:lineRule="exact"/>
              <w:rPr>
                <w:sz w:val="20"/>
                <w:szCs w:val="20"/>
                <w:color w:val="auto"/>
              </w:rPr>
            </w:pPr>
            <w:r>
              <w:rPr>
                <w:rFonts w:ascii="Arial" w:cs="Arial" w:eastAsia="Arial" w:hAnsi="Arial"/>
                <w:sz w:val="13"/>
                <w:szCs w:val="13"/>
                <w:color w:val="auto"/>
              </w:rPr>
              <w:t>2019</w:t>
            </w:r>
          </w:p>
        </w:tc>
        <w:tc>
          <w:tcPr>
            <w:tcW w:w="1560" w:type="dxa"/>
            <w:vAlign w:val="bottom"/>
            <w:shd w:val="clear" w:color="auto" w:fill="CCEEFF"/>
          </w:tcPr>
          <w:p>
            <w:pPr>
              <w:jc w:val="right"/>
              <w:ind w:right="135"/>
              <w:spacing w:after="0" w:line="144" w:lineRule="exact"/>
              <w:rPr>
                <w:sz w:val="20"/>
                <w:szCs w:val="20"/>
                <w:color w:val="auto"/>
              </w:rPr>
            </w:pPr>
            <w:r>
              <w:rPr>
                <w:rFonts w:ascii="Arial" w:cs="Arial" w:eastAsia="Arial" w:hAnsi="Arial"/>
                <w:sz w:val="13"/>
                <w:szCs w:val="13"/>
                <w:color w:val="auto"/>
              </w:rPr>
              <w:t>1.53</w:t>
            </w:r>
          </w:p>
        </w:tc>
        <w:tc>
          <w:tcPr>
            <w:tcW w:w="1200" w:type="dxa"/>
            <w:vAlign w:val="bottom"/>
            <w:shd w:val="clear" w:color="auto" w:fill="CCEEFF"/>
          </w:tcPr>
          <w:p>
            <w:pPr>
              <w:jc w:val="right"/>
              <w:ind w:right="135"/>
              <w:spacing w:after="0" w:line="144" w:lineRule="exact"/>
              <w:rPr>
                <w:sz w:val="20"/>
                <w:szCs w:val="20"/>
                <w:color w:val="auto"/>
              </w:rPr>
            </w:pPr>
            <w:r>
              <w:rPr>
                <w:rFonts w:ascii="Arial" w:cs="Arial" w:eastAsia="Arial" w:hAnsi="Arial"/>
                <w:sz w:val="13"/>
                <w:szCs w:val="13"/>
                <w:color w:val="auto"/>
              </w:rPr>
              <w:t>0.55</w:t>
            </w:r>
          </w:p>
        </w:tc>
        <w:tc>
          <w:tcPr>
            <w:tcW w:w="1220" w:type="dxa"/>
            <w:vAlign w:val="bottom"/>
            <w:shd w:val="clear" w:color="auto" w:fill="CCEEFF"/>
          </w:tcPr>
          <w:p>
            <w:pPr>
              <w:jc w:val="right"/>
              <w:ind w:right="135"/>
              <w:spacing w:after="0" w:line="144" w:lineRule="exact"/>
              <w:rPr>
                <w:sz w:val="20"/>
                <w:szCs w:val="20"/>
                <w:color w:val="auto"/>
              </w:rPr>
            </w:pPr>
            <w:r>
              <w:rPr>
                <w:rFonts w:ascii="Arial" w:cs="Arial" w:eastAsia="Arial" w:hAnsi="Arial"/>
                <w:sz w:val="13"/>
                <w:szCs w:val="13"/>
                <w:color w:val="auto"/>
              </w:rPr>
              <w:t>1.16</w:t>
            </w:r>
          </w:p>
        </w:tc>
        <w:tc>
          <w:tcPr>
            <w:tcW w:w="112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color w:val="auto"/>
              </w:rPr>
              <w:t>1.28</w:t>
            </w:r>
          </w:p>
        </w:tc>
        <w:tc>
          <w:tcPr>
            <w:tcW w:w="2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color w:val="auto"/>
              </w:rPr>
              <w:t>4.52</w:t>
            </w:r>
          </w:p>
        </w:tc>
      </w:tr>
      <w:tr>
        <w:trPr>
          <w:trHeight w:val="144"/>
        </w:trPr>
        <w:tc>
          <w:tcPr>
            <w:tcW w:w="20" w:type="dxa"/>
            <w:vAlign w:val="bottom"/>
          </w:tcPr>
          <w:p>
            <w:pPr>
              <w:spacing w:after="0"/>
              <w:rPr>
                <w:sz w:val="12"/>
                <w:szCs w:val="12"/>
                <w:color w:val="auto"/>
              </w:rPr>
            </w:pPr>
          </w:p>
        </w:tc>
        <w:tc>
          <w:tcPr>
            <w:tcW w:w="2600" w:type="dxa"/>
            <w:vAlign w:val="bottom"/>
          </w:tcPr>
          <w:p>
            <w:pPr>
              <w:spacing w:after="0" w:line="144" w:lineRule="exact"/>
              <w:rPr>
                <w:sz w:val="20"/>
                <w:szCs w:val="20"/>
                <w:color w:val="auto"/>
              </w:rPr>
            </w:pPr>
            <w:r>
              <w:rPr>
                <w:rFonts w:ascii="Arial" w:cs="Arial" w:eastAsia="Arial" w:hAnsi="Arial"/>
                <w:sz w:val="11"/>
                <w:szCs w:val="11"/>
                <w:color w:val="auto"/>
              </w:rPr>
              <w:t xml:space="preserve">Diluted earnings per share </w:t>
            </w:r>
            <w:r>
              <w:rPr>
                <w:rFonts w:ascii="Arial" w:cs="Arial" w:eastAsia="Arial" w:hAnsi="Arial"/>
                <w:sz w:val="16"/>
                <w:szCs w:val="16"/>
                <w:color w:val="auto"/>
                <w:vertAlign w:val="superscript"/>
              </w:rPr>
              <w:t>(5)</w:t>
            </w:r>
          </w:p>
        </w:tc>
        <w:tc>
          <w:tcPr>
            <w:tcW w:w="15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2600" w:type="dxa"/>
            <w:vAlign w:val="bottom"/>
            <w:shd w:val="clear" w:color="auto" w:fill="CCEEFF"/>
          </w:tcPr>
          <w:p>
            <w:pPr>
              <w:jc w:val="right"/>
              <w:ind w:right="2178"/>
              <w:spacing w:after="0" w:line="144" w:lineRule="exact"/>
              <w:rPr>
                <w:sz w:val="20"/>
                <w:szCs w:val="20"/>
                <w:color w:val="auto"/>
              </w:rPr>
            </w:pPr>
            <w:r>
              <w:rPr>
                <w:rFonts w:ascii="Arial" w:cs="Arial" w:eastAsia="Arial" w:hAnsi="Arial"/>
                <w:sz w:val="13"/>
                <w:szCs w:val="13"/>
                <w:b w:val="1"/>
                <w:bCs w:val="1"/>
                <w:color w:val="auto"/>
              </w:rPr>
              <w:t>2020</w:t>
            </w:r>
          </w:p>
        </w:tc>
        <w:tc>
          <w:tcPr>
            <w:tcW w:w="1560" w:type="dxa"/>
            <w:vAlign w:val="bottom"/>
            <w:shd w:val="clear" w:color="auto" w:fill="CCEEFF"/>
          </w:tcPr>
          <w:p>
            <w:pPr>
              <w:jc w:val="right"/>
              <w:ind w:right="95"/>
              <w:spacing w:after="0" w:line="144" w:lineRule="exact"/>
              <w:rPr>
                <w:sz w:val="20"/>
                <w:szCs w:val="20"/>
                <w:color w:val="auto"/>
              </w:rPr>
            </w:pPr>
            <w:r>
              <w:rPr>
                <w:rFonts w:ascii="Arial" w:cs="Arial" w:eastAsia="Arial" w:hAnsi="Arial"/>
                <w:sz w:val="13"/>
                <w:szCs w:val="13"/>
                <w:b w:val="1"/>
                <w:bCs w:val="1"/>
                <w:color w:val="auto"/>
              </w:rPr>
              <w:t>(1.06)</w:t>
            </w:r>
          </w:p>
        </w:tc>
        <w:tc>
          <w:tcPr>
            <w:tcW w:w="1200" w:type="dxa"/>
            <w:vAlign w:val="bottom"/>
            <w:shd w:val="clear" w:color="auto" w:fill="CCEEFF"/>
          </w:tcPr>
          <w:p>
            <w:pPr>
              <w:jc w:val="right"/>
              <w:ind w:right="135"/>
              <w:spacing w:after="0" w:line="144" w:lineRule="exact"/>
              <w:rPr>
                <w:sz w:val="20"/>
                <w:szCs w:val="20"/>
                <w:color w:val="auto"/>
              </w:rPr>
            </w:pPr>
            <w:r>
              <w:rPr>
                <w:rFonts w:ascii="Arial" w:cs="Arial" w:eastAsia="Arial" w:hAnsi="Arial"/>
                <w:sz w:val="13"/>
                <w:szCs w:val="13"/>
                <w:b w:val="1"/>
                <w:bCs w:val="1"/>
                <w:color w:val="auto"/>
              </w:rPr>
              <w:t>0.43</w:t>
            </w:r>
          </w:p>
        </w:tc>
        <w:tc>
          <w:tcPr>
            <w:tcW w:w="1220" w:type="dxa"/>
            <w:vAlign w:val="bottom"/>
            <w:shd w:val="clear" w:color="auto" w:fill="CCEEFF"/>
          </w:tcPr>
          <w:p>
            <w:pPr>
              <w:jc w:val="right"/>
              <w:ind w:right="135"/>
              <w:spacing w:after="0" w:line="144" w:lineRule="exact"/>
              <w:rPr>
                <w:sz w:val="20"/>
                <w:szCs w:val="20"/>
                <w:color w:val="auto"/>
              </w:rPr>
            </w:pPr>
            <w:r>
              <w:rPr>
                <w:rFonts w:ascii="Arial" w:cs="Arial" w:eastAsia="Arial" w:hAnsi="Arial"/>
                <w:sz w:val="13"/>
                <w:szCs w:val="13"/>
                <w:b w:val="1"/>
                <w:bCs w:val="1"/>
                <w:color w:val="auto"/>
              </w:rPr>
              <w:t>2.52</w:t>
            </w:r>
          </w:p>
        </w:tc>
        <w:tc>
          <w:tcPr>
            <w:tcW w:w="1120" w:type="dxa"/>
            <w:vAlign w:val="bottom"/>
            <w:shd w:val="clear" w:color="auto" w:fill="CCEEFF"/>
          </w:tcPr>
          <w:p>
            <w:pPr>
              <w:jc w:val="right"/>
              <w:ind w:right="55"/>
              <w:spacing w:after="0" w:line="144" w:lineRule="exact"/>
              <w:rPr>
                <w:sz w:val="20"/>
                <w:szCs w:val="20"/>
                <w:color w:val="auto"/>
              </w:rPr>
            </w:pPr>
            <w:r>
              <w:rPr>
                <w:rFonts w:ascii="Arial" w:cs="Arial" w:eastAsia="Arial" w:hAnsi="Arial"/>
                <w:sz w:val="13"/>
                <w:szCs w:val="13"/>
                <w:b w:val="1"/>
                <w:bCs w:val="1"/>
                <w:color w:val="auto"/>
              </w:rPr>
              <w:t>1.17</w:t>
            </w:r>
          </w:p>
        </w:tc>
        <w:tc>
          <w:tcPr>
            <w:tcW w:w="26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w:t>
            </w:r>
          </w:p>
        </w:tc>
        <w:tc>
          <w:tcPr>
            <w:tcW w:w="980" w:type="dxa"/>
            <w:vAlign w:val="bottom"/>
            <w:shd w:val="clear" w:color="auto" w:fill="CCEEFF"/>
          </w:tcPr>
          <w:p>
            <w:pPr>
              <w:jc w:val="right"/>
              <w:spacing w:after="0" w:line="144" w:lineRule="exact"/>
              <w:rPr>
                <w:sz w:val="20"/>
                <w:szCs w:val="20"/>
                <w:color w:val="auto"/>
              </w:rPr>
            </w:pPr>
            <w:r>
              <w:rPr>
                <w:rFonts w:ascii="Arial" w:cs="Arial" w:eastAsia="Arial" w:hAnsi="Arial"/>
                <w:sz w:val="13"/>
                <w:szCs w:val="13"/>
                <w:b w:val="1"/>
                <w:bCs w:val="1"/>
                <w:color w:val="auto"/>
              </w:rPr>
              <w:t>3.08</w:t>
            </w:r>
          </w:p>
        </w:tc>
      </w:tr>
      <w:tr>
        <w:trPr>
          <w:trHeight w:val="144"/>
        </w:trPr>
        <w:tc>
          <w:tcPr>
            <w:tcW w:w="20" w:type="dxa"/>
            <w:vAlign w:val="bottom"/>
          </w:tcPr>
          <w:p>
            <w:pPr>
              <w:spacing w:after="0"/>
              <w:rPr>
                <w:sz w:val="12"/>
                <w:szCs w:val="12"/>
                <w:color w:val="auto"/>
              </w:rPr>
            </w:pPr>
          </w:p>
        </w:tc>
        <w:tc>
          <w:tcPr>
            <w:tcW w:w="2600" w:type="dxa"/>
            <w:vAlign w:val="bottom"/>
            <w:tcBorders>
              <w:bottom w:val="single" w:sz="8" w:color="auto"/>
            </w:tcBorders>
          </w:tcPr>
          <w:p>
            <w:pPr>
              <w:jc w:val="right"/>
              <w:ind w:right="2178"/>
              <w:spacing w:after="0" w:line="144" w:lineRule="exact"/>
              <w:rPr>
                <w:sz w:val="20"/>
                <w:szCs w:val="20"/>
                <w:color w:val="auto"/>
              </w:rPr>
            </w:pPr>
            <w:r>
              <w:rPr>
                <w:rFonts w:ascii="Arial" w:cs="Arial" w:eastAsia="Arial" w:hAnsi="Arial"/>
                <w:sz w:val="13"/>
                <w:szCs w:val="13"/>
                <w:color w:val="auto"/>
              </w:rPr>
              <w:t>2019</w:t>
            </w:r>
          </w:p>
        </w:tc>
        <w:tc>
          <w:tcPr>
            <w:tcW w:w="1560" w:type="dxa"/>
            <w:vAlign w:val="bottom"/>
            <w:tcBorders>
              <w:bottom w:val="single" w:sz="8" w:color="auto"/>
            </w:tcBorders>
          </w:tcPr>
          <w:p>
            <w:pPr>
              <w:jc w:val="right"/>
              <w:ind w:right="135"/>
              <w:spacing w:after="0" w:line="144" w:lineRule="exact"/>
              <w:rPr>
                <w:sz w:val="20"/>
                <w:szCs w:val="20"/>
                <w:color w:val="auto"/>
              </w:rPr>
            </w:pPr>
            <w:r>
              <w:rPr>
                <w:rFonts w:ascii="Arial" w:cs="Arial" w:eastAsia="Arial" w:hAnsi="Arial"/>
                <w:sz w:val="13"/>
                <w:szCs w:val="13"/>
                <w:color w:val="auto"/>
              </w:rPr>
              <w:t>1.52</w:t>
            </w:r>
          </w:p>
        </w:tc>
        <w:tc>
          <w:tcPr>
            <w:tcW w:w="1200" w:type="dxa"/>
            <w:vAlign w:val="bottom"/>
            <w:tcBorders>
              <w:bottom w:val="single" w:sz="8" w:color="auto"/>
            </w:tcBorders>
          </w:tcPr>
          <w:p>
            <w:pPr>
              <w:jc w:val="right"/>
              <w:ind w:right="135"/>
              <w:spacing w:after="0" w:line="144" w:lineRule="exact"/>
              <w:rPr>
                <w:sz w:val="20"/>
                <w:szCs w:val="20"/>
                <w:color w:val="auto"/>
              </w:rPr>
            </w:pPr>
            <w:r>
              <w:rPr>
                <w:rFonts w:ascii="Arial" w:cs="Arial" w:eastAsia="Arial" w:hAnsi="Arial"/>
                <w:sz w:val="13"/>
                <w:szCs w:val="13"/>
                <w:color w:val="auto"/>
              </w:rPr>
              <w:t>0.55</w:t>
            </w:r>
          </w:p>
        </w:tc>
        <w:tc>
          <w:tcPr>
            <w:tcW w:w="1220" w:type="dxa"/>
            <w:vAlign w:val="bottom"/>
            <w:tcBorders>
              <w:bottom w:val="single" w:sz="8" w:color="auto"/>
            </w:tcBorders>
          </w:tcPr>
          <w:p>
            <w:pPr>
              <w:jc w:val="right"/>
              <w:ind w:right="135"/>
              <w:spacing w:after="0" w:line="144" w:lineRule="exact"/>
              <w:rPr>
                <w:sz w:val="20"/>
                <w:szCs w:val="20"/>
                <w:color w:val="auto"/>
              </w:rPr>
            </w:pPr>
            <w:r>
              <w:rPr>
                <w:rFonts w:ascii="Arial" w:cs="Arial" w:eastAsia="Arial" w:hAnsi="Arial"/>
                <w:sz w:val="13"/>
                <w:szCs w:val="13"/>
                <w:color w:val="auto"/>
              </w:rPr>
              <w:t>1.16</w:t>
            </w:r>
          </w:p>
        </w:tc>
        <w:tc>
          <w:tcPr>
            <w:tcW w:w="1120" w:type="dxa"/>
            <w:vAlign w:val="bottom"/>
            <w:tcBorders>
              <w:bottom w:val="single" w:sz="8" w:color="auto"/>
            </w:tcBorders>
          </w:tcPr>
          <w:p>
            <w:pPr>
              <w:jc w:val="right"/>
              <w:ind w:right="55"/>
              <w:spacing w:after="0" w:line="144" w:lineRule="exact"/>
              <w:rPr>
                <w:sz w:val="20"/>
                <w:szCs w:val="20"/>
                <w:color w:val="auto"/>
              </w:rPr>
            </w:pPr>
            <w:r>
              <w:rPr>
                <w:rFonts w:ascii="Arial" w:cs="Arial" w:eastAsia="Arial" w:hAnsi="Arial"/>
                <w:sz w:val="13"/>
                <w:szCs w:val="13"/>
                <w:color w:val="auto"/>
              </w:rPr>
              <w:t>1.27</w:t>
            </w:r>
          </w:p>
        </w:tc>
        <w:tc>
          <w:tcPr>
            <w:tcW w:w="26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3"/>
                <w:szCs w:val="13"/>
                <w:color w:val="auto"/>
              </w:rPr>
              <w:t>4.50</w:t>
            </w:r>
          </w:p>
        </w:tc>
      </w:tr>
    </w:tbl>
    <w:p>
      <w:pPr>
        <w:spacing w:after="0" w:line="112" w:lineRule="exact"/>
        <w:rPr>
          <w:sz w:val="20"/>
          <w:szCs w:val="20"/>
          <w:color w:val="auto"/>
        </w:rPr>
      </w:pPr>
    </w:p>
    <w:p>
      <w:pPr>
        <w:jc w:val="both"/>
        <w:ind w:left="280" w:right="59" w:hanging="250"/>
        <w:spacing w:after="0" w:line="243" w:lineRule="auto"/>
        <w:tabs>
          <w:tab w:leader="none" w:pos="280" w:val="left"/>
        </w:tabs>
        <w:numPr>
          <w:ilvl w:val="0"/>
          <w:numId w:val="28"/>
        </w:numPr>
        <w:rPr>
          <w:rFonts w:ascii="Arial" w:cs="Arial" w:eastAsia="Arial" w:hAnsi="Arial"/>
          <w:sz w:val="10"/>
          <w:szCs w:val="10"/>
          <w:color w:val="auto"/>
        </w:rPr>
      </w:pPr>
      <w:r>
        <w:rPr>
          <w:rFonts w:ascii="Arial" w:cs="Arial" w:eastAsia="Arial" w:hAnsi="Arial"/>
          <w:sz w:val="10"/>
          <w:szCs w:val="10"/>
          <w:color w:val="auto"/>
        </w:rPr>
        <w:t>Gross margin represents sales less cost of sales. Cost of sales includes: the cost of merchandise, freight, distribution costs including related depreciation expense, shipping and handling, occupancy and buyers’ compensation. Occupancy costs include rent (including fixed common area maintenance charges and other fixed non-lease components), real estate taxes, general maintenance, and utilities.</w:t>
      </w:r>
    </w:p>
    <w:p>
      <w:pPr>
        <w:spacing w:after="0" w:line="19" w:lineRule="exact"/>
        <w:rPr>
          <w:rFonts w:ascii="Arial" w:cs="Arial" w:eastAsia="Arial" w:hAnsi="Arial"/>
          <w:sz w:val="10"/>
          <w:szCs w:val="10"/>
          <w:color w:val="auto"/>
        </w:rPr>
      </w:pPr>
    </w:p>
    <w:p>
      <w:pPr>
        <w:ind w:left="280" w:hanging="250"/>
        <w:spacing w:after="0"/>
        <w:tabs>
          <w:tab w:leader="none" w:pos="280" w:val="left"/>
        </w:tabs>
        <w:numPr>
          <w:ilvl w:val="0"/>
          <w:numId w:val="28"/>
        </w:numPr>
        <w:rPr>
          <w:rFonts w:ascii="Arial" w:cs="Arial" w:eastAsia="Arial" w:hAnsi="Arial"/>
          <w:sz w:val="10"/>
          <w:szCs w:val="10"/>
          <w:color w:val="auto"/>
        </w:rPr>
      </w:pPr>
      <w:r>
        <w:rPr>
          <w:rFonts w:ascii="Arial" w:cs="Arial" w:eastAsia="Arial" w:hAnsi="Arial"/>
          <w:sz w:val="10"/>
          <w:szCs w:val="10"/>
          <w:color w:val="auto"/>
        </w:rPr>
        <w:t>Operating profit represents income before income taxes, net interest income and non-operating income.</w:t>
      </w:r>
    </w:p>
    <w:p>
      <w:pPr>
        <w:spacing w:after="0" w:line="28" w:lineRule="exact"/>
        <w:rPr>
          <w:rFonts w:ascii="Arial" w:cs="Arial" w:eastAsia="Arial" w:hAnsi="Arial"/>
          <w:sz w:val="10"/>
          <w:szCs w:val="10"/>
          <w:color w:val="auto"/>
        </w:rPr>
      </w:pPr>
    </w:p>
    <w:p>
      <w:pPr>
        <w:ind w:left="280" w:right="59" w:hanging="250"/>
        <w:spacing w:after="0" w:line="246" w:lineRule="auto"/>
        <w:tabs>
          <w:tab w:leader="none" w:pos="280" w:val="left"/>
        </w:tabs>
        <w:numPr>
          <w:ilvl w:val="0"/>
          <w:numId w:val="28"/>
        </w:numPr>
        <w:rPr>
          <w:rFonts w:ascii="Arial" w:cs="Arial" w:eastAsia="Arial" w:hAnsi="Arial"/>
          <w:sz w:val="10"/>
          <w:szCs w:val="10"/>
          <w:color w:val="auto"/>
        </w:rPr>
      </w:pPr>
      <w:r>
        <w:rPr>
          <w:rFonts w:ascii="Arial" w:cs="Arial" w:eastAsia="Arial" w:hAnsi="Arial"/>
          <w:sz w:val="10"/>
          <w:szCs w:val="10"/>
          <w:color w:val="auto"/>
        </w:rPr>
        <w:t xml:space="preserve">During the first and fourth quarters of 2020, we recorded impairment charges totaling $15 million and $66 million, respectively. During the fourth quarter of 2019, we recorded impairment charges of $48 million. See Note 3, </w:t>
      </w:r>
      <w:r>
        <w:rPr>
          <w:rFonts w:ascii="Arial" w:cs="Arial" w:eastAsia="Arial" w:hAnsi="Arial"/>
          <w:sz w:val="10"/>
          <w:szCs w:val="10"/>
          <w:i w:val="1"/>
          <w:iCs w:val="1"/>
          <w:color w:val="auto"/>
        </w:rPr>
        <w:t>Impairment and Other Charges</w:t>
      </w:r>
      <w:r>
        <w:rPr>
          <w:rFonts w:ascii="Arial" w:cs="Arial" w:eastAsia="Arial" w:hAnsi="Arial"/>
          <w:sz w:val="10"/>
          <w:szCs w:val="10"/>
          <w:color w:val="auto"/>
        </w:rPr>
        <w:t xml:space="preserve"> for additional information.</w:t>
      </w:r>
    </w:p>
    <w:p>
      <w:pPr>
        <w:ind w:left="280" w:hanging="250"/>
        <w:spacing w:after="0"/>
        <w:tabs>
          <w:tab w:leader="none" w:pos="280" w:val="left"/>
        </w:tabs>
        <w:numPr>
          <w:ilvl w:val="0"/>
          <w:numId w:val="28"/>
        </w:numPr>
        <w:rPr>
          <w:rFonts w:ascii="Arial" w:cs="Arial" w:eastAsia="Arial" w:hAnsi="Arial"/>
          <w:sz w:val="10"/>
          <w:szCs w:val="10"/>
          <w:color w:val="auto"/>
        </w:rPr>
      </w:pPr>
      <w:r>
        <w:rPr>
          <w:rFonts w:ascii="Arial" w:cs="Arial" w:eastAsia="Arial" w:hAnsi="Arial"/>
          <w:sz w:val="10"/>
          <w:szCs w:val="10"/>
          <w:color w:val="auto"/>
        </w:rPr>
        <w:t xml:space="preserve">During the third quarter of 2020, we recorded a benefit of $190 million from one of our minority investments. See Note 4, </w:t>
      </w:r>
      <w:r>
        <w:rPr>
          <w:rFonts w:ascii="Arial" w:cs="Arial" w:eastAsia="Arial" w:hAnsi="Arial"/>
          <w:sz w:val="10"/>
          <w:szCs w:val="10"/>
          <w:i w:val="1"/>
          <w:iCs w:val="1"/>
          <w:color w:val="auto"/>
        </w:rPr>
        <w:t>Other Income</w:t>
      </w:r>
      <w:r>
        <w:rPr>
          <w:rFonts w:ascii="Arial" w:cs="Arial" w:eastAsia="Arial" w:hAnsi="Arial"/>
          <w:sz w:val="10"/>
          <w:szCs w:val="10"/>
          <w:color w:val="auto"/>
        </w:rPr>
        <w:t xml:space="preserve"> for further information.</w:t>
      </w:r>
    </w:p>
    <w:p>
      <w:pPr>
        <w:spacing w:after="0" w:line="38" w:lineRule="exact"/>
        <w:rPr>
          <w:rFonts w:ascii="Arial" w:cs="Arial" w:eastAsia="Arial" w:hAnsi="Arial"/>
          <w:sz w:val="10"/>
          <w:szCs w:val="10"/>
          <w:color w:val="auto"/>
        </w:rPr>
      </w:pPr>
    </w:p>
    <w:p>
      <w:pPr>
        <w:ind w:left="280" w:hanging="250"/>
        <w:spacing w:after="0"/>
        <w:tabs>
          <w:tab w:leader="none" w:pos="280" w:val="left"/>
        </w:tabs>
        <w:numPr>
          <w:ilvl w:val="0"/>
          <w:numId w:val="28"/>
        </w:numPr>
        <w:rPr>
          <w:rFonts w:ascii="Arial" w:cs="Arial" w:eastAsia="Arial" w:hAnsi="Arial"/>
          <w:sz w:val="10"/>
          <w:szCs w:val="10"/>
          <w:color w:val="auto"/>
        </w:rPr>
      </w:pPr>
      <w:r>
        <w:rPr>
          <w:rFonts w:ascii="Arial" w:cs="Arial" w:eastAsia="Arial" w:hAnsi="Arial"/>
          <w:sz w:val="10"/>
          <w:szCs w:val="10"/>
          <w:color w:val="auto"/>
        </w:rPr>
        <w:t>Quarterly income per share amounts may not total to the annual amount due to changes in weighted-average shares outstanding during the year.</w:t>
      </w:r>
    </w:p>
    <w:p>
      <w:pPr>
        <w:spacing w:after="0" w:line="200" w:lineRule="exact"/>
        <w:rPr>
          <w:sz w:val="20"/>
          <w:szCs w:val="20"/>
          <w:color w:val="auto"/>
        </w:rPr>
      </w:pPr>
    </w:p>
    <w:p>
      <w:pPr>
        <w:spacing w:after="0" w:line="204" w:lineRule="exact"/>
        <w:rPr>
          <w:sz w:val="20"/>
          <w:szCs w:val="20"/>
          <w:color w:val="auto"/>
        </w:rPr>
      </w:pPr>
    </w:p>
    <w:p>
      <w:pPr>
        <w:ind w:left="7520"/>
        <w:spacing w:after="0"/>
        <w:rPr>
          <w:sz w:val="20"/>
          <w:szCs w:val="20"/>
          <w:color w:val="auto"/>
        </w:rPr>
      </w:pPr>
      <w:r>
        <w:rPr>
          <w:rFonts w:ascii="Arial" w:cs="Arial" w:eastAsia="Arial" w:hAnsi="Arial"/>
          <w:sz w:val="12"/>
          <w:szCs w:val="12"/>
          <w:color w:val="auto"/>
        </w:rPr>
        <w:t>2020 Form 10-K Page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365125</wp:posOffset>
            </wp:positionV>
            <wp:extent cx="5680075" cy="133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80075" cy="13335"/>
                    </a:xfrm>
                    <a:prstGeom prst="rect">
                      <a:avLst/>
                    </a:prstGeom>
                    <a:noFill/>
                  </pic:spPr>
                </pic:pic>
              </a:graphicData>
            </a:graphic>
          </wp:anchor>
        </w:drawing>
      </w:r>
    </w:p>
    <w:p>
      <w:pPr>
        <w:sectPr>
          <w:pgSz w:w="11900" w:h="16838" w:orient="portrait"/>
          <w:cols w:equalWidth="0" w:num="1">
            <w:col w:w="9019"/>
          </w:cols>
          <w:pgMar w:left="1440" w:top="995" w:right="1440" w:bottom="1440" w:gutter="0" w:footer="0" w:header="0"/>
        </w:sectPr>
      </w:pPr>
    </w:p>
    <w:bookmarkStart w:id="76" w:name="page77"/>
    <w:bookmarkEnd w:id="76"/>
    <w:p>
      <w:pPr>
        <w:ind w:left="20"/>
        <w:spacing w:after="0"/>
        <w:rPr>
          <w:sz w:val="20"/>
          <w:szCs w:val="20"/>
          <w:color w:val="auto"/>
        </w:rPr>
      </w:pPr>
      <w:r>
        <w:rPr>
          <w:rFonts w:ascii="Arial" w:cs="Arial" w:eastAsia="Arial" w:hAnsi="Arial"/>
          <w:sz w:val="13"/>
          <w:szCs w:val="13"/>
          <w:b w:val="1"/>
          <w:bCs w:val="1"/>
          <w:color w:val="auto"/>
        </w:rPr>
        <w:t>Item 9. Changes in and Disagreements with Accountants on Accounting and Financial Disclosure</w:t>
      </w:r>
    </w:p>
    <w:p>
      <w:pPr>
        <w:spacing w:after="0" w:line="174" w:lineRule="exact"/>
        <w:rPr>
          <w:sz w:val="20"/>
          <w:szCs w:val="20"/>
          <w:color w:val="auto"/>
        </w:rPr>
      </w:pPr>
    </w:p>
    <w:p>
      <w:pPr>
        <w:ind w:left="20" w:right="79"/>
        <w:spacing w:after="0" w:line="436" w:lineRule="auto"/>
        <w:rPr>
          <w:sz w:val="20"/>
          <w:szCs w:val="20"/>
          <w:color w:val="auto"/>
        </w:rPr>
      </w:pPr>
      <w:r>
        <w:rPr>
          <w:rFonts w:ascii="Arial" w:cs="Arial" w:eastAsia="Arial" w:hAnsi="Arial"/>
          <w:sz w:val="13"/>
          <w:szCs w:val="13"/>
          <w:color w:val="auto"/>
        </w:rPr>
        <w:t xml:space="preserve">There were no disagreements between the Company and its independent registered public accounting firm on matters of accounting principles or practices. </w:t>
      </w:r>
      <w:r>
        <w:rPr>
          <w:rFonts w:ascii="Arial" w:cs="Arial" w:eastAsia="Arial" w:hAnsi="Arial"/>
          <w:sz w:val="13"/>
          <w:szCs w:val="13"/>
          <w:b w:val="1"/>
          <w:bCs w:val="1"/>
          <w:i w:val="1"/>
          <w:iCs w:val="1"/>
          <w:color w:val="auto"/>
        </w:rPr>
        <w:t>Item 9A. Controls and Procedures</w:t>
      </w:r>
    </w:p>
    <w:p>
      <w:pPr>
        <w:ind w:left="540" w:hanging="243"/>
        <w:spacing w:after="0" w:line="232" w:lineRule="auto"/>
        <w:tabs>
          <w:tab w:leader="none" w:pos="540" w:val="left"/>
        </w:tabs>
        <w:numPr>
          <w:ilvl w:val="0"/>
          <w:numId w:val="29"/>
        </w:numPr>
        <w:rPr>
          <w:rFonts w:ascii="Arial" w:cs="Arial" w:eastAsia="Arial" w:hAnsi="Arial"/>
          <w:sz w:val="14"/>
          <w:szCs w:val="14"/>
          <w:color w:val="auto"/>
        </w:rPr>
      </w:pPr>
      <w:r>
        <w:rPr>
          <w:rFonts w:ascii="Arial" w:cs="Arial" w:eastAsia="Arial" w:hAnsi="Arial"/>
          <w:sz w:val="13"/>
          <w:szCs w:val="13"/>
          <w:color w:val="auto"/>
        </w:rPr>
        <w:t>Evaluation of Disclosure Controls and Procedures.</w:t>
      </w:r>
    </w:p>
    <w:p>
      <w:pPr>
        <w:spacing w:after="0" w:line="132" w:lineRule="exact"/>
        <w:rPr>
          <w:sz w:val="20"/>
          <w:szCs w:val="20"/>
          <w:color w:val="auto"/>
        </w:rPr>
      </w:pPr>
    </w:p>
    <w:p>
      <w:pPr>
        <w:jc w:val="both"/>
        <w:ind w:left="520" w:right="39"/>
        <w:spacing w:after="0" w:line="233" w:lineRule="auto"/>
        <w:rPr>
          <w:sz w:val="20"/>
          <w:szCs w:val="20"/>
          <w:color w:val="auto"/>
        </w:rPr>
      </w:pPr>
      <w:r>
        <w:rPr>
          <w:rFonts w:ascii="Arial" w:cs="Arial" w:eastAsia="Arial" w:hAnsi="Arial"/>
          <w:sz w:val="13"/>
          <w:szCs w:val="13"/>
          <w:color w:val="auto"/>
        </w:rPr>
        <w:t>The Company’s management performed an evaluation, under the supervision and with the participation of the Company’s Chief Executive Officer (“CEO”) and Chief Financial Officer (“CFO”), of the effectiveness of the design and operation of the Company’s disclosure controls and procedures (as that term is defined in Rules 13a-15(e) and 15d-15(e) under the Securities Exchange Act of 1934, as amended (the “Exchange Act”)) as of January 30, 2021. Based on that evaluation, the Company’s CEO and CFO concluded that the Company’s disclosure controls and procedures were effective to ensure that information relating to the Company that is required to be disclosed in the reports that we file or submit under the Exchange Act is recorded, processed, summarized, and reported within the time periods specified in the SEC rules and forms, and is accumulated and communicated to management, including the CEO and CFO, as appropriate to allow timely decisions regarding required disclosure.</w:t>
      </w:r>
    </w:p>
    <w:p>
      <w:pPr>
        <w:spacing w:after="0" w:line="107" w:lineRule="exact"/>
        <w:rPr>
          <w:sz w:val="20"/>
          <w:szCs w:val="20"/>
          <w:color w:val="auto"/>
        </w:rPr>
      </w:pPr>
    </w:p>
    <w:p>
      <w:pPr>
        <w:ind w:left="540" w:hanging="243"/>
        <w:spacing w:after="0"/>
        <w:tabs>
          <w:tab w:leader="none" w:pos="540" w:val="left"/>
        </w:tabs>
        <w:numPr>
          <w:ilvl w:val="0"/>
          <w:numId w:val="30"/>
        </w:numPr>
        <w:rPr>
          <w:rFonts w:ascii="Arial" w:cs="Arial" w:eastAsia="Arial" w:hAnsi="Arial"/>
          <w:sz w:val="14"/>
          <w:szCs w:val="14"/>
          <w:color w:val="auto"/>
        </w:rPr>
      </w:pPr>
      <w:r>
        <w:rPr>
          <w:rFonts w:ascii="Arial" w:cs="Arial" w:eastAsia="Arial" w:hAnsi="Arial"/>
          <w:sz w:val="13"/>
          <w:szCs w:val="13"/>
          <w:color w:val="auto"/>
        </w:rPr>
        <w:t>Management’s Annual Report on Internal Control over Financial Reporting.</w:t>
      </w:r>
    </w:p>
    <w:p>
      <w:pPr>
        <w:spacing w:after="0" w:line="132" w:lineRule="exact"/>
        <w:rPr>
          <w:sz w:val="20"/>
          <w:szCs w:val="20"/>
          <w:color w:val="auto"/>
        </w:rPr>
      </w:pPr>
    </w:p>
    <w:p>
      <w:pPr>
        <w:jc w:val="both"/>
        <w:ind w:left="520" w:right="39"/>
        <w:spacing w:after="0" w:line="232" w:lineRule="auto"/>
        <w:rPr>
          <w:sz w:val="20"/>
          <w:szCs w:val="20"/>
          <w:color w:val="auto"/>
        </w:rPr>
      </w:pPr>
      <w:r>
        <w:rPr>
          <w:rFonts w:ascii="Arial" w:cs="Arial" w:eastAsia="Arial" w:hAnsi="Arial"/>
          <w:sz w:val="13"/>
          <w:szCs w:val="13"/>
          <w:color w:val="auto"/>
        </w:rPr>
        <w:t>The Company’s management is responsible for establishing and maintaining adequate internal control over financial reporting (as that term is defined in Exchange Act Rules 13a-15(f) and 15d-15(f)). To evaluate the effectiveness of the Company’s internal control over financial reporting, the Company uses the framework in Internal Control-Integrated Framework (2013) issued by the Committee of Sponsoring Organizations of the Treadway Commission (the “2013 COSO Framework”). Using the 2013 COSO Framework, the Company’s management, including the CEO and CFO, evaluated the Company’s internal control over financial reporting and concluded that the Company’s internal control over financial reporting was effective as of January 30, 2021. KPMG LLP, the independent registered public accounting firm that audits the Company’s consolidated financial statements included in this annual report, has issued an attestation report on the Company’s effectiveness of internal control over financial reporting, which is included in Item 9A(d).</w:t>
      </w:r>
    </w:p>
    <w:p>
      <w:pPr>
        <w:spacing w:after="0" w:line="121" w:lineRule="exact"/>
        <w:rPr>
          <w:sz w:val="20"/>
          <w:szCs w:val="20"/>
          <w:color w:val="auto"/>
        </w:rPr>
      </w:pPr>
    </w:p>
    <w:p>
      <w:pPr>
        <w:ind w:left="540" w:hanging="243"/>
        <w:spacing w:after="0"/>
        <w:tabs>
          <w:tab w:leader="none" w:pos="540" w:val="left"/>
        </w:tabs>
        <w:numPr>
          <w:ilvl w:val="0"/>
          <w:numId w:val="31"/>
        </w:numPr>
        <w:rPr>
          <w:rFonts w:ascii="Arial" w:cs="Arial" w:eastAsia="Arial" w:hAnsi="Arial"/>
          <w:sz w:val="14"/>
          <w:szCs w:val="14"/>
          <w:color w:val="auto"/>
        </w:rPr>
      </w:pPr>
      <w:r>
        <w:rPr>
          <w:rFonts w:ascii="Arial" w:cs="Arial" w:eastAsia="Arial" w:hAnsi="Arial"/>
          <w:sz w:val="13"/>
          <w:szCs w:val="13"/>
          <w:color w:val="auto"/>
        </w:rPr>
        <w:t>Changes in Internal Control over Financial Reporting.</w:t>
      </w:r>
    </w:p>
    <w:p>
      <w:pPr>
        <w:spacing w:after="0" w:line="121" w:lineRule="exact"/>
        <w:rPr>
          <w:sz w:val="20"/>
          <w:szCs w:val="20"/>
          <w:color w:val="auto"/>
        </w:rPr>
      </w:pPr>
    </w:p>
    <w:p>
      <w:pPr>
        <w:jc w:val="both"/>
        <w:ind w:left="520" w:right="39"/>
        <w:spacing w:after="0" w:line="236" w:lineRule="auto"/>
        <w:rPr>
          <w:sz w:val="20"/>
          <w:szCs w:val="20"/>
          <w:color w:val="auto"/>
        </w:rPr>
      </w:pPr>
      <w:r>
        <w:rPr>
          <w:rFonts w:ascii="Arial" w:cs="Arial" w:eastAsia="Arial" w:hAnsi="Arial"/>
          <w:sz w:val="13"/>
          <w:szCs w:val="13"/>
          <w:color w:val="auto"/>
        </w:rPr>
        <w:t>We are currently migrating our e-commerce order management system. All North American e-commerce websites and apps were live on the new system as of January 30, 2021. In connection with this implementation and resulting business process changes, we may make changes to the design and operation of our internal control over financial reporting.</w:t>
      </w:r>
    </w:p>
    <w:p>
      <w:pPr>
        <w:spacing w:after="0" w:line="123" w:lineRule="exact"/>
        <w:rPr>
          <w:sz w:val="20"/>
          <w:szCs w:val="20"/>
          <w:color w:val="auto"/>
        </w:rPr>
      </w:pPr>
    </w:p>
    <w:p>
      <w:pPr>
        <w:jc w:val="both"/>
        <w:ind w:left="520" w:right="39"/>
        <w:spacing w:after="0" w:line="236" w:lineRule="auto"/>
        <w:rPr>
          <w:sz w:val="20"/>
          <w:szCs w:val="20"/>
          <w:color w:val="auto"/>
        </w:rPr>
      </w:pPr>
      <w:r>
        <w:rPr>
          <w:rFonts w:ascii="Arial" w:cs="Arial" w:eastAsia="Arial" w:hAnsi="Arial"/>
          <w:sz w:val="13"/>
          <w:szCs w:val="13"/>
          <w:color w:val="auto"/>
        </w:rPr>
        <w:t>During the Company’s last fiscal quarter there were no changes in internal control over financial reporting, other than the implementation of our e-commerce order management system noted above, that materially affected, or are reasonably likely to materially affect, the Company’s internal control over financial reporting.</w:t>
      </w:r>
    </w:p>
    <w:p>
      <w:pPr>
        <w:spacing w:after="0" w:line="123" w:lineRule="exact"/>
        <w:rPr>
          <w:sz w:val="20"/>
          <w:szCs w:val="20"/>
          <w:color w:val="auto"/>
        </w:rPr>
      </w:pPr>
    </w:p>
    <w:p>
      <w:pPr>
        <w:ind w:left="7520" w:right="39" w:hanging="7223"/>
        <w:spacing w:after="0" w:line="741" w:lineRule="auto"/>
        <w:tabs>
          <w:tab w:leader="none" w:pos="542" w:val="left"/>
        </w:tabs>
        <w:numPr>
          <w:ilvl w:val="0"/>
          <w:numId w:val="32"/>
        </w:numPr>
        <w:rPr>
          <w:rFonts w:ascii="Arial" w:cs="Arial" w:eastAsia="Arial" w:hAnsi="Arial"/>
          <w:sz w:val="13"/>
          <w:szCs w:val="13"/>
          <w:color w:val="auto"/>
        </w:rPr>
      </w:pPr>
      <w:r>
        <w:rPr>
          <w:rFonts w:ascii="Arial" w:cs="Arial" w:eastAsia="Arial" w:hAnsi="Arial"/>
          <w:sz w:val="12"/>
          <w:szCs w:val="12"/>
          <w:color w:val="auto"/>
        </w:rPr>
        <w:t>Report of Independent Registered Public Accounting Firm on Internal Control Over Financial Reporting- the report appears on the following page. 2020 Form 10-K Page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155575</wp:posOffset>
            </wp:positionV>
            <wp:extent cx="5680075" cy="196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80075" cy="19685"/>
                    </a:xfrm>
                    <a:prstGeom prst="rect">
                      <a:avLst/>
                    </a:prstGeom>
                    <a:noFill/>
                  </pic:spPr>
                </pic:pic>
              </a:graphicData>
            </a:graphic>
          </wp:anchor>
        </w:drawing>
      </w:r>
    </w:p>
    <w:p>
      <w:pPr>
        <w:sectPr>
          <w:pgSz w:w="11900" w:h="16838" w:orient="portrait"/>
          <w:cols w:equalWidth="0" w:num="1">
            <w:col w:w="9019"/>
          </w:cols>
          <w:pgMar w:left="1440" w:top="570" w:right="1440" w:bottom="1440" w:gutter="0" w:footer="0" w:header="0"/>
        </w:sectPr>
      </w:pPr>
    </w:p>
    <w:bookmarkStart w:id="77" w:name="page78"/>
    <w:bookmarkEnd w:id="77"/>
    <w:p>
      <w:pPr>
        <w:ind w:left="230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3"/>
          <w:szCs w:val="13"/>
          <w:color w:val="auto"/>
        </w:rPr>
        <w:t>To the Shareholders and Board of Directors</w:t>
      </w:r>
    </w:p>
    <w:p>
      <w:pPr>
        <w:ind w:left="20"/>
        <w:spacing w:after="0"/>
        <w:rPr>
          <w:sz w:val="20"/>
          <w:szCs w:val="20"/>
          <w:color w:val="auto"/>
        </w:rPr>
      </w:pPr>
      <w:r>
        <w:rPr>
          <w:rFonts w:ascii="Arial" w:cs="Arial" w:eastAsia="Arial" w:hAnsi="Arial"/>
          <w:sz w:val="13"/>
          <w:szCs w:val="13"/>
          <w:color w:val="auto"/>
        </w:rPr>
        <w:t>Foot Locker, Inc.:</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Opinion on Internal Control Over Financial Reporting</w:t>
      </w:r>
    </w:p>
    <w:p>
      <w:pPr>
        <w:spacing w:after="0" w:line="111" w:lineRule="exact"/>
        <w:rPr>
          <w:sz w:val="20"/>
          <w:szCs w:val="20"/>
          <w:color w:val="auto"/>
        </w:rPr>
      </w:pPr>
    </w:p>
    <w:p>
      <w:pPr>
        <w:jc w:val="both"/>
        <w:ind w:left="20" w:right="39"/>
        <w:spacing w:after="0" w:line="235" w:lineRule="auto"/>
        <w:rPr>
          <w:sz w:val="20"/>
          <w:szCs w:val="20"/>
          <w:color w:val="auto"/>
        </w:rPr>
      </w:pPr>
      <w:r>
        <w:rPr>
          <w:rFonts w:ascii="Arial" w:cs="Arial" w:eastAsia="Arial" w:hAnsi="Arial"/>
          <w:sz w:val="13"/>
          <w:szCs w:val="13"/>
          <w:color w:val="auto"/>
        </w:rPr>
        <w:t>We have audited Foot Locker, Inc.’s and subsidiaries (the “Company”) internal control over financial reporting as of January 30, 2021, based on criteria established in Internal Control – Integrated Framework (2013) issued by the Committee of Sponsoring Organizations of the Treadway Commission. In our opinion, the Company maintained, in all material respects, effective internal control over financial reporting as of January 30, 2021, based on criteria established in Internal Control – Integrated Framework (2013) issued by the Committee of Sponsoring Organizations of the Treadway Commission.</w:t>
      </w:r>
    </w:p>
    <w:p>
      <w:pPr>
        <w:spacing w:after="0" w:line="50" w:lineRule="exact"/>
        <w:rPr>
          <w:sz w:val="20"/>
          <w:szCs w:val="20"/>
          <w:color w:val="auto"/>
        </w:rPr>
      </w:pPr>
    </w:p>
    <w:p>
      <w:pPr>
        <w:jc w:val="both"/>
        <w:ind w:left="20" w:right="39"/>
        <w:spacing w:after="0" w:line="235"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(PCAOB), the consolidated balance sheets of the Company as of January 30, 2021 and February 1, 2020, the related consolidated statements of operations, comprehensive income, changes in shareholders’ equity, and cash flows for each of the years in the three-year period ended January 30, 2021, and the related notes (collectively, the “consolidated financial statements”), and our report dated March 25, 2021 expressed an unqualified opinion on those consolidated financial statements.</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Basis for Opinion</w:t>
      </w:r>
    </w:p>
    <w:p>
      <w:pPr>
        <w:spacing w:after="0" w:line="80" w:lineRule="exact"/>
        <w:rPr>
          <w:sz w:val="20"/>
          <w:szCs w:val="20"/>
          <w:color w:val="auto"/>
        </w:rPr>
      </w:pPr>
    </w:p>
    <w:p>
      <w:pPr>
        <w:jc w:val="both"/>
        <w:ind w:left="20" w:right="39"/>
        <w:spacing w:after="0" w:line="234" w:lineRule="auto"/>
        <w:rPr>
          <w:sz w:val="20"/>
          <w:szCs w:val="20"/>
          <w:color w:val="auto"/>
        </w:rPr>
      </w:pPr>
      <w:r>
        <w:rPr>
          <w:rFonts w:ascii="Arial" w:cs="Arial" w:eastAsia="Arial" w:hAnsi="Arial"/>
          <w:sz w:val="13"/>
          <w:szCs w:val="13"/>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3" w:lineRule="exact"/>
        <w:rPr>
          <w:sz w:val="20"/>
          <w:szCs w:val="20"/>
          <w:color w:val="auto"/>
        </w:rPr>
      </w:pPr>
    </w:p>
    <w:p>
      <w:pPr>
        <w:jc w:val="both"/>
        <w:ind w:left="20" w:right="39"/>
        <w:spacing w:after="0" w:line="234" w:lineRule="auto"/>
        <w:rPr>
          <w:sz w:val="20"/>
          <w:szCs w:val="20"/>
          <w:color w:val="auto"/>
        </w:rPr>
      </w:pPr>
      <w:r>
        <w:rPr>
          <w:rFonts w:ascii="Arial" w:cs="Arial" w:eastAsia="Arial" w:hAnsi="Arial"/>
          <w:sz w:val="13"/>
          <w:szCs w:val="13"/>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Definition and Limitations of Internal Control Over Financial Reporting</w:t>
      </w:r>
    </w:p>
    <w:p>
      <w:pPr>
        <w:spacing w:after="0" w:line="80" w:lineRule="exact"/>
        <w:rPr>
          <w:sz w:val="20"/>
          <w:szCs w:val="20"/>
          <w:color w:val="auto"/>
        </w:rPr>
      </w:pPr>
    </w:p>
    <w:p>
      <w:pPr>
        <w:jc w:val="both"/>
        <w:ind w:left="20" w:right="39"/>
        <w:spacing w:after="0" w:line="232" w:lineRule="auto"/>
        <w:rPr>
          <w:sz w:val="20"/>
          <w:szCs w:val="20"/>
          <w:color w:val="auto"/>
        </w:rPr>
      </w:pPr>
      <w:r>
        <w:rPr>
          <w:rFonts w:ascii="Arial" w:cs="Arial" w:eastAsia="Arial" w:hAnsi="Arial"/>
          <w:sz w:val="13"/>
          <w:szCs w:val="13"/>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3"/>
          <w:szCs w:val="13"/>
          <w:color w:val="auto"/>
        </w:rPr>
        <w:t>/s/ KPMG LLP</w:t>
      </w:r>
    </w:p>
    <w:p>
      <w:pPr>
        <w:ind w:left="20"/>
        <w:spacing w:after="0"/>
        <w:rPr>
          <w:sz w:val="20"/>
          <w:szCs w:val="20"/>
          <w:color w:val="auto"/>
        </w:rPr>
      </w:pPr>
      <w:r>
        <w:rPr>
          <w:rFonts w:ascii="Arial" w:cs="Arial" w:eastAsia="Arial" w:hAnsi="Arial"/>
          <w:sz w:val="13"/>
          <w:szCs w:val="13"/>
          <w:color w:val="auto"/>
        </w:rPr>
        <w:t>New York, New York</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3"/>
          <w:szCs w:val="13"/>
          <w:color w:val="auto"/>
        </w:rPr>
        <w:t>March 25, 2021</w:t>
      </w:r>
    </w:p>
    <w:p>
      <w:pPr>
        <w:spacing w:after="0" w:line="97" w:lineRule="exact"/>
        <w:rPr>
          <w:sz w:val="20"/>
          <w:szCs w:val="20"/>
          <w:color w:val="auto"/>
        </w:rPr>
      </w:pPr>
    </w:p>
    <w:p>
      <w:pPr>
        <w:jc w:val="right"/>
        <w:ind w:right="39"/>
        <w:spacing w:after="0"/>
        <w:rPr>
          <w:sz w:val="20"/>
          <w:szCs w:val="20"/>
          <w:color w:val="auto"/>
        </w:rPr>
      </w:pPr>
      <w:r>
        <w:rPr>
          <w:rFonts w:ascii="Arial" w:cs="Arial" w:eastAsia="Arial" w:hAnsi="Arial"/>
          <w:sz w:val="13"/>
          <w:szCs w:val="13"/>
          <w:color w:val="auto"/>
        </w:rPr>
        <w:t>2020 Form 10-K Page 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357505</wp:posOffset>
            </wp:positionV>
            <wp:extent cx="5680075" cy="196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80075" cy="19685"/>
                    </a:xfrm>
                    <a:prstGeom prst="rect">
                      <a:avLst/>
                    </a:prstGeom>
                    <a:noFill/>
                  </pic:spPr>
                </pic:pic>
              </a:graphicData>
            </a:graphic>
          </wp:anchor>
        </w:drawing>
      </w:r>
    </w:p>
    <w:p>
      <w:pPr>
        <w:sectPr>
          <w:pgSz w:w="11900" w:h="16838" w:orient="portrait"/>
          <w:cols w:equalWidth="0" w:num="1">
            <w:col w:w="9019"/>
          </w:cols>
          <w:pgMar w:left="1440" w:top="570" w:right="1440" w:bottom="1440" w:gutter="0" w:footer="0" w:header="0"/>
        </w:sectPr>
      </w:pPr>
    </w:p>
    <w:bookmarkStart w:id="78" w:name="page79"/>
    <w:bookmarkEnd w:id="78"/>
    <w:p>
      <w:pPr>
        <w:ind w:left="20"/>
        <w:spacing w:after="0"/>
        <w:rPr>
          <w:sz w:val="20"/>
          <w:szCs w:val="20"/>
          <w:color w:val="auto"/>
        </w:rPr>
      </w:pPr>
      <w:r>
        <w:rPr>
          <w:rFonts w:ascii="Arial" w:cs="Arial" w:eastAsia="Arial" w:hAnsi="Arial"/>
          <w:sz w:val="13"/>
          <w:szCs w:val="13"/>
          <w:b w:val="1"/>
          <w:bCs w:val="1"/>
          <w:i w:val="1"/>
          <w:iCs w:val="1"/>
          <w:color w:val="auto"/>
        </w:rPr>
        <w:t>Item 9B. Other Information</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3"/>
          <w:szCs w:val="13"/>
          <w:color w:val="auto"/>
        </w:rPr>
        <w:t>None.</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PART III</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Item 10. Directors, Executive Officers and Corporate Governance</w:t>
      </w:r>
    </w:p>
    <w:p>
      <w:pPr>
        <w:spacing w:after="0" w:line="169" w:lineRule="exact"/>
        <w:rPr>
          <w:sz w:val="20"/>
          <w:szCs w:val="20"/>
          <w:color w:val="auto"/>
        </w:rPr>
      </w:pPr>
    </w:p>
    <w:p>
      <w:pPr>
        <w:ind w:left="540" w:hanging="243"/>
        <w:spacing w:after="0"/>
        <w:tabs>
          <w:tab w:leader="none" w:pos="540" w:val="left"/>
        </w:tabs>
        <w:numPr>
          <w:ilvl w:val="0"/>
          <w:numId w:val="33"/>
        </w:numPr>
        <w:rPr>
          <w:rFonts w:ascii="Arial" w:cs="Arial" w:eastAsia="Arial" w:hAnsi="Arial"/>
          <w:sz w:val="14"/>
          <w:szCs w:val="14"/>
          <w:color w:val="auto"/>
        </w:rPr>
      </w:pPr>
      <w:r>
        <w:rPr>
          <w:rFonts w:ascii="Arial" w:cs="Arial" w:eastAsia="Arial" w:hAnsi="Arial"/>
          <w:sz w:val="13"/>
          <w:szCs w:val="13"/>
          <w:color w:val="auto"/>
        </w:rPr>
        <w:t>Directors of the Company</w:t>
      </w:r>
    </w:p>
    <w:p>
      <w:pPr>
        <w:spacing w:after="0" w:line="162" w:lineRule="exact"/>
        <w:rPr>
          <w:sz w:val="20"/>
          <w:szCs w:val="20"/>
          <w:color w:val="auto"/>
        </w:rPr>
      </w:pPr>
    </w:p>
    <w:p>
      <w:pPr>
        <w:ind w:left="760" w:right="39"/>
        <w:spacing w:after="0"/>
        <w:rPr>
          <w:sz w:val="20"/>
          <w:szCs w:val="20"/>
          <w:color w:val="auto"/>
        </w:rPr>
      </w:pPr>
      <w:r>
        <w:rPr>
          <w:rFonts w:ascii="Arial" w:cs="Arial" w:eastAsia="Arial" w:hAnsi="Arial"/>
          <w:sz w:val="13"/>
          <w:szCs w:val="13"/>
          <w:color w:val="auto"/>
        </w:rPr>
        <w:t>Information relative to directors of the Company will be set forth under the section captioned “Proposal 1-Election of Directors” in the Proxy Statement and is incorporated herein by reference.</w:t>
      </w:r>
    </w:p>
    <w:p>
      <w:pPr>
        <w:spacing w:after="0" w:line="147" w:lineRule="exact"/>
        <w:rPr>
          <w:sz w:val="20"/>
          <w:szCs w:val="20"/>
          <w:color w:val="auto"/>
        </w:rPr>
      </w:pPr>
    </w:p>
    <w:p>
      <w:pPr>
        <w:ind w:left="540" w:hanging="243"/>
        <w:spacing w:after="0"/>
        <w:tabs>
          <w:tab w:leader="none" w:pos="540" w:val="left"/>
        </w:tabs>
        <w:numPr>
          <w:ilvl w:val="0"/>
          <w:numId w:val="34"/>
        </w:numPr>
        <w:rPr>
          <w:rFonts w:ascii="Arial" w:cs="Arial" w:eastAsia="Arial" w:hAnsi="Arial"/>
          <w:sz w:val="14"/>
          <w:szCs w:val="14"/>
          <w:color w:val="auto"/>
        </w:rPr>
      </w:pPr>
      <w:r>
        <w:rPr>
          <w:rFonts w:ascii="Arial" w:cs="Arial" w:eastAsia="Arial" w:hAnsi="Arial"/>
          <w:sz w:val="13"/>
          <w:szCs w:val="13"/>
          <w:color w:val="auto"/>
        </w:rPr>
        <w:t>Executive Officers of the Company</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3"/>
          <w:szCs w:val="13"/>
          <w:color w:val="auto"/>
        </w:rPr>
        <w:t>Information with respect to executive officers of the Company will be set forth in Item 4A in Part I.</w:t>
      </w:r>
    </w:p>
    <w:p>
      <w:pPr>
        <w:spacing w:after="0" w:line="158" w:lineRule="exact"/>
        <w:rPr>
          <w:sz w:val="20"/>
          <w:szCs w:val="20"/>
          <w:color w:val="auto"/>
        </w:rPr>
      </w:pPr>
    </w:p>
    <w:p>
      <w:pPr>
        <w:ind w:left="540" w:right="59" w:hanging="243"/>
        <w:spacing w:after="0" w:line="231" w:lineRule="auto"/>
        <w:tabs>
          <w:tab w:leader="none" w:pos="540" w:val="left"/>
        </w:tabs>
        <w:numPr>
          <w:ilvl w:val="0"/>
          <w:numId w:val="35"/>
        </w:numPr>
        <w:rPr>
          <w:rFonts w:ascii="Arial" w:cs="Arial" w:eastAsia="Arial" w:hAnsi="Arial"/>
          <w:sz w:val="14"/>
          <w:szCs w:val="14"/>
          <w:color w:val="auto"/>
        </w:rPr>
      </w:pPr>
      <w:r>
        <w:rPr>
          <w:rFonts w:ascii="Arial" w:cs="Arial" w:eastAsia="Arial" w:hAnsi="Arial"/>
          <w:sz w:val="13"/>
          <w:szCs w:val="13"/>
          <w:color w:val="auto"/>
        </w:rPr>
        <w:t>Information with respect to compliance with Section 16(a) of the Securities Exchange Act of 1934 will be set forth under the section captioned “Section 16(a) Beneficial Ownership Reporting Compliance” in the Proxy Statement and is incorporated herein by reference.</w:t>
      </w:r>
    </w:p>
    <w:p>
      <w:pPr>
        <w:spacing w:after="0" w:line="152" w:lineRule="exact"/>
        <w:rPr>
          <w:rFonts w:ascii="Arial" w:cs="Arial" w:eastAsia="Arial" w:hAnsi="Arial"/>
          <w:sz w:val="14"/>
          <w:szCs w:val="14"/>
          <w:color w:val="auto"/>
        </w:rPr>
      </w:pPr>
    </w:p>
    <w:p>
      <w:pPr>
        <w:ind w:left="540" w:right="59" w:hanging="243"/>
        <w:spacing w:after="0" w:line="231" w:lineRule="auto"/>
        <w:tabs>
          <w:tab w:leader="none" w:pos="540" w:val="left"/>
        </w:tabs>
        <w:numPr>
          <w:ilvl w:val="0"/>
          <w:numId w:val="35"/>
        </w:numPr>
        <w:rPr>
          <w:rFonts w:ascii="Arial" w:cs="Arial" w:eastAsia="Arial" w:hAnsi="Arial"/>
          <w:sz w:val="14"/>
          <w:szCs w:val="14"/>
          <w:color w:val="auto"/>
        </w:rPr>
      </w:pPr>
      <w:r>
        <w:rPr>
          <w:rFonts w:ascii="Arial" w:cs="Arial" w:eastAsia="Arial" w:hAnsi="Arial"/>
          <w:sz w:val="13"/>
          <w:szCs w:val="13"/>
          <w:color w:val="auto"/>
        </w:rPr>
        <w:t>Information on our audit committee and the audit committee financial expert will be contained in the Proxy Statement under the section captioned “Committees of the Board” and is incorporated herein by reference.</w:t>
      </w:r>
    </w:p>
    <w:p>
      <w:pPr>
        <w:spacing w:after="0" w:line="152" w:lineRule="exact"/>
        <w:rPr>
          <w:rFonts w:ascii="Arial" w:cs="Arial" w:eastAsia="Arial" w:hAnsi="Arial"/>
          <w:sz w:val="14"/>
          <w:szCs w:val="14"/>
          <w:color w:val="auto"/>
        </w:rPr>
      </w:pPr>
    </w:p>
    <w:p>
      <w:pPr>
        <w:jc w:val="both"/>
        <w:ind w:left="540" w:right="39" w:hanging="243"/>
        <w:spacing w:after="0" w:line="231" w:lineRule="auto"/>
        <w:tabs>
          <w:tab w:leader="none" w:pos="540" w:val="left"/>
        </w:tabs>
        <w:numPr>
          <w:ilvl w:val="0"/>
          <w:numId w:val="35"/>
        </w:numPr>
        <w:rPr>
          <w:rFonts w:ascii="Arial" w:cs="Arial" w:eastAsia="Arial" w:hAnsi="Arial"/>
          <w:sz w:val="14"/>
          <w:szCs w:val="14"/>
          <w:color w:val="auto"/>
        </w:rPr>
      </w:pPr>
      <w:r>
        <w:rPr>
          <w:rFonts w:ascii="Arial" w:cs="Arial" w:eastAsia="Arial" w:hAnsi="Arial"/>
          <w:sz w:val="13"/>
          <w:szCs w:val="13"/>
          <w:color w:val="auto"/>
        </w:rPr>
        <w:t>Information about the Code of Business Conduct governing our employees, including our Chief Executive Officer, Chief Financial Officer, Chief Accounting Officer, and the Board of Directors, will be set forth under the heading “Code of Business Conduct” under the Corporate Governance section of the Proxy Statement and is incorporated herein by reference.</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Item 11. Executive Compensation</w:t>
      </w:r>
    </w:p>
    <w:p>
      <w:pPr>
        <w:spacing w:after="0" w:line="174" w:lineRule="exact"/>
        <w:rPr>
          <w:sz w:val="20"/>
          <w:szCs w:val="20"/>
          <w:color w:val="auto"/>
        </w:rPr>
      </w:pPr>
    </w:p>
    <w:p>
      <w:pPr>
        <w:jc w:val="both"/>
        <w:ind w:left="20" w:right="39"/>
        <w:spacing w:after="0" w:line="236" w:lineRule="auto"/>
        <w:rPr>
          <w:sz w:val="20"/>
          <w:szCs w:val="20"/>
          <w:color w:val="auto"/>
        </w:rPr>
      </w:pPr>
      <w:r>
        <w:rPr>
          <w:rFonts w:ascii="Arial" w:cs="Arial" w:eastAsia="Arial" w:hAnsi="Arial"/>
          <w:sz w:val="13"/>
          <w:szCs w:val="13"/>
          <w:color w:val="auto"/>
        </w:rPr>
        <w:t>Information set forth in the Proxy Statement beginning with the section captioned “Director Compensation” through and including the section captioned “Pension Benefits” is incorporated herein by reference, and information set forth in the Proxy Statement under the heading “Compensation Committee Interlocks and Insider Participation” is incorporated herein by reference.</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Item 12. Security Ownership of Certain Beneficial Owners and Management and Related Stockholder Matters</w:t>
      </w:r>
    </w:p>
    <w:p>
      <w:pPr>
        <w:spacing w:after="0" w:line="174" w:lineRule="exact"/>
        <w:rPr>
          <w:sz w:val="20"/>
          <w:szCs w:val="20"/>
          <w:color w:val="auto"/>
        </w:rPr>
      </w:pPr>
    </w:p>
    <w:p>
      <w:pPr>
        <w:jc w:val="both"/>
        <w:ind w:left="20" w:right="39"/>
        <w:spacing w:after="0"/>
        <w:rPr>
          <w:sz w:val="20"/>
          <w:szCs w:val="20"/>
          <w:color w:val="auto"/>
        </w:rPr>
      </w:pPr>
      <w:r>
        <w:rPr>
          <w:rFonts w:ascii="Arial" w:cs="Arial" w:eastAsia="Arial" w:hAnsi="Arial"/>
          <w:sz w:val="13"/>
          <w:szCs w:val="13"/>
          <w:color w:val="auto"/>
        </w:rPr>
        <w:t>Information set forth in the Proxy Statement under the sections captioned “Equity Compensation Plan Information” and “Beneficial Ownership of the Company’s Stock” is incorporated herein by reference.</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Item 13. Certain Relationships and Related Transactions, and Director Independence</w:t>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3"/>
          <w:szCs w:val="13"/>
          <w:color w:val="auto"/>
        </w:rPr>
        <w:t>Information set forth in the Proxy Statement under the section captioned “Directors’ Independence” is incorporated herein by reference.</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Item 14. Principal Accounting Fees and Services</w:t>
      </w:r>
    </w:p>
    <w:p>
      <w:pPr>
        <w:spacing w:after="0" w:line="174" w:lineRule="exact"/>
        <w:rPr>
          <w:sz w:val="20"/>
          <w:szCs w:val="20"/>
          <w:color w:val="auto"/>
        </w:rPr>
      </w:pPr>
    </w:p>
    <w:p>
      <w:pPr>
        <w:jc w:val="both"/>
        <w:ind w:left="20" w:right="39"/>
        <w:spacing w:after="0" w:line="234" w:lineRule="auto"/>
        <w:rPr>
          <w:sz w:val="20"/>
          <w:szCs w:val="20"/>
          <w:color w:val="auto"/>
        </w:rPr>
      </w:pPr>
      <w:r>
        <w:rPr>
          <w:rFonts w:ascii="Arial" w:cs="Arial" w:eastAsia="Arial" w:hAnsi="Arial"/>
          <w:sz w:val="13"/>
          <w:szCs w:val="13"/>
          <w:color w:val="auto"/>
        </w:rPr>
        <w:t>Information about the principal accounting fees and services is set forth under the section captioned “Proposal 3: Ratification of the Appointment of our Independent Registered Public Accounting Firm — Audit and Non-Audit Fees” in the Proxy Statement and is incorporated herein by reference. Information about the Audit Committee’s preapproval policies and procedures is set forth in the section captioned “Proposal 3: Ratification of the Appointment of our Independent Registered Public Accounting Firm — Audit Committee Preapproval Policies and Procedures” in the Proxy Statement and is incorporated herein by reference.</w:t>
      </w:r>
    </w:p>
    <w:p>
      <w:pPr>
        <w:spacing w:after="0" w:line="153" w:lineRule="exact"/>
        <w:rPr>
          <w:sz w:val="20"/>
          <w:szCs w:val="20"/>
          <w:color w:val="auto"/>
        </w:rPr>
      </w:pPr>
    </w:p>
    <w:p>
      <w:pPr>
        <w:jc w:val="right"/>
        <w:ind w:right="39"/>
        <w:spacing w:after="0"/>
        <w:rPr>
          <w:sz w:val="20"/>
          <w:szCs w:val="20"/>
          <w:color w:val="auto"/>
        </w:rPr>
      </w:pPr>
      <w:r>
        <w:rPr>
          <w:rFonts w:ascii="Arial" w:cs="Arial" w:eastAsia="Arial" w:hAnsi="Arial"/>
          <w:sz w:val="13"/>
          <w:szCs w:val="13"/>
          <w:color w:val="auto"/>
        </w:rPr>
        <w:t>2020 Form 10-K Page 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357505</wp:posOffset>
            </wp:positionV>
            <wp:extent cx="5680075" cy="133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80075" cy="13335"/>
                    </a:xfrm>
                    <a:prstGeom prst="rect">
                      <a:avLst/>
                    </a:prstGeom>
                    <a:noFill/>
                  </pic:spPr>
                </pic:pic>
              </a:graphicData>
            </a:graphic>
          </wp:anchor>
        </w:drawing>
      </w:r>
    </w:p>
    <w:p>
      <w:pPr>
        <w:sectPr>
          <w:pgSz w:w="11900" w:h="16838" w:orient="portrait"/>
          <w:cols w:equalWidth="0" w:num="1">
            <w:col w:w="9019"/>
          </w:cols>
          <w:pgMar w:left="1440" w:top="570" w:right="1440" w:bottom="1440" w:gutter="0" w:footer="0" w:header="0"/>
        </w:sectPr>
      </w:pPr>
    </w:p>
    <w:bookmarkStart w:id="79" w:name="page80"/>
    <w:bookmarkEnd w:id="79"/>
    <w:p>
      <w:pPr>
        <w:ind w:left="20"/>
        <w:spacing w:after="0"/>
        <w:rPr>
          <w:sz w:val="20"/>
          <w:szCs w:val="20"/>
          <w:color w:val="auto"/>
        </w:rPr>
      </w:pPr>
      <w:r>
        <w:rPr>
          <w:rFonts w:ascii="Arial" w:cs="Arial" w:eastAsia="Arial" w:hAnsi="Arial"/>
          <w:sz w:val="13"/>
          <w:szCs w:val="13"/>
          <w:b w:val="1"/>
          <w:bCs w:val="1"/>
          <w:color w:val="auto"/>
        </w:rPr>
        <w:t>PART IV</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Item 15. Exhibits and Financial Statement Schedules</w:t>
      </w:r>
    </w:p>
    <w:p>
      <w:pPr>
        <w:spacing w:after="0" w:line="174" w:lineRule="exact"/>
        <w:rPr>
          <w:sz w:val="20"/>
          <w:szCs w:val="20"/>
          <w:color w:val="auto"/>
        </w:rPr>
      </w:pPr>
    </w:p>
    <w:p>
      <w:pPr>
        <w:ind w:left="280"/>
        <w:spacing w:after="0"/>
        <w:rPr>
          <w:sz w:val="20"/>
          <w:szCs w:val="20"/>
          <w:color w:val="auto"/>
        </w:rPr>
      </w:pPr>
      <w:r>
        <w:rPr>
          <w:rFonts w:ascii="Arial" w:cs="Arial" w:eastAsia="Arial" w:hAnsi="Arial"/>
          <w:sz w:val="13"/>
          <w:szCs w:val="13"/>
          <w:color w:val="auto"/>
        </w:rPr>
        <w:t>(a)(1) and (2) Financial Statements</w:t>
      </w:r>
    </w:p>
    <w:p>
      <w:pPr>
        <w:spacing w:after="0" w:line="158" w:lineRule="exact"/>
        <w:rPr>
          <w:sz w:val="20"/>
          <w:szCs w:val="20"/>
          <w:color w:val="auto"/>
        </w:rPr>
      </w:pPr>
    </w:p>
    <w:p>
      <w:pPr>
        <w:jc w:val="both"/>
        <w:ind w:left="520" w:right="39"/>
        <w:spacing w:after="0" w:line="236" w:lineRule="auto"/>
        <w:rPr>
          <w:sz w:val="20"/>
          <w:szCs w:val="20"/>
          <w:color w:val="auto"/>
        </w:rPr>
      </w:pPr>
      <w:r>
        <w:rPr>
          <w:rFonts w:ascii="Arial" w:cs="Arial" w:eastAsia="Arial" w:hAnsi="Arial"/>
          <w:sz w:val="13"/>
          <w:szCs w:val="13"/>
          <w:color w:val="auto"/>
        </w:rPr>
        <w:t>The list of financial statements required by this item is set forth in Item 8. “Consolidated Financial Statements and Supplementary Data.” All other schedules specified under Regulation S-X have been omitted because they are not applicable, because they are not required, or because the information required is included in the financial statements or notes thereto.</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3"/>
          <w:szCs w:val="13"/>
          <w:color w:val="auto"/>
        </w:rPr>
        <w:t>(a)(3) and (c) Exhibits</w:t>
      </w:r>
    </w:p>
    <w:p>
      <w:pPr>
        <w:spacing w:after="0" w:line="158" w:lineRule="exact"/>
        <w:rPr>
          <w:sz w:val="20"/>
          <w:szCs w:val="20"/>
          <w:color w:val="auto"/>
        </w:rPr>
      </w:pPr>
    </w:p>
    <w:p>
      <w:pPr>
        <w:jc w:val="both"/>
        <w:ind w:left="520" w:right="39"/>
        <w:spacing w:after="0"/>
        <w:rPr>
          <w:sz w:val="20"/>
          <w:szCs w:val="20"/>
          <w:color w:val="auto"/>
        </w:rPr>
      </w:pPr>
      <w:r>
        <w:rPr>
          <w:rFonts w:ascii="Arial" w:cs="Arial" w:eastAsia="Arial" w:hAnsi="Arial"/>
          <w:sz w:val="13"/>
          <w:szCs w:val="13"/>
          <w:color w:val="auto"/>
        </w:rPr>
        <w:t>An index of the exhibits which are required by this item and which are included or incorporated herein by reference in this report appears on pages 77 through 80.</w:t>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3"/>
          <w:szCs w:val="13"/>
          <w:b w:val="1"/>
          <w:bCs w:val="1"/>
          <w:i w:val="1"/>
          <w:iCs w:val="1"/>
          <w:color w:val="auto"/>
        </w:rPr>
        <w:t>Item 16. Form 10-K Summary</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ind w:right="39"/>
        <w:spacing w:after="0"/>
        <w:rPr>
          <w:sz w:val="20"/>
          <w:szCs w:val="20"/>
          <w:color w:val="auto"/>
        </w:rPr>
      </w:pPr>
      <w:r>
        <w:rPr>
          <w:rFonts w:ascii="Arial" w:cs="Arial" w:eastAsia="Arial" w:hAnsi="Arial"/>
          <w:sz w:val="13"/>
          <w:szCs w:val="13"/>
          <w:color w:val="auto"/>
        </w:rPr>
        <w:t>2020 Form 10-K Page 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357505</wp:posOffset>
            </wp:positionV>
            <wp:extent cx="5680075" cy="133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80075" cy="13335"/>
                    </a:xfrm>
                    <a:prstGeom prst="rect">
                      <a:avLst/>
                    </a:prstGeom>
                    <a:noFill/>
                  </pic:spPr>
                </pic:pic>
              </a:graphicData>
            </a:graphic>
          </wp:anchor>
        </w:drawing>
      </w:r>
    </w:p>
    <w:p>
      <w:pPr>
        <w:sectPr>
          <w:pgSz w:w="11900" w:h="16838" w:orient="portrait"/>
          <w:cols w:equalWidth="0" w:num="1">
            <w:col w:w="9019"/>
          </w:cols>
          <w:pgMar w:left="1440" w:top="570" w:right="1440" w:bottom="1440" w:gutter="0" w:footer="0" w:header="0"/>
        </w:sectPr>
      </w:pPr>
    </w:p>
    <w:bookmarkStart w:id="80" w:name="page81"/>
    <w:bookmarkEnd w:id="80"/>
    <w:tbl>
      <w:tblPr>
        <w:tblLayout w:type="fixed"/>
        <w:tblInd w:w="40" w:type="dxa"/>
        <w:tblCellMar>
          <w:top w:w="0" w:type="dxa"/>
          <w:left w:w="0" w:type="dxa"/>
          <w:bottom w:w="0" w:type="dxa"/>
          <w:right w:w="0" w:type="dxa"/>
        </w:tblCellMar>
      </w:tblPr>
      <w:tr>
        <w:trPr>
          <w:trHeight w:val="172"/>
        </w:trPr>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0" w:type="dxa"/>
            <w:vAlign w:val="bottom"/>
            <w:gridSpan w:val="11"/>
          </w:tcPr>
          <w:p>
            <w:pPr>
              <w:ind w:left="260"/>
              <w:spacing w:after="0"/>
              <w:rPr>
                <w:sz w:val="20"/>
                <w:szCs w:val="20"/>
                <w:color w:val="auto"/>
              </w:rPr>
            </w:pPr>
            <w:r>
              <w:rPr>
                <w:rFonts w:ascii="Arial" w:cs="Arial" w:eastAsia="Arial" w:hAnsi="Arial"/>
                <w:sz w:val="13"/>
                <w:szCs w:val="13"/>
                <w:b w:val="1"/>
                <w:bCs w:val="1"/>
                <w:color w:val="auto"/>
              </w:rPr>
              <w:t>FOOT LOCKER, INC.</w:t>
            </w:r>
          </w:p>
        </w:tc>
        <w:tc>
          <w:tcPr>
            <w:tcW w:w="0" w:type="dxa"/>
            <w:vAlign w:val="bottom"/>
          </w:tcPr>
          <w:p>
            <w:pPr>
              <w:spacing w:after="0"/>
              <w:rPr>
                <w:sz w:val="1"/>
                <w:szCs w:val="1"/>
                <w:color w:val="auto"/>
              </w:rPr>
            </w:pPr>
          </w:p>
        </w:tc>
      </w:tr>
      <w:tr>
        <w:trPr>
          <w:trHeight w:val="308"/>
        </w:trPr>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0" w:type="dxa"/>
            <w:vAlign w:val="bottom"/>
            <w:gridSpan w:val="11"/>
          </w:tcPr>
          <w:p>
            <w:pPr>
              <w:ind w:left="280"/>
              <w:spacing w:after="0"/>
              <w:rPr>
                <w:sz w:val="20"/>
                <w:szCs w:val="20"/>
                <w:color w:val="auto"/>
              </w:rPr>
            </w:pPr>
            <w:r>
              <w:rPr>
                <w:rFonts w:ascii="Arial" w:cs="Arial" w:eastAsia="Arial" w:hAnsi="Arial"/>
                <w:sz w:val="13"/>
                <w:szCs w:val="13"/>
                <w:b w:val="1"/>
                <w:bCs w:val="1"/>
                <w:color w:val="auto"/>
              </w:rPr>
              <w:t>INDEX OF EXHIBITS</w:t>
            </w:r>
          </w:p>
        </w:tc>
        <w:tc>
          <w:tcPr>
            <w:tcW w:w="0" w:type="dxa"/>
            <w:vAlign w:val="bottom"/>
          </w:tcPr>
          <w:p>
            <w:pPr>
              <w:spacing w:after="0"/>
              <w:rPr>
                <w:sz w:val="1"/>
                <w:szCs w:val="1"/>
                <w:color w:val="auto"/>
              </w:rPr>
            </w:pPr>
          </w:p>
        </w:tc>
      </w:tr>
      <w:tr>
        <w:trPr>
          <w:trHeight w:val="301"/>
        </w:trPr>
        <w:tc>
          <w:tcPr>
            <w:tcW w:w="1060" w:type="dxa"/>
            <w:vAlign w:val="bottom"/>
          </w:tcPr>
          <w:p>
            <w:pPr>
              <w:ind w:left="200"/>
              <w:spacing w:after="0"/>
              <w:rPr>
                <w:sz w:val="20"/>
                <w:szCs w:val="20"/>
                <w:color w:val="auto"/>
              </w:rPr>
            </w:pPr>
            <w:r>
              <w:rPr>
                <w:rFonts w:ascii="Arial" w:cs="Arial" w:eastAsia="Arial" w:hAnsi="Arial"/>
                <w:sz w:val="13"/>
                <w:szCs w:val="13"/>
                <w:b w:val="1"/>
                <w:bCs w:val="1"/>
                <w:color w:val="auto"/>
              </w:rPr>
              <w:t>Exhibit No.</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300" w:type="dxa"/>
            <w:vAlign w:val="bottom"/>
            <w:gridSpan w:val="8"/>
          </w:tcPr>
          <w:p>
            <w:pPr>
              <w:ind w:left="80"/>
              <w:spacing w:after="0"/>
              <w:rPr>
                <w:sz w:val="20"/>
                <w:szCs w:val="20"/>
                <w:color w:val="auto"/>
              </w:rPr>
            </w:pPr>
            <w:r>
              <w:rPr>
                <w:rFonts w:ascii="Arial" w:cs="Arial" w:eastAsia="Arial" w:hAnsi="Arial"/>
                <w:sz w:val="13"/>
                <w:szCs w:val="13"/>
                <w:b w:val="1"/>
                <w:bCs w:val="1"/>
                <w:color w:val="auto"/>
              </w:rPr>
              <w:t>Description</w:t>
            </w:r>
          </w:p>
        </w:tc>
        <w:tc>
          <w:tcPr>
            <w:tcW w:w="0" w:type="dxa"/>
            <w:vAlign w:val="bottom"/>
          </w:tcPr>
          <w:p>
            <w:pPr>
              <w:spacing w:after="0"/>
              <w:rPr>
                <w:sz w:val="1"/>
                <w:szCs w:val="1"/>
                <w:color w:val="auto"/>
              </w:rPr>
            </w:pPr>
          </w:p>
        </w:tc>
      </w:tr>
      <w:tr>
        <w:trPr>
          <w:trHeight w:val="129"/>
        </w:trPr>
        <w:tc>
          <w:tcPr>
            <w:tcW w:w="106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99"/>
              </w:rPr>
              <w:t>3.1</w:t>
            </w:r>
          </w:p>
        </w:tc>
        <w:tc>
          <w:tcPr>
            <w:tcW w:w="220" w:type="dxa"/>
            <w:vAlign w:val="bottom"/>
            <w:tcBorders>
              <w:top w:val="single" w:sz="8" w:color="CCEEFF"/>
              <w:right w:val="single" w:sz="8" w:color="CCEEFF"/>
            </w:tcBorders>
            <w:shd w:val="clear" w:color="auto" w:fill="CCEEFF"/>
          </w:tcPr>
          <w:p>
            <w:pPr>
              <w:spacing w:after="0"/>
              <w:rPr>
                <w:sz w:val="11"/>
                <w:szCs w:val="11"/>
                <w:color w:val="auto"/>
              </w:rPr>
            </w:pPr>
          </w:p>
        </w:tc>
        <w:tc>
          <w:tcPr>
            <w:tcW w:w="7660" w:type="dxa"/>
            <w:vAlign w:val="bottom"/>
            <w:tcBorders>
              <w:top w:val="single" w:sz="8" w:color="auto"/>
              <w:right w:val="single" w:sz="8" w:color="CCEEFF"/>
            </w:tcBorders>
            <w:gridSpan w:val="14"/>
            <w:shd w:val="clear" w:color="auto" w:fill="CCEEFF"/>
          </w:tcPr>
          <w:p>
            <w:pPr>
              <w:spacing w:after="0" w:line="129" w:lineRule="exact"/>
              <w:rPr>
                <w:sz w:val="20"/>
                <w:szCs w:val="20"/>
                <w:color w:val="auto"/>
              </w:rPr>
            </w:pPr>
            <w:r>
              <w:rPr>
                <w:rFonts w:ascii="Arial" w:cs="Arial" w:eastAsia="Arial" w:hAnsi="Arial"/>
                <w:sz w:val="13"/>
                <w:szCs w:val="13"/>
                <w:color w:val="auto"/>
              </w:rPr>
              <w:t>Certificate of Incorporation of the Registrant, as filed by the Department of State of the State of New York on April 7, 1989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0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660" w:type="dxa"/>
            <w:vAlign w:val="bottom"/>
            <w:tcBorders>
              <w:right w:val="single" w:sz="8" w:color="CCEEFF"/>
            </w:tcBorders>
            <w:gridSpan w:val="14"/>
            <w:shd w:val="clear" w:color="auto" w:fill="CCEEFF"/>
          </w:tcPr>
          <w:p>
            <w:pPr>
              <w:spacing w:after="0" w:line="144" w:lineRule="exact"/>
              <w:rPr>
                <w:sz w:val="20"/>
                <w:szCs w:val="20"/>
                <w:color w:val="auto"/>
              </w:rPr>
            </w:pPr>
            <w:r>
              <w:rPr>
                <w:rFonts w:ascii="Arial" w:cs="Arial" w:eastAsia="Arial" w:hAnsi="Arial"/>
                <w:sz w:val="13"/>
                <w:szCs w:val="13"/>
                <w:color w:val="auto"/>
                <w:w w:val="99"/>
              </w:rPr>
              <w:t>(incorporated herein by reference to Exhibit 3(i)(a) to the Quarterly Report on Form 10-Q for the quarterly period ended July 26, 1997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660" w:type="dxa"/>
            <w:vAlign w:val="bottom"/>
            <w:tcBorders>
              <w:right w:val="single" w:sz="8" w:color="CCEEFF"/>
            </w:tcBorders>
            <w:gridSpan w:val="14"/>
            <w:shd w:val="clear" w:color="auto" w:fill="CCEEFF"/>
          </w:tcPr>
          <w:p>
            <w:pPr>
              <w:spacing w:after="0" w:line="144" w:lineRule="exact"/>
              <w:rPr>
                <w:sz w:val="20"/>
                <w:szCs w:val="20"/>
                <w:color w:val="auto"/>
              </w:rPr>
            </w:pPr>
            <w:r>
              <w:rPr>
                <w:rFonts w:ascii="Arial" w:cs="Arial" w:eastAsia="Arial" w:hAnsi="Arial"/>
                <w:sz w:val="13"/>
                <w:szCs w:val="13"/>
                <w:color w:val="auto"/>
              </w:rPr>
              <w:t>filed on September 4, 1997 (the “July 26, 1997 Form 10-Q”)), as amended by Certificates of Amendment of the Certificate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660" w:type="dxa"/>
            <w:vAlign w:val="bottom"/>
            <w:tcBorders>
              <w:right w:val="single" w:sz="8" w:color="CCEEFF"/>
            </w:tcBorders>
            <w:gridSpan w:val="14"/>
            <w:shd w:val="clear" w:color="auto" w:fill="CCEEFF"/>
          </w:tcPr>
          <w:p>
            <w:pPr>
              <w:spacing w:after="0" w:line="144" w:lineRule="exact"/>
              <w:rPr>
                <w:sz w:val="20"/>
                <w:szCs w:val="20"/>
                <w:color w:val="auto"/>
              </w:rPr>
            </w:pPr>
            <w:r>
              <w:rPr>
                <w:rFonts w:ascii="Arial" w:cs="Arial" w:eastAsia="Arial" w:hAnsi="Arial"/>
                <w:sz w:val="13"/>
                <w:szCs w:val="13"/>
                <w:color w:val="auto"/>
              </w:rPr>
              <w:t>Incorporation of the Registrant, as filed by the Department of State of the State of New York on (a) July 20, 1989, (b) July 24, 1990,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60" w:type="dxa"/>
            <w:vAlign w:val="bottom"/>
            <w:shd w:val="clear" w:color="auto" w:fill="CCEEFF"/>
          </w:tcPr>
          <w:p>
            <w:pPr>
              <w:spacing w:after="0"/>
              <w:rPr>
                <w:sz w:val="11"/>
                <w:szCs w:val="11"/>
                <w:color w:val="auto"/>
              </w:rPr>
            </w:pPr>
          </w:p>
        </w:tc>
        <w:tc>
          <w:tcPr>
            <w:tcW w:w="220" w:type="dxa"/>
            <w:vAlign w:val="bottom"/>
            <w:tcBorders>
              <w:right w:val="single" w:sz="8" w:color="CCEEFF"/>
            </w:tcBorders>
            <w:shd w:val="clear" w:color="auto" w:fill="CCEEFF"/>
          </w:tcPr>
          <w:p>
            <w:pPr>
              <w:spacing w:after="0"/>
              <w:rPr>
                <w:sz w:val="11"/>
                <w:szCs w:val="11"/>
                <w:color w:val="auto"/>
              </w:rPr>
            </w:pPr>
          </w:p>
        </w:tc>
        <w:tc>
          <w:tcPr>
            <w:tcW w:w="7660" w:type="dxa"/>
            <w:vAlign w:val="bottom"/>
            <w:tcBorders>
              <w:right w:val="single" w:sz="8" w:color="CCEEFF"/>
            </w:tcBorders>
            <w:gridSpan w:val="14"/>
            <w:shd w:val="clear" w:color="auto" w:fill="CCEEFF"/>
          </w:tcPr>
          <w:p>
            <w:pPr>
              <w:spacing w:after="0" w:line="128" w:lineRule="exact"/>
              <w:rPr>
                <w:rFonts w:ascii="Arial" w:cs="Arial" w:eastAsia="Arial" w:hAnsi="Arial"/>
                <w:sz w:val="13"/>
                <w:szCs w:val="13"/>
                <w:color w:val="auto"/>
              </w:rPr>
            </w:pPr>
            <w:hyperlink r:id="rId134">
              <w:r>
                <w:rPr>
                  <w:rFonts w:ascii="Arial" w:cs="Arial" w:eastAsia="Arial" w:hAnsi="Arial"/>
                  <w:sz w:val="13"/>
                  <w:szCs w:val="13"/>
                  <w:color w:val="auto"/>
                </w:rPr>
                <w:t xml:space="preserve">(c) July 9, 1997 </w:t>
              </w:r>
              <w:r>
                <w:rPr>
                  <w:rFonts w:ascii="Arial" w:cs="Arial" w:eastAsia="Arial" w:hAnsi="Arial"/>
                  <w:sz w:val="13"/>
                  <w:szCs w:val="13"/>
                  <w:color w:val="0000EE"/>
                </w:rPr>
                <w:t>(incorporated herein by reference to Exhibit 3(i)(b) to the July 26, 1997 Form 10-Q)</w:t>
              </w:r>
              <w:r>
                <w:rPr>
                  <w:rFonts w:ascii="Arial" w:cs="Arial" w:eastAsia="Arial" w:hAnsi="Arial"/>
                  <w:sz w:val="13"/>
                  <w:szCs w:val="13"/>
                  <w:color w:val="auto"/>
                </w:rPr>
                <w:t xml:space="preserve">, (d) June 11, 1998 </w:t>
              </w:r>
              <w:r>
                <w:rPr>
                  <w:rFonts w:ascii="Arial" w:cs="Arial" w:eastAsia="Arial" w:hAnsi="Arial"/>
                  <w:sz w:val="13"/>
                  <w:szCs w:val="13"/>
                  <w:color w:val="0000EE"/>
                </w:rPr>
                <w:t>(incorporated</w:t>
              </w:r>
            </w:hyperlink>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620" w:type="dxa"/>
            <w:vAlign w:val="bottom"/>
            <w:tcBorders>
              <w:right w:val="single" w:sz="8" w:color="0000EE"/>
            </w:tcBorders>
            <w:shd w:val="clear" w:color="auto" w:fill="CCEEFF"/>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7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06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7660" w:type="dxa"/>
            <w:vAlign w:val="bottom"/>
            <w:tcBorders>
              <w:right w:val="single" w:sz="8" w:color="CCEEFF"/>
            </w:tcBorders>
            <w:gridSpan w:val="14"/>
            <w:shd w:val="clear" w:color="auto" w:fill="CCEEFF"/>
          </w:tcPr>
          <w:p>
            <w:pPr>
              <w:spacing w:after="0" w:line="124" w:lineRule="exact"/>
              <w:rPr>
                <w:rFonts w:ascii="Arial" w:cs="Arial" w:eastAsia="Arial" w:hAnsi="Arial"/>
                <w:sz w:val="13"/>
                <w:szCs w:val="13"/>
                <w:color w:val="0000EE"/>
                <w:w w:val="99"/>
              </w:rPr>
            </w:pPr>
            <w:hyperlink r:id="rId134">
              <w:r>
                <w:rPr>
                  <w:rFonts w:ascii="Arial" w:cs="Arial" w:eastAsia="Arial" w:hAnsi="Arial"/>
                  <w:sz w:val="13"/>
                  <w:szCs w:val="13"/>
                  <w:color w:val="0000EE"/>
                  <w:w w:val="99"/>
                </w:rPr>
                <w:t>herein by reference to Exhibit 4.2(a) to the Registration Statement on Form S-8 (Registration No. 333-62425) (the “1998 Form S-8”))</w:t>
              </w:r>
              <w:r>
                <w:rPr>
                  <w:rFonts w:ascii="Arial" w:cs="Arial" w:eastAsia="Arial" w:hAnsi="Arial"/>
                  <w:sz w:val="13"/>
                  <w:szCs w:val="13"/>
                  <w:color w:val="000000"/>
                  <w:w w:val="99"/>
                </w:rPr>
                <w:t>,</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CCEEFF"/>
          </w:tcPr>
          <w:p>
            <w:pPr>
              <w:spacing w:after="0" w:line="20" w:lineRule="exact"/>
              <w:rPr>
                <w:sz w:val="1"/>
                <w:szCs w:val="1"/>
                <w:color w:val="auto"/>
              </w:rPr>
            </w:pPr>
          </w:p>
        </w:tc>
        <w:tc>
          <w:tcPr>
            <w:tcW w:w="220" w:type="dxa"/>
            <w:vAlign w:val="bottom"/>
            <w:tcBorders>
              <w:right w:val="single" w:sz="8" w:color="0000EE"/>
            </w:tcBorders>
            <w:shd w:val="clear" w:color="auto" w:fill="CCEEFF"/>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60" w:type="dxa"/>
            <w:vAlign w:val="bottom"/>
            <w:tcBorders>
              <w:right w:val="single" w:sz="8" w:color="0000EE"/>
            </w:tcBorders>
            <w:gridSpan w:val="2"/>
            <w:shd w:val="clear" w:color="auto" w:fill="0000EE"/>
          </w:tcPr>
          <w:p>
            <w:pPr>
              <w:spacing w:after="0" w:line="20" w:lineRule="exact"/>
              <w:rPr>
                <w:sz w:val="1"/>
                <w:szCs w:val="1"/>
                <w:color w:val="auto"/>
              </w:rPr>
            </w:pPr>
          </w:p>
        </w:tc>
        <w:tc>
          <w:tcPr>
            <w:tcW w:w="1140" w:type="dxa"/>
            <w:vAlign w:val="bottom"/>
            <w:tcBorders>
              <w:right w:val="single" w:sz="8" w:color="CCEEFF"/>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06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right w:val="single" w:sz="8" w:color="CCEEFF"/>
            </w:tcBorders>
            <w:shd w:val="clear" w:color="auto" w:fill="CCEEFF"/>
          </w:tcPr>
          <w:p>
            <w:pPr>
              <w:spacing w:after="0"/>
              <w:rPr>
                <w:sz w:val="10"/>
                <w:szCs w:val="10"/>
                <w:color w:val="auto"/>
              </w:rPr>
            </w:pPr>
          </w:p>
        </w:tc>
        <w:tc>
          <w:tcPr>
            <w:tcW w:w="7660" w:type="dxa"/>
            <w:vAlign w:val="bottom"/>
            <w:tcBorders>
              <w:bottom w:val="single" w:sz="8" w:color="0000EE"/>
              <w:right w:val="single" w:sz="8" w:color="CCEEFF"/>
            </w:tcBorders>
            <w:gridSpan w:val="14"/>
            <w:shd w:val="clear" w:color="auto" w:fill="CCEEFF"/>
          </w:tcPr>
          <w:p>
            <w:pPr>
              <w:spacing w:after="0" w:line="124" w:lineRule="exact"/>
              <w:rPr>
                <w:rFonts w:ascii="Arial" w:cs="Arial" w:eastAsia="Arial" w:hAnsi="Arial"/>
                <w:sz w:val="13"/>
                <w:szCs w:val="13"/>
                <w:color w:val="0000EE"/>
              </w:rPr>
            </w:pPr>
            <w:hyperlink r:id="rId135">
              <w:r>
                <w:rPr>
                  <w:rFonts w:ascii="Arial" w:cs="Arial" w:eastAsia="Arial" w:hAnsi="Arial"/>
                  <w:sz w:val="13"/>
                  <w:szCs w:val="13"/>
                  <w:color w:val="0000EE"/>
                </w:rPr>
                <w:t>(e) November 1, 2001 (incorporated herein by reference to Exhibit 4.2 to the Registration Statement on Form S-8 (Registration</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06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7660" w:type="dxa"/>
            <w:vAlign w:val="bottom"/>
            <w:tcBorders>
              <w:right w:val="single" w:sz="8" w:color="CCEEFF"/>
            </w:tcBorders>
            <w:gridSpan w:val="14"/>
            <w:shd w:val="clear" w:color="auto" w:fill="CCEEFF"/>
          </w:tcPr>
          <w:p>
            <w:pPr>
              <w:spacing w:after="0" w:line="124" w:lineRule="exact"/>
              <w:rPr>
                <w:rFonts w:ascii="Arial" w:cs="Arial" w:eastAsia="Arial" w:hAnsi="Arial"/>
                <w:sz w:val="13"/>
                <w:szCs w:val="13"/>
                <w:color w:val="0000EE"/>
              </w:rPr>
            </w:pPr>
            <w:hyperlink r:id="rId136">
              <w:r>
                <w:rPr>
                  <w:rFonts w:ascii="Arial" w:cs="Arial" w:eastAsia="Arial" w:hAnsi="Arial"/>
                  <w:sz w:val="13"/>
                  <w:szCs w:val="13"/>
                  <w:color w:val="0000EE"/>
                </w:rPr>
                <w:t>No. 333-74688) (the “2001 Form S-8”))</w:t>
              </w:r>
              <w:r>
                <w:rPr>
                  <w:rFonts w:ascii="Arial" w:cs="Arial" w:eastAsia="Arial" w:hAnsi="Arial"/>
                  <w:sz w:val="13"/>
                  <w:szCs w:val="13"/>
                  <w:color w:val="000000"/>
                </w:rPr>
                <w:t>, (f) May 28, 2014</w:t>
              </w:r>
              <w:r>
                <w:rPr>
                  <w:rFonts w:ascii="Arial" w:cs="Arial" w:eastAsia="Arial" w:hAnsi="Arial"/>
                  <w:sz w:val="13"/>
                  <w:szCs w:val="13"/>
                  <w:color w:val="0000EE"/>
                </w:rPr>
                <w:t xml:space="preserve"> (incorporated herein by reference to Exhibit 3.1 to the Current Report on</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CCEEFF"/>
          </w:tcPr>
          <w:p>
            <w:pPr>
              <w:spacing w:after="0" w:line="20" w:lineRule="exact"/>
              <w:rPr>
                <w:sz w:val="1"/>
                <w:szCs w:val="1"/>
                <w:color w:val="auto"/>
              </w:rPr>
            </w:pPr>
          </w:p>
        </w:tc>
        <w:tc>
          <w:tcPr>
            <w:tcW w:w="220" w:type="dxa"/>
            <w:vAlign w:val="bottom"/>
            <w:tcBorders>
              <w:right w:val="single" w:sz="8" w:color="0000EE"/>
            </w:tcBorders>
            <w:shd w:val="clear" w:color="auto" w:fill="CCEEFF"/>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60" w:type="dxa"/>
            <w:vAlign w:val="bottom"/>
            <w:tcBorders>
              <w:right w:val="single" w:sz="8" w:color="0000EE"/>
            </w:tcBorders>
            <w:gridSpan w:val="2"/>
            <w:shd w:val="clear" w:color="auto" w:fill="0000EE"/>
          </w:tcPr>
          <w:p>
            <w:pPr>
              <w:spacing w:after="0" w:line="20" w:lineRule="exact"/>
              <w:rPr>
                <w:sz w:val="1"/>
                <w:szCs w:val="1"/>
                <w:color w:val="auto"/>
              </w:rPr>
            </w:pPr>
          </w:p>
        </w:tc>
        <w:tc>
          <w:tcPr>
            <w:tcW w:w="114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06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7660" w:type="dxa"/>
            <w:vAlign w:val="bottom"/>
            <w:tcBorders>
              <w:right w:val="single" w:sz="8" w:color="CCEEFF"/>
            </w:tcBorders>
            <w:gridSpan w:val="14"/>
            <w:shd w:val="clear" w:color="auto" w:fill="CCEEFF"/>
          </w:tcPr>
          <w:p>
            <w:pPr>
              <w:spacing w:after="0" w:line="124" w:lineRule="exact"/>
              <w:rPr>
                <w:rFonts w:ascii="Arial" w:cs="Arial" w:eastAsia="Arial" w:hAnsi="Arial"/>
                <w:sz w:val="13"/>
                <w:szCs w:val="13"/>
                <w:color w:val="0000EE"/>
              </w:rPr>
            </w:pPr>
            <w:hyperlink r:id="rId137">
              <w:r>
                <w:rPr>
                  <w:rFonts w:ascii="Arial" w:cs="Arial" w:eastAsia="Arial" w:hAnsi="Arial"/>
                  <w:sz w:val="13"/>
                  <w:szCs w:val="13"/>
                  <w:color w:val="0000EE"/>
                </w:rPr>
                <w:t>Form 8-K dated May 21, 2014 filed on May 28, 2014)</w:t>
              </w:r>
              <w:r>
                <w:rPr>
                  <w:rFonts w:ascii="Arial" w:cs="Arial" w:eastAsia="Arial" w:hAnsi="Arial"/>
                  <w:sz w:val="13"/>
                  <w:szCs w:val="13"/>
                  <w:color w:val="000000"/>
                </w:rPr>
                <w:t>, and (g)</w:t>
              </w:r>
              <w:r>
                <w:rPr>
                  <w:rFonts w:ascii="Arial" w:cs="Arial" w:eastAsia="Arial" w:hAnsi="Arial"/>
                  <w:sz w:val="13"/>
                  <w:szCs w:val="13"/>
                  <w:color w:val="0000EE"/>
                </w:rPr>
                <w:t xml:space="preserve"> December 8, 2020 (incorporated herein by reference to Exhibit 3.1 to</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CCEEFF"/>
          </w:tcPr>
          <w:p>
            <w:pPr>
              <w:spacing w:after="0" w:line="20" w:lineRule="exact"/>
              <w:rPr>
                <w:sz w:val="1"/>
                <w:szCs w:val="1"/>
                <w:color w:val="auto"/>
              </w:rPr>
            </w:pPr>
          </w:p>
        </w:tc>
        <w:tc>
          <w:tcPr>
            <w:tcW w:w="220" w:type="dxa"/>
            <w:vAlign w:val="bottom"/>
            <w:tcBorders>
              <w:right w:val="single" w:sz="8" w:color="0000EE"/>
            </w:tcBorders>
            <w:shd w:val="clear" w:color="auto" w:fill="CCEEFF"/>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gridSpan w:val="2"/>
            <w:shd w:val="clear" w:color="auto" w:fill="CCEEFF"/>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60" w:type="dxa"/>
            <w:vAlign w:val="bottom"/>
            <w:tcBorders>
              <w:right w:val="single" w:sz="8" w:color="0000EE"/>
            </w:tcBorders>
            <w:gridSpan w:val="2"/>
            <w:shd w:val="clear" w:color="auto" w:fill="0000EE"/>
          </w:tcPr>
          <w:p>
            <w:pPr>
              <w:spacing w:after="0" w:line="20" w:lineRule="exact"/>
              <w:rPr>
                <w:sz w:val="1"/>
                <w:szCs w:val="1"/>
                <w:color w:val="auto"/>
              </w:rPr>
            </w:pPr>
          </w:p>
        </w:tc>
        <w:tc>
          <w:tcPr>
            <w:tcW w:w="114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06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7660" w:type="dxa"/>
            <w:vAlign w:val="bottom"/>
            <w:tcBorders>
              <w:right w:val="single" w:sz="8" w:color="CCEEFF"/>
            </w:tcBorders>
            <w:gridSpan w:val="14"/>
            <w:shd w:val="clear" w:color="auto" w:fill="CCEEFF"/>
          </w:tcPr>
          <w:p>
            <w:pPr>
              <w:spacing w:after="0" w:line="124" w:lineRule="exact"/>
              <w:rPr>
                <w:rFonts w:ascii="Arial" w:cs="Arial" w:eastAsia="Arial" w:hAnsi="Arial"/>
                <w:sz w:val="13"/>
                <w:szCs w:val="13"/>
                <w:color w:val="0000EE"/>
              </w:rPr>
            </w:pPr>
            <w:hyperlink r:id="rId137">
              <w:r>
                <w:rPr>
                  <w:rFonts w:ascii="Arial" w:cs="Arial" w:eastAsia="Arial" w:hAnsi="Arial"/>
                  <w:sz w:val="13"/>
                  <w:szCs w:val="13"/>
                  <w:color w:val="0000EE"/>
                </w:rPr>
                <w:t>the Current Report on Form 8-K dated December 7, 2020 filed on December 8, 2020).</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0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60" w:type="dxa"/>
            <w:vAlign w:val="bottom"/>
            <w:tcBorders>
              <w:top w:val="single" w:sz="8" w:color="0000EE"/>
            </w:tcBorders>
          </w:tcPr>
          <w:p>
            <w:pPr>
              <w:spacing w:after="0"/>
              <w:rPr>
                <w:sz w:val="12"/>
                <w:szCs w:val="12"/>
                <w:color w:val="auto"/>
              </w:rPr>
            </w:pPr>
          </w:p>
        </w:tc>
        <w:tc>
          <w:tcPr>
            <w:tcW w:w="620" w:type="dxa"/>
            <w:vAlign w:val="bottom"/>
            <w:tcBorders>
              <w:top w:val="single" w:sz="8" w:color="0000EE"/>
            </w:tcBorders>
          </w:tcPr>
          <w:p>
            <w:pPr>
              <w:spacing w:after="0"/>
              <w:rPr>
                <w:sz w:val="12"/>
                <w:szCs w:val="12"/>
                <w:color w:val="auto"/>
              </w:rPr>
            </w:pPr>
          </w:p>
        </w:tc>
        <w:tc>
          <w:tcPr>
            <w:tcW w:w="116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400" w:type="dxa"/>
            <w:vAlign w:val="bottom"/>
            <w:tcBorders>
              <w:top w:val="single" w:sz="8" w:color="0000EE"/>
            </w:tcBorders>
          </w:tcPr>
          <w:p>
            <w:pPr>
              <w:spacing w:after="0"/>
              <w:rPr>
                <w:sz w:val="12"/>
                <w:szCs w:val="12"/>
                <w:color w:val="auto"/>
              </w:rPr>
            </w:pPr>
          </w:p>
        </w:tc>
        <w:tc>
          <w:tcPr>
            <w:tcW w:w="420" w:type="dxa"/>
            <w:vAlign w:val="bottom"/>
            <w:tcBorders>
              <w:top w:val="single" w:sz="8" w:color="0000EE"/>
            </w:tcBorders>
          </w:tcPr>
          <w:p>
            <w:pPr>
              <w:spacing w:after="0"/>
              <w:rPr>
                <w:sz w:val="12"/>
                <w:szCs w:val="12"/>
                <w:color w:val="auto"/>
              </w:rPr>
            </w:pPr>
          </w:p>
        </w:tc>
        <w:tc>
          <w:tcPr>
            <w:tcW w:w="280" w:type="dxa"/>
            <w:vAlign w:val="bottom"/>
            <w:tcBorders>
              <w:top w:val="single" w:sz="8" w:color="0000EE"/>
            </w:tcBorders>
          </w:tcPr>
          <w:p>
            <w:pPr>
              <w:spacing w:after="0"/>
              <w:rPr>
                <w:sz w:val="12"/>
                <w:szCs w:val="12"/>
                <w:color w:val="auto"/>
              </w:rPr>
            </w:pPr>
          </w:p>
        </w:tc>
        <w:tc>
          <w:tcPr>
            <w:tcW w:w="260" w:type="dxa"/>
            <w:vAlign w:val="bottom"/>
            <w:tcBorders>
              <w:top w:val="single" w:sz="8" w:color="0000EE"/>
            </w:tcBorders>
          </w:tcPr>
          <w:p>
            <w:pPr>
              <w:spacing w:after="0"/>
              <w:rPr>
                <w:sz w:val="12"/>
                <w:szCs w:val="12"/>
                <w:color w:val="auto"/>
              </w:rPr>
            </w:pPr>
          </w:p>
        </w:tc>
        <w:tc>
          <w:tcPr>
            <w:tcW w:w="1280" w:type="dxa"/>
            <w:vAlign w:val="bottom"/>
            <w:tcBorders>
              <w:top w:val="single" w:sz="8" w:color="0000EE"/>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060" w:type="dxa"/>
            <w:vAlign w:val="bottom"/>
            <w:tcBorders>
              <w:bottom w:val="single" w:sz="8" w:color="CCEEFF"/>
            </w:tcBorders>
            <w:shd w:val="clear" w:color="auto" w:fill="CCEEFF"/>
          </w:tcPr>
          <w:p>
            <w:pPr>
              <w:jc w:val="center"/>
              <w:spacing w:after="0" w:line="123" w:lineRule="exact"/>
              <w:rPr>
                <w:sz w:val="20"/>
                <w:szCs w:val="20"/>
                <w:color w:val="auto"/>
              </w:rPr>
            </w:pPr>
            <w:r>
              <w:rPr>
                <w:rFonts w:ascii="Arial" w:cs="Arial" w:eastAsia="Arial" w:hAnsi="Arial"/>
                <w:sz w:val="13"/>
                <w:szCs w:val="13"/>
                <w:color w:val="auto"/>
                <w:w w:val="99"/>
              </w:rPr>
              <w:t>3.2</w:t>
            </w:r>
          </w:p>
        </w:tc>
        <w:tc>
          <w:tcPr>
            <w:tcW w:w="220" w:type="dxa"/>
            <w:vAlign w:val="bottom"/>
            <w:tcBorders>
              <w:bottom w:val="single" w:sz="8" w:color="CCEEFF"/>
              <w:right w:val="single" w:sz="8" w:color="CCEEFF"/>
            </w:tcBorders>
            <w:shd w:val="clear" w:color="auto" w:fill="CCEEFF"/>
          </w:tcPr>
          <w:p>
            <w:pPr>
              <w:spacing w:after="0"/>
              <w:rPr>
                <w:sz w:val="10"/>
                <w:szCs w:val="10"/>
                <w:color w:val="auto"/>
              </w:rPr>
            </w:pPr>
          </w:p>
        </w:tc>
        <w:tc>
          <w:tcPr>
            <w:tcW w:w="7660" w:type="dxa"/>
            <w:vAlign w:val="bottom"/>
            <w:tcBorders>
              <w:bottom w:val="single" w:sz="8" w:color="0000EE"/>
              <w:right w:val="single" w:sz="8" w:color="CCEEFF"/>
            </w:tcBorders>
            <w:gridSpan w:val="14"/>
            <w:shd w:val="clear" w:color="auto" w:fill="CCEEFF"/>
          </w:tcPr>
          <w:p>
            <w:pPr>
              <w:spacing w:after="0" w:line="123" w:lineRule="exact"/>
              <w:rPr>
                <w:rFonts w:ascii="Arial" w:cs="Arial" w:eastAsia="Arial" w:hAnsi="Arial"/>
                <w:sz w:val="13"/>
                <w:szCs w:val="13"/>
                <w:color w:val="0000EE"/>
              </w:rPr>
            </w:pPr>
            <w:hyperlink r:id="rId138">
              <w:r>
                <w:rPr>
                  <w:rFonts w:ascii="Arial" w:cs="Arial" w:eastAsia="Arial" w:hAnsi="Arial"/>
                  <w:sz w:val="13"/>
                  <w:szCs w:val="13"/>
                  <w:color w:val="0000EE"/>
                </w:rPr>
                <w:t>By-Laws of the Registrant, as amended (incorporated herein by reference to Exhibit 3.1 to the Current Report on Form 8-K dated</w:t>
              </w:r>
            </w:hyperlink>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06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7660" w:type="dxa"/>
            <w:vAlign w:val="bottom"/>
            <w:tcBorders>
              <w:right w:val="single" w:sz="8" w:color="CCEEFF"/>
            </w:tcBorders>
            <w:gridSpan w:val="14"/>
            <w:shd w:val="clear" w:color="auto" w:fill="CCEEFF"/>
          </w:tcPr>
          <w:p>
            <w:pPr>
              <w:spacing w:after="0" w:line="124" w:lineRule="exact"/>
              <w:rPr>
                <w:rFonts w:ascii="Arial" w:cs="Arial" w:eastAsia="Arial" w:hAnsi="Arial"/>
                <w:sz w:val="13"/>
                <w:szCs w:val="13"/>
                <w:color w:val="0000EE"/>
              </w:rPr>
            </w:pPr>
            <w:hyperlink r:id="rId138">
              <w:r>
                <w:rPr>
                  <w:rFonts w:ascii="Arial" w:cs="Arial" w:eastAsia="Arial" w:hAnsi="Arial"/>
                  <w:sz w:val="13"/>
                  <w:szCs w:val="13"/>
                  <w:color w:val="0000EE"/>
                </w:rPr>
                <w:t>February 20, 2018 filed on February 22, 2018).</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0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60" w:type="dxa"/>
            <w:vAlign w:val="bottom"/>
            <w:tcBorders>
              <w:top w:val="single" w:sz="8" w:color="0000EE"/>
            </w:tcBorders>
          </w:tcPr>
          <w:p>
            <w:pPr>
              <w:spacing w:after="0"/>
              <w:rPr>
                <w:sz w:val="12"/>
                <w:szCs w:val="12"/>
                <w:color w:val="auto"/>
              </w:rPr>
            </w:pPr>
          </w:p>
        </w:tc>
        <w:tc>
          <w:tcPr>
            <w:tcW w:w="620" w:type="dxa"/>
            <w:vAlign w:val="bottom"/>
            <w:tcBorders>
              <w:top w:val="single" w:sz="8" w:color="0000EE"/>
            </w:tcBorders>
          </w:tcPr>
          <w:p>
            <w:pPr>
              <w:spacing w:after="0"/>
              <w:rPr>
                <w:sz w:val="12"/>
                <w:szCs w:val="12"/>
                <w:color w:val="auto"/>
              </w:rPr>
            </w:pPr>
          </w:p>
        </w:tc>
        <w:tc>
          <w:tcPr>
            <w:tcW w:w="116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400" w:type="dxa"/>
            <w:vAlign w:val="bottom"/>
            <w:tcBorders>
              <w:top w:val="single" w:sz="8" w:color="0000EE"/>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128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060" w:type="dxa"/>
            <w:vAlign w:val="bottom"/>
            <w:tcBorders>
              <w:bottom w:val="single" w:sz="8" w:color="CCEEFF"/>
            </w:tcBorders>
            <w:shd w:val="clear" w:color="auto" w:fill="CCEEFF"/>
          </w:tcPr>
          <w:p>
            <w:pPr>
              <w:jc w:val="center"/>
              <w:spacing w:after="0" w:line="123" w:lineRule="exact"/>
              <w:rPr>
                <w:sz w:val="20"/>
                <w:szCs w:val="20"/>
                <w:color w:val="auto"/>
              </w:rPr>
            </w:pPr>
            <w:r>
              <w:rPr>
                <w:rFonts w:ascii="Arial" w:cs="Arial" w:eastAsia="Arial" w:hAnsi="Arial"/>
                <w:sz w:val="13"/>
                <w:szCs w:val="13"/>
                <w:color w:val="auto"/>
                <w:w w:val="99"/>
              </w:rPr>
              <w:t>3.3</w:t>
            </w:r>
          </w:p>
        </w:tc>
        <w:tc>
          <w:tcPr>
            <w:tcW w:w="220" w:type="dxa"/>
            <w:vAlign w:val="bottom"/>
            <w:tcBorders>
              <w:bottom w:val="single" w:sz="8" w:color="CCEEFF"/>
              <w:right w:val="single" w:sz="8" w:color="CCEEFF"/>
            </w:tcBorders>
            <w:shd w:val="clear" w:color="auto" w:fill="CCEEFF"/>
          </w:tcPr>
          <w:p>
            <w:pPr>
              <w:spacing w:after="0"/>
              <w:rPr>
                <w:sz w:val="10"/>
                <w:szCs w:val="10"/>
                <w:color w:val="auto"/>
              </w:rPr>
            </w:pPr>
          </w:p>
        </w:tc>
        <w:tc>
          <w:tcPr>
            <w:tcW w:w="7660" w:type="dxa"/>
            <w:vAlign w:val="bottom"/>
            <w:tcBorders>
              <w:bottom w:val="single" w:sz="8" w:color="0000EE"/>
              <w:right w:val="single" w:sz="8" w:color="CCEEFF"/>
            </w:tcBorders>
            <w:gridSpan w:val="14"/>
            <w:shd w:val="clear" w:color="auto" w:fill="CCEEFF"/>
          </w:tcPr>
          <w:p>
            <w:pPr>
              <w:spacing w:after="0" w:line="123" w:lineRule="exact"/>
              <w:rPr>
                <w:rFonts w:ascii="Arial" w:cs="Arial" w:eastAsia="Arial" w:hAnsi="Arial"/>
                <w:sz w:val="13"/>
                <w:szCs w:val="13"/>
                <w:color w:val="0000EE"/>
                <w:w w:val="99"/>
              </w:rPr>
            </w:pPr>
            <w:hyperlink r:id="rId139">
              <w:r>
                <w:rPr>
                  <w:rFonts w:ascii="Arial" w:cs="Arial" w:eastAsia="Arial" w:hAnsi="Arial"/>
                  <w:sz w:val="13"/>
                  <w:szCs w:val="13"/>
                  <w:color w:val="0000EE"/>
                  <w:w w:val="99"/>
                </w:rPr>
                <w:t>Rights Agreement, dated as of December 7, 2020, between the Registrant and Computershare Trust Company, N.A., as Rights Agent</w:t>
              </w:r>
            </w:hyperlink>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06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7660" w:type="dxa"/>
            <w:vAlign w:val="bottom"/>
            <w:tcBorders>
              <w:right w:val="single" w:sz="8" w:color="CCEEFF"/>
            </w:tcBorders>
            <w:gridSpan w:val="14"/>
            <w:shd w:val="clear" w:color="auto" w:fill="CCEEFF"/>
          </w:tcPr>
          <w:p>
            <w:pPr>
              <w:spacing w:after="0" w:line="124" w:lineRule="exact"/>
              <w:rPr>
                <w:rFonts w:ascii="Arial" w:cs="Arial" w:eastAsia="Arial" w:hAnsi="Arial"/>
                <w:sz w:val="13"/>
                <w:szCs w:val="13"/>
                <w:color w:val="0000EE"/>
              </w:rPr>
            </w:pPr>
            <w:hyperlink r:id="rId139">
              <w:r>
                <w:rPr>
                  <w:rFonts w:ascii="Arial" w:cs="Arial" w:eastAsia="Arial" w:hAnsi="Arial"/>
                  <w:sz w:val="13"/>
                  <w:szCs w:val="13"/>
                  <w:color w:val="0000EE"/>
                </w:rPr>
                <w:t>(incorporated herein by reference to Exhibit 3.1 to the Current Report on Form 8-K dated December 7, 2020 filed on December 8,</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06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right w:val="single" w:sz="8" w:color="CCEEFF"/>
            </w:tcBorders>
            <w:shd w:val="clear" w:color="auto" w:fill="CCEEFF"/>
          </w:tcPr>
          <w:p>
            <w:pPr>
              <w:spacing w:after="0"/>
              <w:rPr>
                <w:sz w:val="10"/>
                <w:szCs w:val="10"/>
                <w:color w:val="auto"/>
              </w:rPr>
            </w:pPr>
          </w:p>
        </w:tc>
        <w:tc>
          <w:tcPr>
            <w:tcW w:w="980" w:type="dxa"/>
            <w:vAlign w:val="bottom"/>
            <w:tcBorders>
              <w:top w:val="single" w:sz="8" w:color="0000EE"/>
              <w:right w:val="single" w:sz="8" w:color="CCEEFF"/>
            </w:tcBorders>
            <w:gridSpan w:val="2"/>
            <w:shd w:val="clear" w:color="auto" w:fill="CCEEFF"/>
          </w:tcPr>
          <w:p>
            <w:pPr>
              <w:spacing w:after="0" w:line="124" w:lineRule="exact"/>
              <w:rPr>
                <w:rFonts w:ascii="Arial" w:cs="Arial" w:eastAsia="Arial" w:hAnsi="Arial"/>
                <w:sz w:val="13"/>
                <w:szCs w:val="13"/>
                <w:color w:val="0000EE"/>
              </w:rPr>
            </w:pPr>
            <w:hyperlink r:id="rId139">
              <w:r>
                <w:rPr>
                  <w:rFonts w:ascii="Arial" w:cs="Arial" w:eastAsia="Arial" w:hAnsi="Arial"/>
                  <w:sz w:val="13"/>
                  <w:szCs w:val="13"/>
                  <w:color w:val="0000EE"/>
                </w:rPr>
                <w:t>2020).</w:t>
              </w:r>
            </w:hyperlink>
          </w:p>
        </w:tc>
        <w:tc>
          <w:tcPr>
            <w:tcW w:w="1160" w:type="dxa"/>
            <w:vAlign w:val="bottom"/>
            <w:tcBorders>
              <w:top w:val="single" w:sz="8" w:color="0000EE"/>
            </w:tcBorders>
            <w:shd w:val="clear" w:color="auto" w:fill="CCEEFF"/>
          </w:tcPr>
          <w:p>
            <w:pPr>
              <w:spacing w:after="0"/>
              <w:rPr>
                <w:sz w:val="10"/>
                <w:szCs w:val="10"/>
                <w:color w:val="auto"/>
              </w:rPr>
            </w:pPr>
          </w:p>
        </w:tc>
        <w:tc>
          <w:tcPr>
            <w:tcW w:w="140" w:type="dxa"/>
            <w:vAlign w:val="bottom"/>
            <w:tcBorders>
              <w:top w:val="single" w:sz="8" w:color="0000EE"/>
            </w:tcBorders>
            <w:shd w:val="clear" w:color="auto" w:fill="CCEEFF"/>
          </w:tcPr>
          <w:p>
            <w:pPr>
              <w:spacing w:after="0"/>
              <w:rPr>
                <w:sz w:val="10"/>
                <w:szCs w:val="10"/>
                <w:color w:val="auto"/>
              </w:rPr>
            </w:pPr>
          </w:p>
        </w:tc>
        <w:tc>
          <w:tcPr>
            <w:tcW w:w="400" w:type="dxa"/>
            <w:vAlign w:val="bottom"/>
            <w:tcBorders>
              <w:top w:val="single" w:sz="8" w:color="0000EE"/>
            </w:tcBorders>
            <w:shd w:val="clear" w:color="auto" w:fill="CCEEFF"/>
          </w:tcPr>
          <w:p>
            <w:pPr>
              <w:spacing w:after="0"/>
              <w:rPr>
                <w:sz w:val="10"/>
                <w:szCs w:val="10"/>
                <w:color w:val="auto"/>
              </w:rPr>
            </w:pPr>
          </w:p>
        </w:tc>
        <w:tc>
          <w:tcPr>
            <w:tcW w:w="420" w:type="dxa"/>
            <w:vAlign w:val="bottom"/>
            <w:tcBorders>
              <w:top w:val="single" w:sz="8" w:color="0000EE"/>
            </w:tcBorders>
            <w:shd w:val="clear" w:color="auto" w:fill="CCEEFF"/>
          </w:tcPr>
          <w:p>
            <w:pPr>
              <w:spacing w:after="0"/>
              <w:rPr>
                <w:sz w:val="10"/>
                <w:szCs w:val="10"/>
                <w:color w:val="auto"/>
              </w:rPr>
            </w:pPr>
          </w:p>
        </w:tc>
        <w:tc>
          <w:tcPr>
            <w:tcW w:w="280" w:type="dxa"/>
            <w:vAlign w:val="bottom"/>
            <w:tcBorders>
              <w:top w:val="single" w:sz="8" w:color="0000EE"/>
            </w:tcBorders>
            <w:shd w:val="clear" w:color="auto" w:fill="CCEEFF"/>
          </w:tcPr>
          <w:p>
            <w:pPr>
              <w:spacing w:after="0"/>
              <w:rPr>
                <w:sz w:val="10"/>
                <w:szCs w:val="10"/>
                <w:color w:val="auto"/>
              </w:rPr>
            </w:pPr>
          </w:p>
        </w:tc>
        <w:tc>
          <w:tcPr>
            <w:tcW w:w="260" w:type="dxa"/>
            <w:vAlign w:val="bottom"/>
            <w:tcBorders>
              <w:top w:val="single" w:sz="8" w:color="0000EE"/>
            </w:tcBorders>
            <w:shd w:val="clear" w:color="auto" w:fill="CCEEFF"/>
          </w:tcPr>
          <w:p>
            <w:pPr>
              <w:spacing w:after="0"/>
              <w:rPr>
                <w:sz w:val="10"/>
                <w:szCs w:val="10"/>
                <w:color w:val="auto"/>
              </w:rPr>
            </w:pPr>
          </w:p>
        </w:tc>
        <w:tc>
          <w:tcPr>
            <w:tcW w:w="1280" w:type="dxa"/>
            <w:vAlign w:val="bottom"/>
            <w:tcBorders>
              <w:top w:val="single" w:sz="8" w:color="0000EE"/>
            </w:tcBorders>
            <w:shd w:val="clear" w:color="auto" w:fill="CCEEFF"/>
          </w:tcPr>
          <w:p>
            <w:pPr>
              <w:spacing w:after="0"/>
              <w:rPr>
                <w:sz w:val="10"/>
                <w:szCs w:val="10"/>
                <w:color w:val="auto"/>
              </w:rPr>
            </w:pPr>
          </w:p>
        </w:tc>
        <w:tc>
          <w:tcPr>
            <w:tcW w:w="240" w:type="dxa"/>
            <w:vAlign w:val="bottom"/>
            <w:tcBorders>
              <w:top w:val="single" w:sz="8" w:color="0000EE"/>
            </w:tcBorders>
            <w:shd w:val="clear" w:color="auto" w:fill="CCEEFF"/>
          </w:tcPr>
          <w:p>
            <w:pPr>
              <w:spacing w:after="0"/>
              <w:rPr>
                <w:sz w:val="10"/>
                <w:szCs w:val="10"/>
                <w:color w:val="auto"/>
              </w:rPr>
            </w:pPr>
          </w:p>
        </w:tc>
        <w:tc>
          <w:tcPr>
            <w:tcW w:w="580" w:type="dxa"/>
            <w:vAlign w:val="bottom"/>
            <w:tcBorders>
              <w:top w:val="single" w:sz="8" w:color="0000EE"/>
            </w:tcBorders>
            <w:shd w:val="clear" w:color="auto" w:fill="CCEEFF"/>
          </w:tcPr>
          <w:p>
            <w:pPr>
              <w:spacing w:after="0"/>
              <w:rPr>
                <w:sz w:val="10"/>
                <w:szCs w:val="10"/>
                <w:color w:val="auto"/>
              </w:rPr>
            </w:pPr>
          </w:p>
        </w:tc>
        <w:tc>
          <w:tcPr>
            <w:tcW w:w="780" w:type="dxa"/>
            <w:vAlign w:val="bottom"/>
            <w:tcBorders>
              <w:top w:val="single" w:sz="8" w:color="0000EE"/>
              <w:right w:val="single" w:sz="8" w:color="CCEEFF"/>
            </w:tcBorders>
            <w:shd w:val="clear" w:color="auto" w:fill="CCEEFF"/>
          </w:tcPr>
          <w:p>
            <w:pPr>
              <w:spacing w:after="0"/>
              <w:rPr>
                <w:sz w:val="10"/>
                <w:szCs w:val="10"/>
                <w:color w:val="auto"/>
              </w:rPr>
            </w:pPr>
          </w:p>
        </w:tc>
        <w:tc>
          <w:tcPr>
            <w:tcW w:w="360" w:type="dxa"/>
            <w:vAlign w:val="bottom"/>
            <w:tcBorders>
              <w:top w:val="single" w:sz="8" w:color="0000EE"/>
            </w:tcBorders>
            <w:shd w:val="clear" w:color="auto" w:fill="CCEEFF"/>
          </w:tcPr>
          <w:p>
            <w:pPr>
              <w:spacing w:after="0"/>
              <w:rPr>
                <w:sz w:val="10"/>
                <w:szCs w:val="10"/>
                <w:color w:val="auto"/>
              </w:rPr>
            </w:pPr>
          </w:p>
        </w:tc>
        <w:tc>
          <w:tcPr>
            <w:tcW w:w="780" w:type="dxa"/>
            <w:vAlign w:val="bottom"/>
            <w:tcBorders>
              <w:top w:val="single" w:sz="8" w:color="0000EE"/>
              <w:right w:val="single" w:sz="8" w:color="CCEEFF"/>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0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60" w:type="dxa"/>
            <w:vAlign w:val="bottom"/>
            <w:tcBorders>
              <w:top w:val="single" w:sz="8" w:color="0000EE"/>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116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128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60" w:type="dxa"/>
            <w:vAlign w:val="bottom"/>
            <w:shd w:val="clear" w:color="auto" w:fill="CCEEFF"/>
          </w:tcPr>
          <w:p>
            <w:pPr>
              <w:jc w:val="center"/>
              <w:spacing w:after="0" w:line="139" w:lineRule="exact"/>
              <w:rPr>
                <w:sz w:val="20"/>
                <w:szCs w:val="20"/>
                <w:color w:val="auto"/>
              </w:rPr>
            </w:pPr>
            <w:r>
              <w:rPr>
                <w:rFonts w:ascii="Arial" w:cs="Arial" w:eastAsia="Arial" w:hAnsi="Arial"/>
                <w:sz w:val="13"/>
                <w:szCs w:val="13"/>
                <w:color w:val="auto"/>
                <w:w w:val="99"/>
              </w:rPr>
              <w:t>4.1</w:t>
            </w:r>
          </w:p>
        </w:tc>
        <w:tc>
          <w:tcPr>
            <w:tcW w:w="220" w:type="dxa"/>
            <w:vAlign w:val="bottom"/>
            <w:tcBorders>
              <w:right w:val="single" w:sz="8" w:color="CCEEFF"/>
            </w:tcBorders>
            <w:shd w:val="clear" w:color="auto" w:fill="CCEEFF"/>
          </w:tcPr>
          <w:p>
            <w:pPr>
              <w:spacing w:after="0"/>
              <w:rPr>
                <w:sz w:val="12"/>
                <w:szCs w:val="12"/>
                <w:color w:val="auto"/>
              </w:rPr>
            </w:pPr>
          </w:p>
        </w:tc>
        <w:tc>
          <w:tcPr>
            <w:tcW w:w="7660" w:type="dxa"/>
            <w:vAlign w:val="bottom"/>
            <w:tcBorders>
              <w:right w:val="single" w:sz="8" w:color="CCEEFF"/>
            </w:tcBorders>
            <w:gridSpan w:val="14"/>
            <w:shd w:val="clear" w:color="auto" w:fill="CCEEFF"/>
          </w:tcPr>
          <w:p>
            <w:pPr>
              <w:spacing w:after="0" w:line="139" w:lineRule="exact"/>
              <w:rPr>
                <w:sz w:val="20"/>
                <w:szCs w:val="20"/>
                <w:color w:val="auto"/>
              </w:rPr>
            </w:pPr>
            <w:r>
              <w:rPr>
                <w:rFonts w:ascii="Arial" w:cs="Arial" w:eastAsia="Arial" w:hAnsi="Arial"/>
                <w:sz w:val="13"/>
                <w:szCs w:val="13"/>
                <w:color w:val="auto"/>
              </w:rPr>
              <w:t>Indenture, dated as of October 10, 1991 (incorporated herein by reference to Exhibit 4.1 to the Registration Statement on Form S-3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660" w:type="dxa"/>
            <w:vAlign w:val="bottom"/>
            <w:tcBorders>
              <w:right w:val="single" w:sz="8" w:color="CCEEFF"/>
            </w:tcBorders>
            <w:gridSpan w:val="14"/>
            <w:shd w:val="clear" w:color="auto" w:fill="CCEEFF"/>
          </w:tcPr>
          <w:p>
            <w:pPr>
              <w:spacing w:after="0" w:line="149" w:lineRule="exact"/>
              <w:rPr>
                <w:sz w:val="20"/>
                <w:szCs w:val="20"/>
                <w:color w:val="auto"/>
              </w:rPr>
            </w:pPr>
            <w:r>
              <w:rPr>
                <w:rFonts w:ascii="Arial" w:cs="Arial" w:eastAsia="Arial" w:hAnsi="Arial"/>
                <w:sz w:val="13"/>
                <w:szCs w:val="13"/>
                <w:color w:val="auto"/>
              </w:rPr>
              <w:t>(Registration No. 33-43334)).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1060" w:type="dxa"/>
            <w:vAlign w:val="bottom"/>
            <w:shd w:val="clear" w:color="auto" w:fill="CCEEFF"/>
          </w:tcPr>
          <w:p>
            <w:pPr>
              <w:jc w:val="center"/>
              <w:spacing w:after="0" w:line="139" w:lineRule="exact"/>
              <w:rPr>
                <w:sz w:val="20"/>
                <w:szCs w:val="20"/>
                <w:color w:val="auto"/>
              </w:rPr>
            </w:pPr>
            <w:r>
              <w:rPr>
                <w:rFonts w:ascii="Arial" w:cs="Arial" w:eastAsia="Arial" w:hAnsi="Arial"/>
                <w:sz w:val="13"/>
                <w:szCs w:val="13"/>
                <w:color w:val="auto"/>
                <w:w w:val="99"/>
              </w:rPr>
              <w:t>4.2</w:t>
            </w:r>
          </w:p>
        </w:tc>
        <w:tc>
          <w:tcPr>
            <w:tcW w:w="220" w:type="dxa"/>
            <w:vAlign w:val="bottom"/>
            <w:tcBorders>
              <w:right w:val="single" w:sz="8" w:color="CCEEFF"/>
            </w:tcBorders>
            <w:shd w:val="clear" w:color="auto" w:fill="CCEEFF"/>
          </w:tcPr>
          <w:p>
            <w:pPr>
              <w:spacing w:after="0"/>
              <w:rPr>
                <w:sz w:val="12"/>
                <w:szCs w:val="12"/>
                <w:color w:val="auto"/>
              </w:rPr>
            </w:pPr>
          </w:p>
        </w:tc>
        <w:tc>
          <w:tcPr>
            <w:tcW w:w="7660" w:type="dxa"/>
            <w:vAlign w:val="bottom"/>
            <w:tcBorders>
              <w:right w:val="single" w:sz="8" w:color="CCEEFF"/>
            </w:tcBorders>
            <w:gridSpan w:val="14"/>
            <w:shd w:val="clear" w:color="auto" w:fill="CCEEFF"/>
          </w:tcPr>
          <w:p>
            <w:pPr>
              <w:spacing w:after="0" w:line="139" w:lineRule="exact"/>
              <w:rPr>
                <w:sz w:val="20"/>
                <w:szCs w:val="20"/>
                <w:color w:val="auto"/>
              </w:rPr>
            </w:pPr>
            <w:r>
              <w:rPr>
                <w:rFonts w:ascii="Arial" w:cs="Arial" w:eastAsia="Arial" w:hAnsi="Arial"/>
                <w:sz w:val="13"/>
                <w:szCs w:val="13"/>
                <w:color w:val="auto"/>
              </w:rPr>
              <w:t>Form of 8-1/2 % Debentures due 2022 (incorporated herein by reference to Exhibit 4 to the Current Report on Form 8-K dated</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660" w:type="dxa"/>
            <w:vAlign w:val="bottom"/>
            <w:tcBorders>
              <w:right w:val="single" w:sz="8" w:color="CCEEFF"/>
            </w:tcBorders>
            <w:gridSpan w:val="14"/>
            <w:shd w:val="clear" w:color="auto" w:fill="CCEEFF"/>
          </w:tcPr>
          <w:p>
            <w:pPr>
              <w:spacing w:after="0" w:line="149" w:lineRule="exact"/>
              <w:rPr>
                <w:sz w:val="20"/>
                <w:szCs w:val="20"/>
                <w:color w:val="auto"/>
              </w:rPr>
            </w:pPr>
            <w:r>
              <w:rPr>
                <w:rFonts w:ascii="Arial" w:cs="Arial" w:eastAsia="Arial" w:hAnsi="Arial"/>
                <w:sz w:val="13"/>
                <w:szCs w:val="13"/>
                <w:color w:val="auto"/>
              </w:rPr>
              <w:t>January 16, 1992).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1060" w:type="dxa"/>
            <w:vAlign w:val="bottom"/>
            <w:shd w:val="clear" w:color="auto" w:fill="CCEEFF"/>
          </w:tcPr>
          <w:p>
            <w:pPr>
              <w:jc w:val="center"/>
              <w:spacing w:after="0" w:line="123" w:lineRule="exact"/>
              <w:rPr>
                <w:sz w:val="20"/>
                <w:szCs w:val="20"/>
                <w:color w:val="auto"/>
              </w:rPr>
            </w:pPr>
            <w:r>
              <w:rPr>
                <w:rFonts w:ascii="Arial" w:cs="Arial" w:eastAsia="Arial" w:hAnsi="Arial"/>
                <w:sz w:val="13"/>
                <w:szCs w:val="13"/>
                <w:color w:val="auto"/>
                <w:w w:val="94"/>
              </w:rPr>
              <w:t>4.3*</w:t>
            </w:r>
          </w:p>
        </w:tc>
        <w:tc>
          <w:tcPr>
            <w:tcW w:w="220" w:type="dxa"/>
            <w:vAlign w:val="bottom"/>
            <w:tcBorders>
              <w:right w:val="single" w:sz="8" w:color="CCEEFF"/>
            </w:tcBorders>
            <w:shd w:val="clear" w:color="auto" w:fill="CCEEFF"/>
          </w:tcPr>
          <w:p>
            <w:pPr>
              <w:spacing w:after="0"/>
              <w:rPr>
                <w:sz w:val="10"/>
                <w:szCs w:val="10"/>
                <w:color w:val="auto"/>
              </w:rPr>
            </w:pPr>
          </w:p>
        </w:tc>
        <w:tc>
          <w:tcPr>
            <w:tcW w:w="7660" w:type="dxa"/>
            <w:vAlign w:val="bottom"/>
            <w:tcBorders>
              <w:right w:val="single" w:sz="8" w:color="CCEEFF"/>
            </w:tcBorders>
            <w:gridSpan w:val="14"/>
            <w:shd w:val="clear" w:color="auto" w:fill="CCEEFF"/>
          </w:tcPr>
          <w:p>
            <w:pPr>
              <w:spacing w:after="0" w:line="123" w:lineRule="exact"/>
              <w:rPr>
                <w:rFonts w:ascii="Arial" w:cs="Arial" w:eastAsia="Arial" w:hAnsi="Arial"/>
                <w:sz w:val="13"/>
                <w:szCs w:val="13"/>
                <w:color w:val="0000EE"/>
              </w:rPr>
            </w:pPr>
            <w:hyperlink w:anchor="page87">
              <w:r>
                <w:rPr>
                  <w:rFonts w:ascii="Arial" w:cs="Arial" w:eastAsia="Arial" w:hAnsi="Arial"/>
                  <w:sz w:val="13"/>
                  <w:szCs w:val="13"/>
                  <w:color w:val="0000EE"/>
                </w:rPr>
                <w:t>Description of Registrant’s Securities.</w:t>
              </w:r>
            </w:hyperlink>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0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60" w:type="dxa"/>
            <w:vAlign w:val="bottom"/>
            <w:tcBorders>
              <w:top w:val="single" w:sz="8" w:color="0000EE"/>
            </w:tcBorders>
          </w:tcPr>
          <w:p>
            <w:pPr>
              <w:spacing w:after="0"/>
              <w:rPr>
                <w:sz w:val="12"/>
                <w:szCs w:val="12"/>
                <w:color w:val="auto"/>
              </w:rPr>
            </w:pPr>
          </w:p>
        </w:tc>
        <w:tc>
          <w:tcPr>
            <w:tcW w:w="620" w:type="dxa"/>
            <w:vAlign w:val="bottom"/>
            <w:tcBorders>
              <w:top w:val="single" w:sz="8" w:color="0000EE"/>
            </w:tcBorders>
          </w:tcPr>
          <w:p>
            <w:pPr>
              <w:spacing w:after="0"/>
              <w:rPr>
                <w:sz w:val="12"/>
                <w:szCs w:val="12"/>
                <w:color w:val="auto"/>
              </w:rPr>
            </w:pPr>
          </w:p>
        </w:tc>
        <w:tc>
          <w:tcPr>
            <w:tcW w:w="1160" w:type="dxa"/>
            <w:vAlign w:val="bottom"/>
            <w:tcBorders>
              <w:top w:val="single" w:sz="8" w:color="0000EE"/>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128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060" w:type="dxa"/>
            <w:vAlign w:val="bottom"/>
            <w:tcBorders>
              <w:bottom w:val="single" w:sz="8" w:color="CCEEFF"/>
            </w:tcBorders>
            <w:shd w:val="clear" w:color="auto" w:fill="CCEEFF"/>
          </w:tcPr>
          <w:p>
            <w:pPr>
              <w:jc w:val="center"/>
              <w:spacing w:after="0" w:line="123" w:lineRule="exact"/>
              <w:rPr>
                <w:sz w:val="20"/>
                <w:szCs w:val="20"/>
                <w:color w:val="auto"/>
              </w:rPr>
            </w:pPr>
            <w:r>
              <w:rPr>
                <w:rFonts w:ascii="Arial" w:cs="Arial" w:eastAsia="Arial" w:hAnsi="Arial"/>
                <w:sz w:val="13"/>
                <w:szCs w:val="13"/>
                <w:color w:val="auto"/>
              </w:rPr>
              <w:t>10.1</w:t>
            </w:r>
          </w:p>
        </w:tc>
        <w:tc>
          <w:tcPr>
            <w:tcW w:w="220" w:type="dxa"/>
            <w:vAlign w:val="bottom"/>
            <w:tcBorders>
              <w:bottom w:val="single" w:sz="8" w:color="CCEEFF"/>
              <w:right w:val="single" w:sz="8" w:color="CCEEFF"/>
            </w:tcBorders>
            <w:shd w:val="clear" w:color="auto" w:fill="CCEEFF"/>
          </w:tcPr>
          <w:p>
            <w:pPr>
              <w:spacing w:after="0"/>
              <w:rPr>
                <w:sz w:val="10"/>
                <w:szCs w:val="10"/>
                <w:color w:val="auto"/>
              </w:rPr>
            </w:pPr>
          </w:p>
        </w:tc>
        <w:tc>
          <w:tcPr>
            <w:tcW w:w="7660" w:type="dxa"/>
            <w:vAlign w:val="bottom"/>
            <w:tcBorders>
              <w:bottom w:val="single" w:sz="8" w:color="0000EE"/>
              <w:right w:val="single" w:sz="8" w:color="CCEEFF"/>
            </w:tcBorders>
            <w:gridSpan w:val="14"/>
            <w:shd w:val="clear" w:color="auto" w:fill="CCEEFF"/>
          </w:tcPr>
          <w:p>
            <w:pPr>
              <w:spacing w:after="0" w:line="123" w:lineRule="exact"/>
              <w:rPr>
                <w:rFonts w:ascii="Arial" w:cs="Arial" w:eastAsia="Arial" w:hAnsi="Arial"/>
                <w:sz w:val="13"/>
                <w:szCs w:val="13"/>
                <w:color w:val="0000EE"/>
              </w:rPr>
            </w:pPr>
            <w:hyperlink r:id="rId140">
              <w:r>
                <w:rPr>
                  <w:rFonts w:ascii="Arial" w:cs="Arial" w:eastAsia="Arial" w:hAnsi="Arial"/>
                  <w:sz w:val="13"/>
                  <w:szCs w:val="13"/>
                  <w:color w:val="0000EE"/>
                </w:rPr>
                <w:t>Credit Agreement, dated as of May 19, 2016, among Foot Locker, Inc., a New York corporation, the guarantors party thereto, the</w:t>
              </w:r>
            </w:hyperlink>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06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7660" w:type="dxa"/>
            <w:vAlign w:val="bottom"/>
            <w:tcBorders>
              <w:right w:val="single" w:sz="8" w:color="CCEEFF"/>
            </w:tcBorders>
            <w:gridSpan w:val="14"/>
            <w:shd w:val="clear" w:color="auto" w:fill="CCEEFF"/>
          </w:tcPr>
          <w:p>
            <w:pPr>
              <w:spacing w:after="0" w:line="124" w:lineRule="exact"/>
              <w:rPr>
                <w:rFonts w:ascii="Arial" w:cs="Arial" w:eastAsia="Arial" w:hAnsi="Arial"/>
                <w:sz w:val="13"/>
                <w:szCs w:val="13"/>
                <w:color w:val="0000EE"/>
              </w:rPr>
            </w:pPr>
            <w:hyperlink r:id="rId140">
              <w:r>
                <w:rPr>
                  <w:rFonts w:ascii="Arial" w:cs="Arial" w:eastAsia="Arial" w:hAnsi="Arial"/>
                  <w:sz w:val="13"/>
                  <w:szCs w:val="13"/>
                  <w:color w:val="0000EE"/>
                </w:rPr>
                <w:t>lenders party thereto and Wells Fargo, National Association, as agent, letter of credit issuer and swing line lender (incorporated</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06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right w:val="single" w:sz="8" w:color="CCEEFF"/>
            </w:tcBorders>
            <w:shd w:val="clear" w:color="auto" w:fill="CCEEFF"/>
          </w:tcPr>
          <w:p>
            <w:pPr>
              <w:spacing w:after="0"/>
              <w:rPr>
                <w:sz w:val="10"/>
                <w:szCs w:val="10"/>
                <w:color w:val="auto"/>
              </w:rPr>
            </w:pPr>
          </w:p>
        </w:tc>
        <w:tc>
          <w:tcPr>
            <w:tcW w:w="7660" w:type="dxa"/>
            <w:vAlign w:val="bottom"/>
            <w:tcBorders>
              <w:top w:val="single" w:sz="8" w:color="0000EE"/>
              <w:right w:val="single" w:sz="8" w:color="CCEEFF"/>
            </w:tcBorders>
            <w:gridSpan w:val="14"/>
            <w:shd w:val="clear" w:color="auto" w:fill="CCEEFF"/>
          </w:tcPr>
          <w:p>
            <w:pPr>
              <w:spacing w:after="0" w:line="124" w:lineRule="exact"/>
              <w:rPr>
                <w:rFonts w:ascii="Arial" w:cs="Arial" w:eastAsia="Arial" w:hAnsi="Arial"/>
                <w:sz w:val="13"/>
                <w:szCs w:val="13"/>
                <w:color w:val="0000EE"/>
              </w:rPr>
            </w:pPr>
            <w:hyperlink r:id="rId140">
              <w:r>
                <w:rPr>
                  <w:rFonts w:ascii="Arial" w:cs="Arial" w:eastAsia="Arial" w:hAnsi="Arial"/>
                  <w:sz w:val="13"/>
                  <w:szCs w:val="13"/>
                  <w:color w:val="0000EE"/>
                </w:rPr>
                <w:t>herein by reference to Exhibit 10.1 to the Current Report on Form 8-K dated May 19, 2016 filed on May 19, 2016).</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0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60" w:type="dxa"/>
            <w:vAlign w:val="bottom"/>
            <w:tcBorders>
              <w:top w:val="single" w:sz="8" w:color="0000EE"/>
            </w:tcBorders>
          </w:tcPr>
          <w:p>
            <w:pPr>
              <w:spacing w:after="0"/>
              <w:rPr>
                <w:sz w:val="12"/>
                <w:szCs w:val="12"/>
                <w:color w:val="auto"/>
              </w:rPr>
            </w:pPr>
          </w:p>
        </w:tc>
        <w:tc>
          <w:tcPr>
            <w:tcW w:w="620" w:type="dxa"/>
            <w:vAlign w:val="bottom"/>
            <w:tcBorders>
              <w:top w:val="single" w:sz="8" w:color="0000EE"/>
            </w:tcBorders>
          </w:tcPr>
          <w:p>
            <w:pPr>
              <w:spacing w:after="0"/>
              <w:rPr>
                <w:sz w:val="12"/>
                <w:szCs w:val="12"/>
                <w:color w:val="auto"/>
              </w:rPr>
            </w:pPr>
          </w:p>
        </w:tc>
        <w:tc>
          <w:tcPr>
            <w:tcW w:w="116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400" w:type="dxa"/>
            <w:vAlign w:val="bottom"/>
            <w:tcBorders>
              <w:top w:val="single" w:sz="8" w:color="0000EE"/>
            </w:tcBorders>
          </w:tcPr>
          <w:p>
            <w:pPr>
              <w:spacing w:after="0"/>
              <w:rPr>
                <w:sz w:val="12"/>
                <w:szCs w:val="12"/>
                <w:color w:val="auto"/>
              </w:rPr>
            </w:pPr>
          </w:p>
        </w:tc>
        <w:tc>
          <w:tcPr>
            <w:tcW w:w="420" w:type="dxa"/>
            <w:vAlign w:val="bottom"/>
            <w:tcBorders>
              <w:top w:val="single" w:sz="8" w:color="0000EE"/>
            </w:tcBorders>
          </w:tcPr>
          <w:p>
            <w:pPr>
              <w:spacing w:after="0"/>
              <w:rPr>
                <w:sz w:val="12"/>
                <w:szCs w:val="12"/>
                <w:color w:val="auto"/>
              </w:rPr>
            </w:pPr>
          </w:p>
        </w:tc>
        <w:tc>
          <w:tcPr>
            <w:tcW w:w="280" w:type="dxa"/>
            <w:vAlign w:val="bottom"/>
            <w:tcBorders>
              <w:top w:val="single" w:sz="8" w:color="0000EE"/>
            </w:tcBorders>
          </w:tcPr>
          <w:p>
            <w:pPr>
              <w:spacing w:after="0"/>
              <w:rPr>
                <w:sz w:val="12"/>
                <w:szCs w:val="12"/>
                <w:color w:val="auto"/>
              </w:rPr>
            </w:pPr>
          </w:p>
        </w:tc>
        <w:tc>
          <w:tcPr>
            <w:tcW w:w="260" w:type="dxa"/>
            <w:vAlign w:val="bottom"/>
            <w:tcBorders>
              <w:top w:val="single" w:sz="8" w:color="0000EE"/>
            </w:tcBorders>
          </w:tcPr>
          <w:p>
            <w:pPr>
              <w:spacing w:after="0"/>
              <w:rPr>
                <w:sz w:val="12"/>
                <w:szCs w:val="12"/>
                <w:color w:val="auto"/>
              </w:rPr>
            </w:pPr>
          </w:p>
        </w:tc>
        <w:tc>
          <w:tcPr>
            <w:tcW w:w="1280" w:type="dxa"/>
            <w:vAlign w:val="bottom"/>
            <w:tcBorders>
              <w:top w:val="single" w:sz="8" w:color="0000EE"/>
            </w:tcBorders>
          </w:tcPr>
          <w:p>
            <w:pPr>
              <w:spacing w:after="0"/>
              <w:rPr>
                <w:sz w:val="12"/>
                <w:szCs w:val="12"/>
                <w:color w:val="auto"/>
              </w:rPr>
            </w:pPr>
          </w:p>
        </w:tc>
        <w:tc>
          <w:tcPr>
            <w:tcW w:w="240" w:type="dxa"/>
            <w:vAlign w:val="bottom"/>
            <w:tcBorders>
              <w:top w:val="single" w:sz="8" w:color="0000EE"/>
            </w:tcBorders>
          </w:tcPr>
          <w:p>
            <w:pPr>
              <w:spacing w:after="0"/>
              <w:rPr>
                <w:sz w:val="12"/>
                <w:szCs w:val="12"/>
                <w:color w:val="auto"/>
              </w:rPr>
            </w:pPr>
          </w:p>
        </w:tc>
        <w:tc>
          <w:tcPr>
            <w:tcW w:w="580" w:type="dxa"/>
            <w:vAlign w:val="bottom"/>
            <w:tcBorders>
              <w:top w:val="single" w:sz="8" w:color="0000EE"/>
            </w:tcBorders>
          </w:tcPr>
          <w:p>
            <w:pPr>
              <w:spacing w:after="0"/>
              <w:rPr>
                <w:sz w:val="12"/>
                <w:szCs w:val="12"/>
                <w:color w:val="auto"/>
              </w:rPr>
            </w:pPr>
          </w:p>
        </w:tc>
        <w:tc>
          <w:tcPr>
            <w:tcW w:w="780" w:type="dxa"/>
            <w:vAlign w:val="bottom"/>
            <w:tcBorders>
              <w:top w:val="single" w:sz="8" w:color="0000EE"/>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060" w:type="dxa"/>
            <w:vAlign w:val="bottom"/>
            <w:tcBorders>
              <w:bottom w:val="single" w:sz="8" w:color="CCEEFF"/>
            </w:tcBorders>
            <w:shd w:val="clear" w:color="auto" w:fill="CCEEFF"/>
          </w:tcPr>
          <w:p>
            <w:pPr>
              <w:jc w:val="center"/>
              <w:spacing w:after="0" w:line="123" w:lineRule="exact"/>
              <w:rPr>
                <w:sz w:val="20"/>
                <w:szCs w:val="20"/>
                <w:color w:val="auto"/>
              </w:rPr>
            </w:pPr>
            <w:r>
              <w:rPr>
                <w:rFonts w:ascii="Arial" w:cs="Arial" w:eastAsia="Arial" w:hAnsi="Arial"/>
                <w:sz w:val="13"/>
                <w:szCs w:val="13"/>
                <w:color w:val="auto"/>
              </w:rPr>
              <w:t>10.2</w:t>
            </w:r>
          </w:p>
        </w:tc>
        <w:tc>
          <w:tcPr>
            <w:tcW w:w="220" w:type="dxa"/>
            <w:vAlign w:val="bottom"/>
            <w:tcBorders>
              <w:bottom w:val="single" w:sz="8" w:color="CCEEFF"/>
              <w:right w:val="single" w:sz="8" w:color="CCEEFF"/>
            </w:tcBorders>
            <w:shd w:val="clear" w:color="auto" w:fill="CCEEFF"/>
          </w:tcPr>
          <w:p>
            <w:pPr>
              <w:spacing w:after="0"/>
              <w:rPr>
                <w:sz w:val="10"/>
                <w:szCs w:val="10"/>
                <w:color w:val="auto"/>
              </w:rPr>
            </w:pPr>
          </w:p>
        </w:tc>
        <w:tc>
          <w:tcPr>
            <w:tcW w:w="7660" w:type="dxa"/>
            <w:vAlign w:val="bottom"/>
            <w:tcBorders>
              <w:bottom w:val="single" w:sz="8" w:color="0000EE"/>
              <w:right w:val="single" w:sz="8" w:color="CCEEFF"/>
            </w:tcBorders>
            <w:gridSpan w:val="14"/>
            <w:shd w:val="clear" w:color="auto" w:fill="CCEEFF"/>
          </w:tcPr>
          <w:p>
            <w:pPr>
              <w:spacing w:after="0" w:line="123" w:lineRule="exact"/>
              <w:rPr>
                <w:rFonts w:ascii="Arial" w:cs="Arial" w:eastAsia="Arial" w:hAnsi="Arial"/>
                <w:sz w:val="13"/>
                <w:szCs w:val="13"/>
                <w:color w:val="0000EE"/>
              </w:rPr>
            </w:pPr>
            <w:hyperlink r:id="rId141">
              <w:r>
                <w:rPr>
                  <w:rFonts w:ascii="Arial" w:cs="Arial" w:eastAsia="Arial" w:hAnsi="Arial"/>
                  <w:sz w:val="13"/>
                  <w:szCs w:val="13"/>
                  <w:color w:val="0000EE"/>
                </w:rPr>
                <w:t>Amendment No. 1 to Credit Agreement, dated as of July 14, 2020, among Foot Locker, Inc., a New York corporation, the guarantors</w:t>
              </w:r>
            </w:hyperlink>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060" w:type="dxa"/>
            <w:vAlign w:val="bottom"/>
            <w:tcBorders>
              <w:bottom w:val="single" w:sz="8" w:color="CCEEFF"/>
            </w:tcBorders>
            <w:shd w:val="clear" w:color="auto" w:fill="CCEEFF"/>
          </w:tcPr>
          <w:p>
            <w:pPr>
              <w:spacing w:after="0"/>
              <w:rPr>
                <w:sz w:val="10"/>
                <w:szCs w:val="10"/>
                <w:color w:val="auto"/>
              </w:rPr>
            </w:pPr>
          </w:p>
        </w:tc>
        <w:tc>
          <w:tcPr>
            <w:tcW w:w="220" w:type="dxa"/>
            <w:vAlign w:val="bottom"/>
            <w:tcBorders>
              <w:bottom w:val="single" w:sz="8" w:color="CCEEFF"/>
              <w:right w:val="single" w:sz="8" w:color="CCEEFF"/>
            </w:tcBorders>
            <w:shd w:val="clear" w:color="auto" w:fill="CCEEFF"/>
          </w:tcPr>
          <w:p>
            <w:pPr>
              <w:spacing w:after="0"/>
              <w:rPr>
                <w:sz w:val="10"/>
                <w:szCs w:val="10"/>
                <w:color w:val="auto"/>
              </w:rPr>
            </w:pPr>
          </w:p>
        </w:tc>
        <w:tc>
          <w:tcPr>
            <w:tcW w:w="7660" w:type="dxa"/>
            <w:vAlign w:val="bottom"/>
            <w:tcBorders>
              <w:bottom w:val="single" w:sz="8" w:color="0000EE"/>
              <w:right w:val="single" w:sz="8" w:color="CCEEFF"/>
            </w:tcBorders>
            <w:gridSpan w:val="14"/>
            <w:shd w:val="clear" w:color="auto" w:fill="CCEEFF"/>
          </w:tcPr>
          <w:p>
            <w:pPr>
              <w:spacing w:after="0" w:line="124" w:lineRule="exact"/>
              <w:rPr>
                <w:rFonts w:ascii="Arial" w:cs="Arial" w:eastAsia="Arial" w:hAnsi="Arial"/>
                <w:sz w:val="13"/>
                <w:szCs w:val="13"/>
                <w:color w:val="0000EE"/>
              </w:rPr>
            </w:pPr>
            <w:hyperlink r:id="rId141">
              <w:r>
                <w:rPr>
                  <w:rFonts w:ascii="Arial" w:cs="Arial" w:eastAsia="Arial" w:hAnsi="Arial"/>
                  <w:sz w:val="13"/>
                  <w:szCs w:val="13"/>
                  <w:color w:val="0000EE"/>
                </w:rPr>
                <w:t>party thereto, the lenders party thereto, and Wells Fargo, National Association, as administrative agent, letter of credit issuer, and</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06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7660" w:type="dxa"/>
            <w:vAlign w:val="bottom"/>
            <w:tcBorders>
              <w:right w:val="single" w:sz="8" w:color="CCEEFF"/>
            </w:tcBorders>
            <w:gridSpan w:val="14"/>
            <w:shd w:val="clear" w:color="auto" w:fill="CCEEFF"/>
          </w:tcPr>
          <w:p>
            <w:pPr>
              <w:spacing w:after="0" w:line="124" w:lineRule="exact"/>
              <w:rPr>
                <w:rFonts w:ascii="Arial" w:cs="Arial" w:eastAsia="Arial" w:hAnsi="Arial"/>
                <w:sz w:val="13"/>
                <w:szCs w:val="13"/>
                <w:color w:val="0000EE"/>
              </w:rPr>
            </w:pPr>
            <w:hyperlink r:id="rId141">
              <w:r>
                <w:rPr>
                  <w:rFonts w:ascii="Arial" w:cs="Arial" w:eastAsia="Arial" w:hAnsi="Arial"/>
                  <w:sz w:val="13"/>
                  <w:szCs w:val="13"/>
                  <w:color w:val="0000EE"/>
                </w:rPr>
                <w:t xml:space="preserve">swing line lender </w:t>
              </w:r>
              <w:r>
                <w:rPr>
                  <w:rFonts w:ascii="Arial" w:cs="Arial" w:eastAsia="Arial" w:hAnsi="Arial"/>
                  <w:sz w:val="13"/>
                  <w:szCs w:val="13"/>
                  <w:color w:val="000000"/>
                </w:rPr>
                <w:t>(incorporated herein by reference to Exhibit 10.1 to the Current Report on Form 8-K dated July 14, 2020 filed on</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0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right w:val="single" w:sz="8" w:color="CCEEFF"/>
            </w:tcBorders>
            <w:shd w:val="clear" w:color="auto" w:fill="CCEEFF"/>
          </w:tcPr>
          <w:p>
            <w:pPr>
              <w:spacing w:after="0"/>
              <w:rPr>
                <w:sz w:val="12"/>
                <w:szCs w:val="12"/>
                <w:color w:val="auto"/>
              </w:rPr>
            </w:pPr>
          </w:p>
        </w:tc>
        <w:tc>
          <w:tcPr>
            <w:tcW w:w="980" w:type="dxa"/>
            <w:vAlign w:val="bottom"/>
            <w:tcBorders>
              <w:top w:val="single" w:sz="8" w:color="0000EE"/>
              <w:right w:val="single" w:sz="8" w:color="CCEEFF"/>
            </w:tcBorders>
            <w:gridSpan w:val="2"/>
            <w:shd w:val="clear" w:color="auto" w:fill="CCEEFF"/>
          </w:tcPr>
          <w:p>
            <w:pPr>
              <w:spacing w:after="0" w:line="144" w:lineRule="exact"/>
              <w:rPr>
                <w:sz w:val="20"/>
                <w:szCs w:val="20"/>
                <w:color w:val="auto"/>
              </w:rPr>
            </w:pPr>
            <w:r>
              <w:rPr>
                <w:rFonts w:ascii="Arial" w:cs="Arial" w:eastAsia="Arial" w:hAnsi="Arial"/>
                <w:sz w:val="13"/>
                <w:szCs w:val="13"/>
                <w:color w:val="auto"/>
              </w:rPr>
              <w:t>July 16, 2020).</w:t>
            </w:r>
          </w:p>
        </w:tc>
        <w:tc>
          <w:tcPr>
            <w:tcW w:w="6680" w:type="dxa"/>
            <w:vAlign w:val="bottom"/>
            <w:tcBorders>
              <w:top w:val="single" w:sz="8" w:color="CCEEFF"/>
              <w:right w:val="single" w:sz="8" w:color="CCEEFF"/>
            </w:tcBorders>
            <w:gridSpan w:val="12"/>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060" w:type="dxa"/>
            <w:vAlign w:val="bottom"/>
            <w:tcBorders>
              <w:bottom w:val="single" w:sz="8" w:color="CCEEFF"/>
            </w:tcBorders>
            <w:shd w:val="clear" w:color="auto" w:fill="CCEEFF"/>
          </w:tcPr>
          <w:p>
            <w:pPr>
              <w:jc w:val="center"/>
              <w:spacing w:after="0" w:line="123" w:lineRule="exact"/>
              <w:rPr>
                <w:sz w:val="20"/>
                <w:szCs w:val="20"/>
                <w:color w:val="auto"/>
              </w:rPr>
            </w:pPr>
            <w:r>
              <w:rPr>
                <w:rFonts w:ascii="Arial" w:cs="Arial" w:eastAsia="Arial" w:hAnsi="Arial"/>
                <w:sz w:val="13"/>
                <w:szCs w:val="13"/>
                <w:color w:val="auto"/>
              </w:rPr>
              <w:t>10.3†</w:t>
            </w:r>
          </w:p>
        </w:tc>
        <w:tc>
          <w:tcPr>
            <w:tcW w:w="220" w:type="dxa"/>
            <w:vAlign w:val="bottom"/>
            <w:tcBorders>
              <w:bottom w:val="single" w:sz="8" w:color="CCEEFF"/>
              <w:right w:val="single" w:sz="8" w:color="CCEEFF"/>
            </w:tcBorders>
            <w:shd w:val="clear" w:color="auto" w:fill="CCEEFF"/>
          </w:tcPr>
          <w:p>
            <w:pPr>
              <w:spacing w:after="0"/>
              <w:rPr>
                <w:sz w:val="10"/>
                <w:szCs w:val="10"/>
                <w:color w:val="auto"/>
              </w:rPr>
            </w:pPr>
          </w:p>
        </w:tc>
        <w:tc>
          <w:tcPr>
            <w:tcW w:w="7660" w:type="dxa"/>
            <w:vAlign w:val="bottom"/>
            <w:tcBorders>
              <w:bottom w:val="single" w:sz="8" w:color="0000EE"/>
              <w:right w:val="single" w:sz="8" w:color="CCEEFF"/>
            </w:tcBorders>
            <w:gridSpan w:val="14"/>
            <w:shd w:val="clear" w:color="auto" w:fill="CCEEFF"/>
          </w:tcPr>
          <w:p>
            <w:pPr>
              <w:spacing w:after="0" w:line="123" w:lineRule="exact"/>
              <w:rPr>
                <w:rFonts w:ascii="Arial" w:cs="Arial" w:eastAsia="Arial" w:hAnsi="Arial"/>
                <w:sz w:val="13"/>
                <w:szCs w:val="13"/>
                <w:color w:val="0000EE"/>
              </w:rPr>
            </w:pPr>
            <w:hyperlink r:id="rId142">
              <w:r>
                <w:rPr>
                  <w:rFonts w:ascii="Arial" w:cs="Arial" w:eastAsia="Arial" w:hAnsi="Arial"/>
                  <w:sz w:val="13"/>
                  <w:szCs w:val="13"/>
                  <w:color w:val="0000EE"/>
                </w:rPr>
                <w:t>Foot Locker 2007 Stock Incentive Plan, amended and restated as of May 21, 2014 (incorporated herein by reference to Exhibit 10.3</w:t>
              </w:r>
            </w:hyperlink>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06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7660" w:type="dxa"/>
            <w:vAlign w:val="bottom"/>
            <w:tcBorders>
              <w:right w:val="single" w:sz="8" w:color="CCEEFF"/>
            </w:tcBorders>
            <w:gridSpan w:val="14"/>
            <w:shd w:val="clear" w:color="auto" w:fill="CCEEFF"/>
          </w:tcPr>
          <w:p>
            <w:pPr>
              <w:spacing w:after="0" w:line="124" w:lineRule="exact"/>
              <w:rPr>
                <w:rFonts w:ascii="Arial" w:cs="Arial" w:eastAsia="Arial" w:hAnsi="Arial"/>
                <w:sz w:val="13"/>
                <w:szCs w:val="13"/>
                <w:color w:val="0000EE"/>
              </w:rPr>
            </w:pPr>
            <w:hyperlink r:id="rId142">
              <w:r>
                <w:rPr>
                  <w:rFonts w:ascii="Arial" w:cs="Arial" w:eastAsia="Arial" w:hAnsi="Arial"/>
                  <w:sz w:val="13"/>
                  <w:szCs w:val="13"/>
                  <w:color w:val="0000EE"/>
                </w:rPr>
                <w:t>to the Current Report on Form 8-K dated December 23, 2014 filed on December 31, 2014.</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0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60" w:type="dxa"/>
            <w:vAlign w:val="bottom"/>
            <w:tcBorders>
              <w:top w:val="single" w:sz="8" w:color="0000EE"/>
            </w:tcBorders>
          </w:tcPr>
          <w:p>
            <w:pPr>
              <w:spacing w:after="0"/>
              <w:rPr>
                <w:sz w:val="12"/>
                <w:szCs w:val="12"/>
                <w:color w:val="auto"/>
              </w:rPr>
            </w:pPr>
          </w:p>
        </w:tc>
        <w:tc>
          <w:tcPr>
            <w:tcW w:w="620" w:type="dxa"/>
            <w:vAlign w:val="bottom"/>
            <w:tcBorders>
              <w:top w:val="single" w:sz="8" w:color="0000EE"/>
            </w:tcBorders>
          </w:tcPr>
          <w:p>
            <w:pPr>
              <w:spacing w:after="0"/>
              <w:rPr>
                <w:sz w:val="12"/>
                <w:szCs w:val="12"/>
                <w:color w:val="auto"/>
              </w:rPr>
            </w:pPr>
          </w:p>
        </w:tc>
        <w:tc>
          <w:tcPr>
            <w:tcW w:w="1160" w:type="dxa"/>
            <w:vAlign w:val="bottom"/>
            <w:tcBorders>
              <w:top w:val="single" w:sz="8" w:color="0000EE"/>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400" w:type="dxa"/>
            <w:vAlign w:val="bottom"/>
            <w:tcBorders>
              <w:top w:val="single" w:sz="8" w:color="0000EE"/>
            </w:tcBorders>
          </w:tcPr>
          <w:p>
            <w:pPr>
              <w:spacing w:after="0"/>
              <w:rPr>
                <w:sz w:val="12"/>
                <w:szCs w:val="12"/>
                <w:color w:val="auto"/>
              </w:rPr>
            </w:pPr>
          </w:p>
        </w:tc>
        <w:tc>
          <w:tcPr>
            <w:tcW w:w="420" w:type="dxa"/>
            <w:vAlign w:val="bottom"/>
            <w:tcBorders>
              <w:top w:val="single" w:sz="8" w:color="0000EE"/>
            </w:tcBorders>
          </w:tcPr>
          <w:p>
            <w:pPr>
              <w:spacing w:after="0"/>
              <w:rPr>
                <w:sz w:val="12"/>
                <w:szCs w:val="12"/>
                <w:color w:val="auto"/>
              </w:rPr>
            </w:pPr>
          </w:p>
        </w:tc>
        <w:tc>
          <w:tcPr>
            <w:tcW w:w="280" w:type="dxa"/>
            <w:vAlign w:val="bottom"/>
            <w:tcBorders>
              <w:top w:val="single" w:sz="8" w:color="0000EE"/>
            </w:tcBorders>
          </w:tcPr>
          <w:p>
            <w:pPr>
              <w:spacing w:after="0"/>
              <w:rPr>
                <w:sz w:val="12"/>
                <w:szCs w:val="12"/>
                <w:color w:val="auto"/>
              </w:rPr>
            </w:pPr>
          </w:p>
        </w:tc>
        <w:tc>
          <w:tcPr>
            <w:tcW w:w="260" w:type="dxa"/>
            <w:vAlign w:val="bottom"/>
            <w:tcBorders>
              <w:top w:val="single" w:sz="8" w:color="0000EE"/>
            </w:tcBorders>
          </w:tcPr>
          <w:p>
            <w:pPr>
              <w:spacing w:after="0"/>
              <w:rPr>
                <w:sz w:val="12"/>
                <w:szCs w:val="12"/>
                <w:color w:val="auto"/>
              </w:rPr>
            </w:pPr>
          </w:p>
        </w:tc>
        <w:tc>
          <w:tcPr>
            <w:tcW w:w="1280" w:type="dxa"/>
            <w:vAlign w:val="bottom"/>
            <w:tcBorders>
              <w:top w:val="single" w:sz="8" w:color="0000EE"/>
            </w:tcBorders>
          </w:tcPr>
          <w:p>
            <w:pPr>
              <w:spacing w:after="0"/>
              <w:rPr>
                <w:sz w:val="12"/>
                <w:szCs w:val="12"/>
                <w:color w:val="auto"/>
              </w:rPr>
            </w:pPr>
          </w:p>
        </w:tc>
        <w:tc>
          <w:tcPr>
            <w:tcW w:w="240" w:type="dxa"/>
            <w:vAlign w:val="bottom"/>
            <w:tcBorders>
              <w:top w:val="single" w:sz="8" w:color="0000EE"/>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060" w:type="dxa"/>
            <w:vAlign w:val="bottom"/>
            <w:tcBorders>
              <w:bottom w:val="single" w:sz="8" w:color="CCEEFF"/>
            </w:tcBorders>
            <w:shd w:val="clear" w:color="auto" w:fill="CCEEFF"/>
          </w:tcPr>
          <w:p>
            <w:pPr>
              <w:jc w:val="center"/>
              <w:spacing w:after="0" w:line="123" w:lineRule="exact"/>
              <w:rPr>
                <w:sz w:val="20"/>
                <w:szCs w:val="20"/>
                <w:color w:val="auto"/>
              </w:rPr>
            </w:pPr>
            <w:r>
              <w:rPr>
                <w:rFonts w:ascii="Arial" w:cs="Arial" w:eastAsia="Arial" w:hAnsi="Arial"/>
                <w:sz w:val="13"/>
                <w:szCs w:val="13"/>
                <w:color w:val="auto"/>
              </w:rPr>
              <w:t>10.4†</w:t>
            </w:r>
          </w:p>
        </w:tc>
        <w:tc>
          <w:tcPr>
            <w:tcW w:w="220" w:type="dxa"/>
            <w:vAlign w:val="bottom"/>
            <w:tcBorders>
              <w:bottom w:val="single" w:sz="8" w:color="CCEEFF"/>
              <w:right w:val="single" w:sz="8" w:color="CCEEFF"/>
            </w:tcBorders>
            <w:shd w:val="clear" w:color="auto" w:fill="CCEEFF"/>
          </w:tcPr>
          <w:p>
            <w:pPr>
              <w:spacing w:after="0"/>
              <w:rPr>
                <w:sz w:val="10"/>
                <w:szCs w:val="10"/>
                <w:color w:val="auto"/>
              </w:rPr>
            </w:pPr>
          </w:p>
        </w:tc>
        <w:tc>
          <w:tcPr>
            <w:tcW w:w="7660" w:type="dxa"/>
            <w:vAlign w:val="bottom"/>
            <w:tcBorders>
              <w:bottom w:val="single" w:sz="8" w:color="0000EE"/>
              <w:right w:val="single" w:sz="8" w:color="CCEEFF"/>
            </w:tcBorders>
            <w:gridSpan w:val="14"/>
            <w:shd w:val="clear" w:color="auto" w:fill="CCEEFF"/>
          </w:tcPr>
          <w:p>
            <w:pPr>
              <w:spacing w:after="0" w:line="123" w:lineRule="exact"/>
              <w:rPr>
                <w:rFonts w:ascii="Arial" w:cs="Arial" w:eastAsia="Arial" w:hAnsi="Arial"/>
                <w:sz w:val="13"/>
                <w:szCs w:val="13"/>
                <w:color w:val="0000EE"/>
              </w:rPr>
            </w:pPr>
            <w:hyperlink r:id="rId143">
              <w:r>
                <w:rPr>
                  <w:rFonts w:ascii="Arial" w:cs="Arial" w:eastAsia="Arial" w:hAnsi="Arial"/>
                  <w:sz w:val="13"/>
                  <w:szCs w:val="13"/>
                  <w:color w:val="0000EE"/>
                </w:rPr>
                <w:t>Amendment Number One to the Foot Locker 2007 Stock Incentive Plan, amended and restated as of May 21, 2014 (incorporated</w:t>
              </w:r>
            </w:hyperlink>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06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7660" w:type="dxa"/>
            <w:vAlign w:val="bottom"/>
            <w:tcBorders>
              <w:right w:val="single" w:sz="8" w:color="CCEEFF"/>
            </w:tcBorders>
            <w:gridSpan w:val="14"/>
            <w:shd w:val="clear" w:color="auto" w:fill="CCEEFF"/>
          </w:tcPr>
          <w:p>
            <w:pPr>
              <w:spacing w:after="0" w:line="124" w:lineRule="exact"/>
              <w:rPr>
                <w:rFonts w:ascii="Arial" w:cs="Arial" w:eastAsia="Arial" w:hAnsi="Arial"/>
                <w:sz w:val="13"/>
                <w:szCs w:val="13"/>
                <w:color w:val="0000EE"/>
              </w:rPr>
            </w:pPr>
            <w:hyperlink r:id="rId143">
              <w:r>
                <w:rPr>
                  <w:rFonts w:ascii="Arial" w:cs="Arial" w:eastAsia="Arial" w:hAnsi="Arial"/>
                  <w:sz w:val="13"/>
                  <w:szCs w:val="13"/>
                  <w:color w:val="0000EE"/>
                </w:rPr>
                <w:t>herein by reference to Exhibit 10.5 to the Annual Report on Form 10-K for the fiscal year ended January 28, 2017 filed on March 23,</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06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right w:val="single" w:sz="8" w:color="CCEEFF"/>
            </w:tcBorders>
            <w:shd w:val="clear" w:color="auto" w:fill="CCEEFF"/>
          </w:tcPr>
          <w:p>
            <w:pPr>
              <w:spacing w:after="0"/>
              <w:rPr>
                <w:sz w:val="10"/>
                <w:szCs w:val="10"/>
                <w:color w:val="auto"/>
              </w:rPr>
            </w:pPr>
          </w:p>
        </w:tc>
        <w:tc>
          <w:tcPr>
            <w:tcW w:w="980" w:type="dxa"/>
            <w:vAlign w:val="bottom"/>
            <w:tcBorders>
              <w:top w:val="single" w:sz="8" w:color="0000EE"/>
              <w:right w:val="single" w:sz="8" w:color="CCEEFF"/>
            </w:tcBorders>
            <w:gridSpan w:val="2"/>
            <w:shd w:val="clear" w:color="auto" w:fill="CCEEFF"/>
          </w:tcPr>
          <w:p>
            <w:pPr>
              <w:spacing w:after="0" w:line="124" w:lineRule="exact"/>
              <w:rPr>
                <w:rFonts w:ascii="Arial" w:cs="Arial" w:eastAsia="Arial" w:hAnsi="Arial"/>
                <w:sz w:val="13"/>
                <w:szCs w:val="13"/>
                <w:color w:val="0000EE"/>
              </w:rPr>
            </w:pPr>
            <w:hyperlink r:id="rId143">
              <w:r>
                <w:rPr>
                  <w:rFonts w:ascii="Arial" w:cs="Arial" w:eastAsia="Arial" w:hAnsi="Arial"/>
                  <w:sz w:val="13"/>
                  <w:szCs w:val="13"/>
                  <w:color w:val="0000EE"/>
                </w:rPr>
                <w:t>2017).</w:t>
              </w:r>
            </w:hyperlink>
          </w:p>
        </w:tc>
        <w:tc>
          <w:tcPr>
            <w:tcW w:w="1160" w:type="dxa"/>
            <w:vAlign w:val="bottom"/>
            <w:tcBorders>
              <w:top w:val="single" w:sz="8" w:color="0000EE"/>
            </w:tcBorders>
            <w:shd w:val="clear" w:color="auto" w:fill="CCEEFF"/>
          </w:tcPr>
          <w:p>
            <w:pPr>
              <w:spacing w:after="0"/>
              <w:rPr>
                <w:sz w:val="10"/>
                <w:szCs w:val="10"/>
                <w:color w:val="auto"/>
              </w:rPr>
            </w:pPr>
          </w:p>
        </w:tc>
        <w:tc>
          <w:tcPr>
            <w:tcW w:w="140" w:type="dxa"/>
            <w:vAlign w:val="bottom"/>
            <w:tcBorders>
              <w:top w:val="single" w:sz="8" w:color="0000EE"/>
            </w:tcBorders>
            <w:shd w:val="clear" w:color="auto" w:fill="CCEEFF"/>
          </w:tcPr>
          <w:p>
            <w:pPr>
              <w:spacing w:after="0"/>
              <w:rPr>
                <w:sz w:val="10"/>
                <w:szCs w:val="10"/>
                <w:color w:val="auto"/>
              </w:rPr>
            </w:pPr>
          </w:p>
        </w:tc>
        <w:tc>
          <w:tcPr>
            <w:tcW w:w="400" w:type="dxa"/>
            <w:vAlign w:val="bottom"/>
            <w:tcBorders>
              <w:top w:val="single" w:sz="8" w:color="0000EE"/>
            </w:tcBorders>
            <w:shd w:val="clear" w:color="auto" w:fill="CCEEFF"/>
          </w:tcPr>
          <w:p>
            <w:pPr>
              <w:spacing w:after="0"/>
              <w:rPr>
                <w:sz w:val="10"/>
                <w:szCs w:val="10"/>
                <w:color w:val="auto"/>
              </w:rPr>
            </w:pPr>
          </w:p>
        </w:tc>
        <w:tc>
          <w:tcPr>
            <w:tcW w:w="420" w:type="dxa"/>
            <w:vAlign w:val="bottom"/>
            <w:tcBorders>
              <w:top w:val="single" w:sz="8" w:color="0000EE"/>
            </w:tcBorders>
            <w:shd w:val="clear" w:color="auto" w:fill="CCEEFF"/>
          </w:tcPr>
          <w:p>
            <w:pPr>
              <w:spacing w:after="0"/>
              <w:rPr>
                <w:sz w:val="10"/>
                <w:szCs w:val="10"/>
                <w:color w:val="auto"/>
              </w:rPr>
            </w:pPr>
          </w:p>
        </w:tc>
        <w:tc>
          <w:tcPr>
            <w:tcW w:w="280" w:type="dxa"/>
            <w:vAlign w:val="bottom"/>
            <w:tcBorders>
              <w:top w:val="single" w:sz="8" w:color="0000EE"/>
            </w:tcBorders>
            <w:shd w:val="clear" w:color="auto" w:fill="CCEEFF"/>
          </w:tcPr>
          <w:p>
            <w:pPr>
              <w:spacing w:after="0"/>
              <w:rPr>
                <w:sz w:val="10"/>
                <w:szCs w:val="10"/>
                <w:color w:val="auto"/>
              </w:rPr>
            </w:pPr>
          </w:p>
        </w:tc>
        <w:tc>
          <w:tcPr>
            <w:tcW w:w="260" w:type="dxa"/>
            <w:vAlign w:val="bottom"/>
            <w:tcBorders>
              <w:top w:val="single" w:sz="8" w:color="0000EE"/>
            </w:tcBorders>
            <w:shd w:val="clear" w:color="auto" w:fill="CCEEFF"/>
          </w:tcPr>
          <w:p>
            <w:pPr>
              <w:spacing w:after="0"/>
              <w:rPr>
                <w:sz w:val="10"/>
                <w:szCs w:val="10"/>
                <w:color w:val="auto"/>
              </w:rPr>
            </w:pPr>
          </w:p>
        </w:tc>
        <w:tc>
          <w:tcPr>
            <w:tcW w:w="1280" w:type="dxa"/>
            <w:vAlign w:val="bottom"/>
            <w:tcBorders>
              <w:top w:val="single" w:sz="8" w:color="0000EE"/>
            </w:tcBorders>
            <w:shd w:val="clear" w:color="auto" w:fill="CCEEFF"/>
          </w:tcPr>
          <w:p>
            <w:pPr>
              <w:spacing w:after="0"/>
              <w:rPr>
                <w:sz w:val="10"/>
                <w:szCs w:val="10"/>
                <w:color w:val="auto"/>
              </w:rPr>
            </w:pPr>
          </w:p>
        </w:tc>
        <w:tc>
          <w:tcPr>
            <w:tcW w:w="240" w:type="dxa"/>
            <w:vAlign w:val="bottom"/>
            <w:tcBorders>
              <w:top w:val="single" w:sz="8" w:color="0000EE"/>
            </w:tcBorders>
            <w:shd w:val="clear" w:color="auto" w:fill="CCEEFF"/>
          </w:tcPr>
          <w:p>
            <w:pPr>
              <w:spacing w:after="0"/>
              <w:rPr>
                <w:sz w:val="10"/>
                <w:szCs w:val="10"/>
                <w:color w:val="auto"/>
              </w:rPr>
            </w:pPr>
          </w:p>
        </w:tc>
        <w:tc>
          <w:tcPr>
            <w:tcW w:w="580" w:type="dxa"/>
            <w:vAlign w:val="bottom"/>
            <w:tcBorders>
              <w:top w:val="single" w:sz="8" w:color="0000EE"/>
            </w:tcBorders>
            <w:shd w:val="clear" w:color="auto" w:fill="CCEEFF"/>
          </w:tcPr>
          <w:p>
            <w:pPr>
              <w:spacing w:after="0"/>
              <w:rPr>
                <w:sz w:val="10"/>
                <w:szCs w:val="10"/>
                <w:color w:val="auto"/>
              </w:rPr>
            </w:pPr>
          </w:p>
        </w:tc>
        <w:tc>
          <w:tcPr>
            <w:tcW w:w="780" w:type="dxa"/>
            <w:vAlign w:val="bottom"/>
            <w:tcBorders>
              <w:top w:val="single" w:sz="8" w:color="0000EE"/>
              <w:right w:val="single" w:sz="8" w:color="CCEEFF"/>
            </w:tcBorders>
            <w:shd w:val="clear" w:color="auto" w:fill="CCEEFF"/>
          </w:tcPr>
          <w:p>
            <w:pPr>
              <w:spacing w:after="0"/>
              <w:rPr>
                <w:sz w:val="10"/>
                <w:szCs w:val="10"/>
                <w:color w:val="auto"/>
              </w:rPr>
            </w:pPr>
          </w:p>
        </w:tc>
        <w:tc>
          <w:tcPr>
            <w:tcW w:w="360" w:type="dxa"/>
            <w:vAlign w:val="bottom"/>
            <w:tcBorders>
              <w:top w:val="single" w:sz="8" w:color="0000EE"/>
            </w:tcBorders>
            <w:shd w:val="clear" w:color="auto" w:fill="CCEEFF"/>
          </w:tcPr>
          <w:p>
            <w:pPr>
              <w:spacing w:after="0"/>
              <w:rPr>
                <w:sz w:val="10"/>
                <w:szCs w:val="10"/>
                <w:color w:val="auto"/>
              </w:rPr>
            </w:pPr>
          </w:p>
        </w:tc>
        <w:tc>
          <w:tcPr>
            <w:tcW w:w="780" w:type="dxa"/>
            <w:vAlign w:val="bottom"/>
            <w:tcBorders>
              <w:top w:val="single" w:sz="8" w:color="0000EE"/>
              <w:right w:val="single" w:sz="8" w:color="CCEEFF"/>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10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360" w:type="dxa"/>
            <w:vAlign w:val="bottom"/>
            <w:tcBorders>
              <w:top w:val="single" w:sz="8" w:color="0000EE"/>
            </w:tcBorders>
          </w:tcPr>
          <w:p>
            <w:pPr>
              <w:spacing w:after="0"/>
              <w:rPr>
                <w:sz w:val="12"/>
                <w:szCs w:val="12"/>
                <w:color w:val="auto"/>
              </w:rPr>
            </w:pPr>
          </w:p>
        </w:tc>
        <w:tc>
          <w:tcPr>
            <w:tcW w:w="620" w:type="dxa"/>
            <w:vAlign w:val="bottom"/>
            <w:tcBorders>
              <w:top w:val="single" w:sz="8" w:color="CCEEFF"/>
            </w:tcBorders>
          </w:tcPr>
          <w:p>
            <w:pPr>
              <w:spacing w:after="0"/>
              <w:rPr>
                <w:sz w:val="12"/>
                <w:szCs w:val="12"/>
                <w:color w:val="auto"/>
              </w:rPr>
            </w:pPr>
          </w:p>
        </w:tc>
        <w:tc>
          <w:tcPr>
            <w:tcW w:w="116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128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1060" w:type="dxa"/>
            <w:vAlign w:val="bottom"/>
            <w:tcBorders>
              <w:bottom w:val="single" w:sz="8" w:color="CCEEFF"/>
            </w:tcBorders>
            <w:shd w:val="clear" w:color="auto" w:fill="CCEEFF"/>
          </w:tcPr>
          <w:p>
            <w:pPr>
              <w:jc w:val="center"/>
              <w:spacing w:after="0" w:line="123" w:lineRule="exact"/>
              <w:rPr>
                <w:sz w:val="20"/>
                <w:szCs w:val="20"/>
                <w:color w:val="auto"/>
              </w:rPr>
            </w:pPr>
            <w:r>
              <w:rPr>
                <w:rFonts w:ascii="Arial" w:cs="Arial" w:eastAsia="Arial" w:hAnsi="Arial"/>
                <w:sz w:val="13"/>
                <w:szCs w:val="13"/>
                <w:color w:val="auto"/>
              </w:rPr>
              <w:t>10.5†</w:t>
            </w:r>
          </w:p>
        </w:tc>
        <w:tc>
          <w:tcPr>
            <w:tcW w:w="220" w:type="dxa"/>
            <w:vAlign w:val="bottom"/>
            <w:tcBorders>
              <w:bottom w:val="single" w:sz="8" w:color="CCEEFF"/>
              <w:right w:val="single" w:sz="8" w:color="CCEEFF"/>
            </w:tcBorders>
            <w:shd w:val="clear" w:color="auto" w:fill="CCEEFF"/>
          </w:tcPr>
          <w:p>
            <w:pPr>
              <w:spacing w:after="0"/>
              <w:rPr>
                <w:sz w:val="10"/>
                <w:szCs w:val="10"/>
                <w:color w:val="auto"/>
              </w:rPr>
            </w:pPr>
          </w:p>
        </w:tc>
        <w:tc>
          <w:tcPr>
            <w:tcW w:w="7660" w:type="dxa"/>
            <w:vAlign w:val="bottom"/>
            <w:tcBorders>
              <w:bottom w:val="single" w:sz="8" w:color="0000EE"/>
              <w:right w:val="single" w:sz="8" w:color="CCEEFF"/>
            </w:tcBorders>
            <w:gridSpan w:val="14"/>
            <w:shd w:val="clear" w:color="auto" w:fill="CCEEFF"/>
          </w:tcPr>
          <w:p>
            <w:pPr>
              <w:spacing w:after="0" w:line="123" w:lineRule="exact"/>
              <w:rPr>
                <w:rFonts w:ascii="Arial" w:cs="Arial" w:eastAsia="Arial" w:hAnsi="Arial"/>
                <w:sz w:val="13"/>
                <w:szCs w:val="13"/>
                <w:color w:val="0000EE"/>
              </w:rPr>
            </w:pPr>
            <w:hyperlink r:id="rId144">
              <w:r>
                <w:rPr>
                  <w:rFonts w:ascii="Arial" w:cs="Arial" w:eastAsia="Arial" w:hAnsi="Arial"/>
                  <w:sz w:val="13"/>
                  <w:szCs w:val="13"/>
                  <w:color w:val="0000EE"/>
                </w:rPr>
                <w:t>Foot Locker Long-Term Incentive Compensation Plan, as amended and restated (incorporated herein by reference to Exhibit 10.3 to</w:t>
              </w:r>
            </w:hyperlink>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106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7660" w:type="dxa"/>
            <w:vAlign w:val="bottom"/>
            <w:tcBorders>
              <w:right w:val="single" w:sz="8" w:color="CCEEFF"/>
            </w:tcBorders>
            <w:gridSpan w:val="14"/>
            <w:shd w:val="clear" w:color="auto" w:fill="CCEEFF"/>
          </w:tcPr>
          <w:p>
            <w:pPr>
              <w:spacing w:after="0" w:line="124" w:lineRule="exact"/>
              <w:rPr>
                <w:rFonts w:ascii="Arial" w:cs="Arial" w:eastAsia="Arial" w:hAnsi="Arial"/>
                <w:sz w:val="13"/>
                <w:szCs w:val="13"/>
                <w:color w:val="0000EE"/>
              </w:rPr>
            </w:pPr>
            <w:hyperlink r:id="rId144">
              <w:r>
                <w:rPr>
                  <w:rFonts w:ascii="Arial" w:cs="Arial" w:eastAsia="Arial" w:hAnsi="Arial"/>
                  <w:sz w:val="13"/>
                  <w:szCs w:val="13"/>
                  <w:color w:val="0000EE"/>
                </w:rPr>
                <w:t>the Current Report on Form 8-K dated March 23, 2016 filed on March 29, 2016) (the “March 23, 2016 Form 8-K”).</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10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80" w:type="dxa"/>
            <w:vAlign w:val="bottom"/>
            <w:tcBorders>
              <w:right w:val="single" w:sz="8" w:color="CCEEFF"/>
            </w:tcBorders>
            <w:shd w:val="clear" w:color="auto" w:fill="0000EE"/>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jc w:val="right"/>
        <w:ind w:right="39"/>
        <w:spacing w:after="0"/>
        <w:rPr>
          <w:sz w:val="20"/>
          <w:szCs w:val="20"/>
          <w:color w:val="auto"/>
        </w:rPr>
      </w:pPr>
      <w:r>
        <w:rPr>
          <w:rFonts w:ascii="Arial" w:cs="Arial" w:eastAsia="Arial" w:hAnsi="Arial"/>
          <w:sz w:val="13"/>
          <w:szCs w:val="13"/>
          <w:color w:val="auto"/>
        </w:rPr>
        <w:t>2020 Form 10-K Page 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357505</wp:posOffset>
            </wp:positionV>
            <wp:extent cx="5680075" cy="133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5">
                      <a:extLst>
                        <a:ext uri="{28A0092B-C50C-407E-A947-70E740481C1C}"/>
                      </a:extLst>
                    </a:blip>
                    <a:srcRect/>
                    <a:stretch>
                      <a:fillRect/>
                    </a:stretch>
                  </pic:blipFill>
                  <pic:spPr bwMode="auto">
                    <a:xfrm>
                      <a:off x="0" y="0"/>
                      <a:ext cx="5680075" cy="13335"/>
                    </a:xfrm>
                    <a:prstGeom prst="rect">
                      <a:avLst/>
                    </a:prstGeom>
                    <a:noFill/>
                  </pic:spPr>
                </pic:pic>
              </a:graphicData>
            </a:graphic>
          </wp:anchor>
        </w:drawing>
      </w:r>
    </w:p>
    <w:p>
      <w:pPr>
        <w:sectPr>
          <w:pgSz w:w="11900" w:h="16838" w:orient="portrait"/>
          <w:cols w:equalWidth="0" w:num="1">
            <w:col w:w="9019"/>
          </w:cols>
          <w:pgMar w:left="1440" w:top="570" w:right="1440" w:bottom="1440" w:gutter="0" w:footer="0" w:header="0"/>
        </w:sectPr>
      </w:pPr>
    </w:p>
    <w:bookmarkStart w:id="81" w:name="page82"/>
    <w:bookmarkEnd w:id="81"/>
    <w:tbl>
      <w:tblPr>
        <w:tblLayout w:type="fixed"/>
        <w:tblInd w:w="40" w:type="dxa"/>
        <w:tblCellMar>
          <w:top w:w="0" w:type="dxa"/>
          <w:left w:w="0" w:type="dxa"/>
          <w:bottom w:w="0" w:type="dxa"/>
          <w:right w:w="0" w:type="dxa"/>
        </w:tblCellMar>
      </w:tblPr>
      <w:tr>
        <w:trPr>
          <w:trHeight w:val="164"/>
        </w:trPr>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Exhibit No.</w:t>
            </w:r>
          </w:p>
        </w:tc>
        <w:tc>
          <w:tcPr>
            <w:tcW w:w="2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320" w:type="dxa"/>
            <w:vAlign w:val="bottom"/>
            <w:tcBorders>
              <w:bottom w:val="single" w:sz="8" w:color="auto"/>
            </w:tcBorders>
            <w:gridSpan w:val="8"/>
          </w:tcPr>
          <w:p>
            <w:pPr>
              <w:ind w:left="120"/>
              <w:spacing w:after="0"/>
              <w:rPr>
                <w:sz w:val="20"/>
                <w:szCs w:val="20"/>
                <w:color w:val="auto"/>
              </w:rPr>
            </w:pPr>
            <w:r>
              <w:rPr>
                <w:rFonts w:ascii="Arial" w:cs="Arial" w:eastAsia="Arial" w:hAnsi="Arial"/>
                <w:sz w:val="13"/>
                <w:szCs w:val="13"/>
                <w:b w:val="1"/>
                <w:bCs w:val="1"/>
                <w:color w:val="auto"/>
              </w:rPr>
              <w:t>Description</w:t>
            </w:r>
          </w:p>
        </w:tc>
      </w:tr>
      <w:tr>
        <w:trPr>
          <w:trHeight w:val="113"/>
        </w:trPr>
        <w:tc>
          <w:tcPr>
            <w:tcW w:w="1060" w:type="dxa"/>
            <w:vAlign w:val="bottom"/>
            <w:shd w:val="clear" w:color="auto" w:fill="CCEEFF"/>
          </w:tcPr>
          <w:p>
            <w:pPr>
              <w:jc w:val="center"/>
              <w:spacing w:after="0" w:line="113" w:lineRule="exact"/>
              <w:rPr>
                <w:sz w:val="20"/>
                <w:szCs w:val="20"/>
                <w:color w:val="auto"/>
              </w:rPr>
            </w:pPr>
            <w:r>
              <w:rPr>
                <w:rFonts w:ascii="Arial" w:cs="Arial" w:eastAsia="Arial" w:hAnsi="Arial"/>
                <w:sz w:val="13"/>
                <w:szCs w:val="13"/>
                <w:color w:val="auto"/>
              </w:rPr>
              <w:t>10.6†</w:t>
            </w:r>
          </w:p>
        </w:tc>
        <w:tc>
          <w:tcPr>
            <w:tcW w:w="220" w:type="dxa"/>
            <w:vAlign w:val="bottom"/>
            <w:tcBorders>
              <w:right w:val="single" w:sz="8" w:color="CCEEFF"/>
            </w:tcBorders>
            <w:shd w:val="clear" w:color="auto" w:fill="CCEEFF"/>
          </w:tcPr>
          <w:p>
            <w:pPr>
              <w:spacing w:after="0"/>
              <w:rPr>
                <w:sz w:val="9"/>
                <w:szCs w:val="9"/>
                <w:color w:val="auto"/>
              </w:rPr>
            </w:pPr>
          </w:p>
        </w:tc>
        <w:tc>
          <w:tcPr>
            <w:tcW w:w="7660" w:type="dxa"/>
            <w:vAlign w:val="bottom"/>
            <w:gridSpan w:val="13"/>
            <w:shd w:val="clear" w:color="auto" w:fill="CCEEFF"/>
          </w:tcPr>
          <w:p>
            <w:pPr>
              <w:spacing w:after="0" w:line="113" w:lineRule="exact"/>
              <w:rPr>
                <w:rFonts w:ascii="Arial" w:cs="Arial" w:eastAsia="Arial" w:hAnsi="Arial"/>
                <w:sz w:val="13"/>
                <w:szCs w:val="13"/>
                <w:color w:val="0000EE"/>
              </w:rPr>
            </w:pPr>
            <w:hyperlink r:id="rId146">
              <w:r>
                <w:rPr>
                  <w:rFonts w:ascii="Arial" w:cs="Arial" w:eastAsia="Arial" w:hAnsi="Arial"/>
                  <w:sz w:val="13"/>
                  <w:szCs w:val="13"/>
                  <w:color w:val="0000EE"/>
                </w:rPr>
                <w:t>Foot Locker Executive Incentive Cash Compensation Plan (incorporated by reference to Exhibit 10.1 to the Current Report on Form</w:t>
              </w:r>
            </w:hyperlink>
          </w:p>
        </w:tc>
      </w:tr>
      <w:tr>
        <w:trPr>
          <w:trHeight w:val="124"/>
        </w:trPr>
        <w:tc>
          <w:tcPr>
            <w:tcW w:w="106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right w:val="single" w:sz="8" w:color="CCEEFF"/>
            </w:tcBorders>
            <w:shd w:val="clear" w:color="auto" w:fill="CCEEFF"/>
          </w:tcPr>
          <w:p>
            <w:pPr>
              <w:spacing w:after="0"/>
              <w:rPr>
                <w:sz w:val="10"/>
                <w:szCs w:val="10"/>
                <w:color w:val="auto"/>
              </w:rPr>
            </w:pPr>
          </w:p>
        </w:tc>
        <w:tc>
          <w:tcPr>
            <w:tcW w:w="7640" w:type="dxa"/>
            <w:vAlign w:val="bottom"/>
            <w:tcBorders>
              <w:top w:val="single" w:sz="8" w:color="0000EE"/>
            </w:tcBorders>
            <w:gridSpan w:val="12"/>
            <w:shd w:val="clear" w:color="auto" w:fill="CCEEFF"/>
          </w:tcPr>
          <w:p>
            <w:pPr>
              <w:spacing w:after="0" w:line="124" w:lineRule="exact"/>
              <w:rPr>
                <w:rFonts w:ascii="Arial" w:cs="Arial" w:eastAsia="Arial" w:hAnsi="Arial"/>
                <w:sz w:val="13"/>
                <w:szCs w:val="13"/>
                <w:color w:val="0000EE"/>
              </w:rPr>
            </w:pPr>
            <w:hyperlink r:id="rId146">
              <w:r>
                <w:rPr>
                  <w:rFonts w:ascii="Arial" w:cs="Arial" w:eastAsia="Arial" w:hAnsi="Arial"/>
                  <w:sz w:val="13"/>
                  <w:szCs w:val="13"/>
                  <w:color w:val="0000EE"/>
                </w:rPr>
                <w:t>8-K dated March 28, 2018 filed on April 3, 2018).</w:t>
              </w:r>
            </w:hyperlink>
          </w:p>
        </w:tc>
        <w:tc>
          <w:tcPr>
            <w:tcW w:w="20" w:type="dxa"/>
            <w:vAlign w:val="bottom"/>
            <w:tcBorders>
              <w:top w:val="single" w:sz="8" w:color="CCEEFF"/>
            </w:tcBorders>
            <w:shd w:val="clear" w:color="auto" w:fill="CCEEFF"/>
          </w:tcPr>
          <w:p>
            <w:pPr>
              <w:spacing w:after="0"/>
              <w:rPr>
                <w:sz w:val="10"/>
                <w:szCs w:val="10"/>
                <w:color w:val="auto"/>
              </w:rPr>
            </w:pPr>
          </w:p>
        </w:tc>
      </w:tr>
      <w:tr>
        <w:trPr>
          <w:trHeight w:val="144"/>
        </w:trPr>
        <w:tc>
          <w:tcPr>
            <w:tcW w:w="10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600" w:type="dxa"/>
            <w:vAlign w:val="bottom"/>
            <w:tcBorders>
              <w:top w:val="single" w:sz="8" w:color="0000EE"/>
            </w:tcBorders>
          </w:tcPr>
          <w:p>
            <w:pPr>
              <w:spacing w:after="0"/>
              <w:rPr>
                <w:sz w:val="12"/>
                <w:szCs w:val="12"/>
                <w:color w:val="auto"/>
              </w:rPr>
            </w:pPr>
          </w:p>
        </w:tc>
        <w:tc>
          <w:tcPr>
            <w:tcW w:w="940" w:type="dxa"/>
            <w:vAlign w:val="bottom"/>
            <w:tcBorders>
              <w:top w:val="single" w:sz="8" w:color="0000EE"/>
            </w:tcBorders>
          </w:tcPr>
          <w:p>
            <w:pPr>
              <w:spacing w:after="0"/>
              <w:rPr>
                <w:sz w:val="12"/>
                <w:szCs w:val="12"/>
                <w:color w:val="auto"/>
              </w:rPr>
            </w:pPr>
          </w:p>
        </w:tc>
        <w:tc>
          <w:tcPr>
            <w:tcW w:w="1240" w:type="dxa"/>
            <w:vAlign w:val="bottom"/>
            <w:tcBorders>
              <w:top w:val="single" w:sz="8" w:color="0000EE"/>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44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r>
      <w:tr>
        <w:trPr>
          <w:trHeight w:val="123"/>
        </w:trPr>
        <w:tc>
          <w:tcPr>
            <w:tcW w:w="1060" w:type="dxa"/>
            <w:vAlign w:val="bottom"/>
            <w:tcBorders>
              <w:bottom w:val="single" w:sz="8" w:color="CCEEFF"/>
            </w:tcBorders>
            <w:shd w:val="clear" w:color="auto" w:fill="CCEEFF"/>
          </w:tcPr>
          <w:p>
            <w:pPr>
              <w:jc w:val="center"/>
              <w:spacing w:after="0" w:line="123" w:lineRule="exact"/>
              <w:rPr>
                <w:sz w:val="20"/>
                <w:szCs w:val="20"/>
                <w:color w:val="auto"/>
              </w:rPr>
            </w:pPr>
            <w:r>
              <w:rPr>
                <w:rFonts w:ascii="Arial" w:cs="Arial" w:eastAsia="Arial" w:hAnsi="Arial"/>
                <w:sz w:val="13"/>
                <w:szCs w:val="13"/>
                <w:color w:val="auto"/>
              </w:rPr>
              <w:t>10.7†</w:t>
            </w:r>
          </w:p>
        </w:tc>
        <w:tc>
          <w:tcPr>
            <w:tcW w:w="220" w:type="dxa"/>
            <w:vAlign w:val="bottom"/>
            <w:tcBorders>
              <w:bottom w:val="single" w:sz="8" w:color="CCEEFF"/>
              <w:right w:val="single" w:sz="8" w:color="CCEEFF"/>
            </w:tcBorders>
            <w:shd w:val="clear" w:color="auto" w:fill="CCEEFF"/>
          </w:tcPr>
          <w:p>
            <w:pPr>
              <w:spacing w:after="0"/>
              <w:rPr>
                <w:sz w:val="10"/>
                <w:szCs w:val="10"/>
                <w:color w:val="auto"/>
              </w:rPr>
            </w:pPr>
          </w:p>
        </w:tc>
        <w:tc>
          <w:tcPr>
            <w:tcW w:w="7660" w:type="dxa"/>
            <w:vAlign w:val="bottom"/>
            <w:tcBorders>
              <w:bottom w:val="single" w:sz="8" w:color="0000EE"/>
            </w:tcBorders>
            <w:gridSpan w:val="13"/>
            <w:shd w:val="clear" w:color="auto" w:fill="CCEEFF"/>
          </w:tcPr>
          <w:p>
            <w:pPr>
              <w:spacing w:after="0" w:line="123" w:lineRule="exact"/>
              <w:rPr>
                <w:rFonts w:ascii="Arial" w:cs="Arial" w:eastAsia="Arial" w:hAnsi="Arial"/>
                <w:sz w:val="13"/>
                <w:szCs w:val="13"/>
                <w:color w:val="0000EE"/>
              </w:rPr>
            </w:pPr>
            <w:hyperlink r:id="rId147">
              <w:r>
                <w:rPr>
                  <w:rFonts w:ascii="Arial" w:cs="Arial" w:eastAsia="Arial" w:hAnsi="Arial"/>
                  <w:sz w:val="13"/>
                  <w:szCs w:val="13"/>
                  <w:color w:val="0000EE"/>
                </w:rPr>
                <w:t>Form of Nonstatutory Stock Option Award Agreement for Executive Officers (incorporated herein by reference to Exhibit 10.40 to the</w:t>
              </w:r>
            </w:hyperlink>
          </w:p>
        </w:tc>
      </w:tr>
      <w:tr>
        <w:trPr>
          <w:trHeight w:val="124"/>
        </w:trPr>
        <w:tc>
          <w:tcPr>
            <w:tcW w:w="106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7660" w:type="dxa"/>
            <w:vAlign w:val="bottom"/>
            <w:gridSpan w:val="13"/>
            <w:shd w:val="clear" w:color="auto" w:fill="CCEEFF"/>
          </w:tcPr>
          <w:p>
            <w:pPr>
              <w:spacing w:after="0" w:line="124" w:lineRule="exact"/>
              <w:rPr>
                <w:rFonts w:ascii="Arial" w:cs="Arial" w:eastAsia="Arial" w:hAnsi="Arial"/>
                <w:sz w:val="13"/>
                <w:szCs w:val="13"/>
                <w:color w:val="0000EE"/>
              </w:rPr>
            </w:pPr>
            <w:hyperlink r:id="rId147">
              <w:r>
                <w:rPr>
                  <w:rFonts w:ascii="Arial" w:cs="Arial" w:eastAsia="Arial" w:hAnsi="Arial"/>
                  <w:sz w:val="13"/>
                  <w:szCs w:val="13"/>
                  <w:color w:val="0000EE"/>
                </w:rPr>
                <w:t>Annual Report on Form 10-K for the fiscal year ended January 28, 2006 filed on March 27, 2006).</w:t>
              </w:r>
            </w:hyperlink>
          </w:p>
        </w:tc>
      </w:tr>
      <w:tr>
        <w:trPr>
          <w:trHeight w:val="144"/>
        </w:trPr>
        <w:tc>
          <w:tcPr>
            <w:tcW w:w="10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600" w:type="dxa"/>
            <w:vAlign w:val="bottom"/>
            <w:tcBorders>
              <w:top w:val="single" w:sz="8" w:color="0000EE"/>
            </w:tcBorders>
          </w:tcPr>
          <w:p>
            <w:pPr>
              <w:spacing w:after="0"/>
              <w:rPr>
                <w:sz w:val="12"/>
                <w:szCs w:val="12"/>
                <w:color w:val="auto"/>
              </w:rPr>
            </w:pPr>
          </w:p>
        </w:tc>
        <w:tc>
          <w:tcPr>
            <w:tcW w:w="940" w:type="dxa"/>
            <w:vAlign w:val="bottom"/>
            <w:tcBorders>
              <w:top w:val="single" w:sz="8" w:color="0000EE"/>
            </w:tcBorders>
          </w:tcPr>
          <w:p>
            <w:pPr>
              <w:spacing w:after="0"/>
              <w:rPr>
                <w:sz w:val="12"/>
                <w:szCs w:val="12"/>
                <w:color w:val="auto"/>
              </w:rPr>
            </w:pPr>
          </w:p>
        </w:tc>
        <w:tc>
          <w:tcPr>
            <w:tcW w:w="12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540" w:type="dxa"/>
            <w:vAlign w:val="bottom"/>
            <w:tcBorders>
              <w:top w:val="single" w:sz="8" w:color="0000EE"/>
            </w:tcBorders>
          </w:tcPr>
          <w:p>
            <w:pPr>
              <w:spacing w:after="0"/>
              <w:rPr>
                <w:sz w:val="12"/>
                <w:szCs w:val="12"/>
                <w:color w:val="auto"/>
              </w:rPr>
            </w:pPr>
          </w:p>
        </w:tc>
        <w:tc>
          <w:tcPr>
            <w:tcW w:w="64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1440" w:type="dxa"/>
            <w:vAlign w:val="bottom"/>
            <w:tcBorders>
              <w:top w:val="single" w:sz="8" w:color="0000EE"/>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r>
      <w:tr>
        <w:trPr>
          <w:trHeight w:val="123"/>
        </w:trPr>
        <w:tc>
          <w:tcPr>
            <w:tcW w:w="1060" w:type="dxa"/>
            <w:vAlign w:val="bottom"/>
            <w:tcBorders>
              <w:bottom w:val="single" w:sz="8" w:color="CCEEFF"/>
            </w:tcBorders>
            <w:shd w:val="clear" w:color="auto" w:fill="CCEEFF"/>
          </w:tcPr>
          <w:p>
            <w:pPr>
              <w:jc w:val="center"/>
              <w:spacing w:after="0" w:line="123" w:lineRule="exact"/>
              <w:rPr>
                <w:sz w:val="20"/>
                <w:szCs w:val="20"/>
                <w:color w:val="auto"/>
              </w:rPr>
            </w:pPr>
            <w:r>
              <w:rPr>
                <w:rFonts w:ascii="Arial" w:cs="Arial" w:eastAsia="Arial" w:hAnsi="Arial"/>
                <w:sz w:val="13"/>
                <w:szCs w:val="13"/>
                <w:color w:val="auto"/>
              </w:rPr>
              <w:t>10.8†</w:t>
            </w:r>
          </w:p>
        </w:tc>
        <w:tc>
          <w:tcPr>
            <w:tcW w:w="220" w:type="dxa"/>
            <w:vAlign w:val="bottom"/>
            <w:tcBorders>
              <w:bottom w:val="single" w:sz="8" w:color="CCEEFF"/>
              <w:right w:val="single" w:sz="8" w:color="CCEEFF"/>
            </w:tcBorders>
            <w:shd w:val="clear" w:color="auto" w:fill="CCEEFF"/>
          </w:tcPr>
          <w:p>
            <w:pPr>
              <w:spacing w:after="0"/>
              <w:rPr>
                <w:sz w:val="10"/>
                <w:szCs w:val="10"/>
                <w:color w:val="auto"/>
              </w:rPr>
            </w:pPr>
          </w:p>
        </w:tc>
        <w:tc>
          <w:tcPr>
            <w:tcW w:w="7660" w:type="dxa"/>
            <w:vAlign w:val="bottom"/>
            <w:tcBorders>
              <w:bottom w:val="single" w:sz="8" w:color="0000EE"/>
            </w:tcBorders>
            <w:gridSpan w:val="13"/>
            <w:shd w:val="clear" w:color="auto" w:fill="CCEEFF"/>
          </w:tcPr>
          <w:p>
            <w:pPr>
              <w:spacing w:after="0" w:line="123" w:lineRule="exact"/>
              <w:rPr>
                <w:rFonts w:ascii="Arial" w:cs="Arial" w:eastAsia="Arial" w:hAnsi="Arial"/>
                <w:sz w:val="13"/>
                <w:szCs w:val="13"/>
                <w:color w:val="0000EE"/>
              </w:rPr>
            </w:pPr>
            <w:hyperlink r:id="rId148">
              <w:r>
                <w:rPr>
                  <w:rFonts w:ascii="Arial" w:cs="Arial" w:eastAsia="Arial" w:hAnsi="Arial"/>
                  <w:sz w:val="13"/>
                  <w:szCs w:val="13"/>
                  <w:color w:val="0000EE"/>
                </w:rPr>
                <w:t>Form of Nonstatutory Stock Option Award Agreement for Executive Officers (incorporated herein by reference to Exhibit 10.1 to the</w:t>
              </w:r>
            </w:hyperlink>
          </w:p>
        </w:tc>
      </w:tr>
      <w:tr>
        <w:trPr>
          <w:trHeight w:val="124"/>
        </w:trPr>
        <w:tc>
          <w:tcPr>
            <w:tcW w:w="106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7660" w:type="dxa"/>
            <w:vAlign w:val="bottom"/>
            <w:gridSpan w:val="13"/>
            <w:shd w:val="clear" w:color="auto" w:fill="CCEEFF"/>
          </w:tcPr>
          <w:p>
            <w:pPr>
              <w:spacing w:after="0" w:line="124" w:lineRule="exact"/>
              <w:rPr>
                <w:rFonts w:ascii="Arial" w:cs="Arial" w:eastAsia="Arial" w:hAnsi="Arial"/>
                <w:sz w:val="13"/>
                <w:szCs w:val="13"/>
                <w:color w:val="0000EE"/>
              </w:rPr>
            </w:pPr>
            <w:hyperlink r:id="rId148">
              <w:r>
                <w:rPr>
                  <w:rFonts w:ascii="Arial" w:cs="Arial" w:eastAsia="Arial" w:hAnsi="Arial"/>
                  <w:sz w:val="13"/>
                  <w:szCs w:val="13"/>
                  <w:color w:val="0000EE"/>
                </w:rPr>
                <w:t>March 26, 2014 Form 8-K).</w:t>
              </w:r>
            </w:hyperlink>
          </w:p>
        </w:tc>
      </w:tr>
      <w:tr>
        <w:trPr>
          <w:trHeight w:val="144"/>
        </w:trPr>
        <w:tc>
          <w:tcPr>
            <w:tcW w:w="10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600" w:type="dxa"/>
            <w:vAlign w:val="bottom"/>
            <w:tcBorders>
              <w:top w:val="single" w:sz="8" w:color="0000EE"/>
            </w:tcBorders>
          </w:tcPr>
          <w:p>
            <w:pPr>
              <w:spacing w:after="0"/>
              <w:rPr>
                <w:sz w:val="12"/>
                <w:szCs w:val="12"/>
                <w:color w:val="auto"/>
              </w:rPr>
            </w:pPr>
          </w:p>
        </w:tc>
        <w:tc>
          <w:tcPr>
            <w:tcW w:w="940" w:type="dxa"/>
            <w:vAlign w:val="bottom"/>
            <w:tcBorders>
              <w:top w:val="single" w:sz="8" w:color="0000EE"/>
            </w:tcBorders>
          </w:tcPr>
          <w:p>
            <w:pPr>
              <w:spacing w:after="0"/>
              <w:rPr>
                <w:sz w:val="12"/>
                <w:szCs w:val="12"/>
                <w:color w:val="auto"/>
              </w:rPr>
            </w:pPr>
          </w:p>
        </w:tc>
        <w:tc>
          <w:tcPr>
            <w:tcW w:w="12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44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r>
      <w:tr>
        <w:trPr>
          <w:trHeight w:val="123"/>
        </w:trPr>
        <w:tc>
          <w:tcPr>
            <w:tcW w:w="1060" w:type="dxa"/>
            <w:vAlign w:val="bottom"/>
            <w:shd w:val="clear" w:color="auto" w:fill="CCEEFF"/>
          </w:tcPr>
          <w:p>
            <w:pPr>
              <w:jc w:val="center"/>
              <w:spacing w:after="0" w:line="123" w:lineRule="exact"/>
              <w:rPr>
                <w:sz w:val="20"/>
                <w:szCs w:val="20"/>
                <w:color w:val="auto"/>
              </w:rPr>
            </w:pPr>
            <w:r>
              <w:rPr>
                <w:rFonts w:ascii="Arial" w:cs="Arial" w:eastAsia="Arial" w:hAnsi="Arial"/>
                <w:sz w:val="13"/>
                <w:szCs w:val="13"/>
                <w:color w:val="auto"/>
              </w:rPr>
              <w:t>10.9†</w:t>
            </w:r>
          </w:p>
        </w:tc>
        <w:tc>
          <w:tcPr>
            <w:tcW w:w="220" w:type="dxa"/>
            <w:vAlign w:val="bottom"/>
            <w:tcBorders>
              <w:right w:val="single" w:sz="8" w:color="CCEEFF"/>
            </w:tcBorders>
            <w:shd w:val="clear" w:color="auto" w:fill="CCEEFF"/>
          </w:tcPr>
          <w:p>
            <w:pPr>
              <w:spacing w:after="0"/>
              <w:rPr>
                <w:sz w:val="10"/>
                <w:szCs w:val="10"/>
                <w:color w:val="auto"/>
              </w:rPr>
            </w:pPr>
          </w:p>
        </w:tc>
        <w:tc>
          <w:tcPr>
            <w:tcW w:w="7660" w:type="dxa"/>
            <w:vAlign w:val="bottom"/>
            <w:gridSpan w:val="13"/>
            <w:shd w:val="clear" w:color="auto" w:fill="CCEEFF"/>
          </w:tcPr>
          <w:p>
            <w:pPr>
              <w:spacing w:after="0" w:line="123" w:lineRule="exact"/>
              <w:rPr>
                <w:rFonts w:ascii="Arial" w:cs="Arial" w:eastAsia="Arial" w:hAnsi="Arial"/>
                <w:sz w:val="13"/>
                <w:szCs w:val="13"/>
                <w:color w:val="0000EE"/>
              </w:rPr>
            </w:pPr>
            <w:hyperlink r:id="rId149">
              <w:r>
                <w:rPr>
                  <w:rFonts w:ascii="Arial" w:cs="Arial" w:eastAsia="Arial" w:hAnsi="Arial"/>
                  <w:sz w:val="13"/>
                  <w:szCs w:val="13"/>
                  <w:color w:val="0000EE"/>
                </w:rPr>
                <w:t>Form of Time-Based Restricted Stock Unit Award Agreement (incorporated herein by reference to Exhibit 10.3 to the March 28, 2013</w:t>
              </w:r>
            </w:hyperlink>
          </w:p>
        </w:tc>
      </w:tr>
      <w:tr>
        <w:trPr>
          <w:trHeight w:val="124"/>
        </w:trPr>
        <w:tc>
          <w:tcPr>
            <w:tcW w:w="106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right w:val="single" w:sz="8" w:color="CCEEFF"/>
            </w:tcBorders>
            <w:shd w:val="clear" w:color="auto" w:fill="CCEEFF"/>
          </w:tcPr>
          <w:p>
            <w:pPr>
              <w:spacing w:after="0"/>
              <w:rPr>
                <w:sz w:val="10"/>
                <w:szCs w:val="10"/>
                <w:color w:val="auto"/>
              </w:rPr>
            </w:pPr>
          </w:p>
        </w:tc>
        <w:tc>
          <w:tcPr>
            <w:tcW w:w="7640" w:type="dxa"/>
            <w:vAlign w:val="bottom"/>
            <w:tcBorders>
              <w:top w:val="single" w:sz="8" w:color="0000EE"/>
            </w:tcBorders>
            <w:gridSpan w:val="12"/>
            <w:shd w:val="clear" w:color="auto" w:fill="CCEEFF"/>
          </w:tcPr>
          <w:p>
            <w:pPr>
              <w:spacing w:after="0" w:line="124" w:lineRule="exact"/>
              <w:rPr>
                <w:rFonts w:ascii="Arial" w:cs="Arial" w:eastAsia="Arial" w:hAnsi="Arial"/>
                <w:sz w:val="13"/>
                <w:szCs w:val="13"/>
                <w:color w:val="0000EE"/>
              </w:rPr>
            </w:pPr>
            <w:hyperlink r:id="rId149">
              <w:r>
                <w:rPr>
                  <w:rFonts w:ascii="Arial" w:cs="Arial" w:eastAsia="Arial" w:hAnsi="Arial"/>
                  <w:sz w:val="13"/>
                  <w:szCs w:val="13"/>
                  <w:color w:val="0000EE"/>
                </w:rPr>
                <w:t>Form 8-K).</w:t>
              </w:r>
            </w:hyperlink>
          </w:p>
        </w:tc>
        <w:tc>
          <w:tcPr>
            <w:tcW w:w="20" w:type="dxa"/>
            <w:vAlign w:val="bottom"/>
            <w:tcBorders>
              <w:top w:val="single" w:sz="8" w:color="CCEEFF"/>
            </w:tcBorders>
            <w:shd w:val="clear" w:color="auto" w:fill="CCEEFF"/>
          </w:tcPr>
          <w:p>
            <w:pPr>
              <w:spacing w:after="0"/>
              <w:rPr>
                <w:sz w:val="10"/>
                <w:szCs w:val="10"/>
                <w:color w:val="auto"/>
              </w:rPr>
            </w:pPr>
          </w:p>
        </w:tc>
      </w:tr>
      <w:tr>
        <w:trPr>
          <w:trHeight w:val="144"/>
        </w:trPr>
        <w:tc>
          <w:tcPr>
            <w:tcW w:w="10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600" w:type="dxa"/>
            <w:vAlign w:val="bottom"/>
            <w:tcBorders>
              <w:top w:val="single" w:sz="8" w:color="0000EE"/>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12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44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r>
      <w:tr>
        <w:trPr>
          <w:trHeight w:val="123"/>
        </w:trPr>
        <w:tc>
          <w:tcPr>
            <w:tcW w:w="1060" w:type="dxa"/>
            <w:vAlign w:val="bottom"/>
            <w:shd w:val="clear" w:color="auto" w:fill="CCEEFF"/>
          </w:tcPr>
          <w:p>
            <w:pPr>
              <w:jc w:val="center"/>
              <w:spacing w:after="0" w:line="123" w:lineRule="exact"/>
              <w:rPr>
                <w:sz w:val="20"/>
                <w:szCs w:val="20"/>
                <w:color w:val="auto"/>
              </w:rPr>
            </w:pPr>
            <w:r>
              <w:rPr>
                <w:rFonts w:ascii="Arial" w:cs="Arial" w:eastAsia="Arial" w:hAnsi="Arial"/>
                <w:sz w:val="13"/>
                <w:szCs w:val="13"/>
                <w:color w:val="auto"/>
                <w:w w:val="95"/>
              </w:rPr>
              <w:t>10.10†</w:t>
            </w:r>
          </w:p>
        </w:tc>
        <w:tc>
          <w:tcPr>
            <w:tcW w:w="220" w:type="dxa"/>
            <w:vAlign w:val="bottom"/>
            <w:tcBorders>
              <w:right w:val="single" w:sz="8" w:color="CCEEFF"/>
            </w:tcBorders>
            <w:shd w:val="clear" w:color="auto" w:fill="CCEEFF"/>
          </w:tcPr>
          <w:p>
            <w:pPr>
              <w:spacing w:after="0"/>
              <w:rPr>
                <w:sz w:val="10"/>
                <w:szCs w:val="10"/>
                <w:color w:val="auto"/>
              </w:rPr>
            </w:pPr>
          </w:p>
        </w:tc>
        <w:tc>
          <w:tcPr>
            <w:tcW w:w="7660" w:type="dxa"/>
            <w:vAlign w:val="bottom"/>
            <w:gridSpan w:val="13"/>
            <w:shd w:val="clear" w:color="auto" w:fill="CCEEFF"/>
          </w:tcPr>
          <w:p>
            <w:pPr>
              <w:spacing w:after="0" w:line="123" w:lineRule="exact"/>
              <w:rPr>
                <w:rFonts w:ascii="Arial" w:cs="Arial" w:eastAsia="Arial" w:hAnsi="Arial"/>
                <w:sz w:val="13"/>
                <w:szCs w:val="13"/>
                <w:color w:val="0000EE"/>
              </w:rPr>
            </w:pPr>
            <w:hyperlink r:id="rId150">
              <w:r>
                <w:rPr>
                  <w:rFonts w:ascii="Arial" w:cs="Arial" w:eastAsia="Arial" w:hAnsi="Arial"/>
                  <w:sz w:val="13"/>
                  <w:szCs w:val="13"/>
                  <w:color w:val="0000EE"/>
                </w:rPr>
                <w:t>Form of Time-Based Restricted Stock Unit Award Agreement (incorporated herein by reference to Exhibit 10.2 to March 23, 2016</w:t>
              </w:r>
            </w:hyperlink>
          </w:p>
        </w:tc>
      </w:tr>
      <w:tr>
        <w:trPr>
          <w:trHeight w:val="124"/>
        </w:trPr>
        <w:tc>
          <w:tcPr>
            <w:tcW w:w="106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right w:val="single" w:sz="8" w:color="CCEEFF"/>
            </w:tcBorders>
            <w:shd w:val="clear" w:color="auto" w:fill="CCEEFF"/>
          </w:tcPr>
          <w:p>
            <w:pPr>
              <w:spacing w:after="0"/>
              <w:rPr>
                <w:sz w:val="10"/>
                <w:szCs w:val="10"/>
                <w:color w:val="auto"/>
              </w:rPr>
            </w:pPr>
          </w:p>
        </w:tc>
        <w:tc>
          <w:tcPr>
            <w:tcW w:w="7640" w:type="dxa"/>
            <w:vAlign w:val="bottom"/>
            <w:tcBorders>
              <w:top w:val="single" w:sz="8" w:color="0000EE"/>
            </w:tcBorders>
            <w:gridSpan w:val="12"/>
            <w:shd w:val="clear" w:color="auto" w:fill="CCEEFF"/>
          </w:tcPr>
          <w:p>
            <w:pPr>
              <w:spacing w:after="0" w:line="124" w:lineRule="exact"/>
              <w:rPr>
                <w:rFonts w:ascii="Arial" w:cs="Arial" w:eastAsia="Arial" w:hAnsi="Arial"/>
                <w:sz w:val="13"/>
                <w:szCs w:val="13"/>
                <w:color w:val="0000EE"/>
              </w:rPr>
            </w:pPr>
            <w:hyperlink r:id="rId150">
              <w:r>
                <w:rPr>
                  <w:rFonts w:ascii="Arial" w:cs="Arial" w:eastAsia="Arial" w:hAnsi="Arial"/>
                  <w:sz w:val="13"/>
                  <w:szCs w:val="13"/>
                  <w:color w:val="0000EE"/>
                </w:rPr>
                <w:t>Form 8-K).</w:t>
              </w:r>
            </w:hyperlink>
          </w:p>
        </w:tc>
        <w:tc>
          <w:tcPr>
            <w:tcW w:w="20" w:type="dxa"/>
            <w:vAlign w:val="bottom"/>
            <w:tcBorders>
              <w:top w:val="single" w:sz="8" w:color="CCEEFF"/>
            </w:tcBorders>
            <w:shd w:val="clear" w:color="auto" w:fill="CCEEFF"/>
          </w:tcPr>
          <w:p>
            <w:pPr>
              <w:spacing w:after="0"/>
              <w:rPr>
                <w:sz w:val="10"/>
                <w:szCs w:val="10"/>
                <w:color w:val="auto"/>
              </w:rPr>
            </w:pPr>
          </w:p>
        </w:tc>
      </w:tr>
      <w:tr>
        <w:trPr>
          <w:trHeight w:val="144"/>
        </w:trPr>
        <w:tc>
          <w:tcPr>
            <w:tcW w:w="10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600" w:type="dxa"/>
            <w:vAlign w:val="bottom"/>
            <w:tcBorders>
              <w:top w:val="single" w:sz="8" w:color="0000EE"/>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12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44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r>
      <w:tr>
        <w:trPr>
          <w:trHeight w:val="123"/>
        </w:trPr>
        <w:tc>
          <w:tcPr>
            <w:tcW w:w="1060" w:type="dxa"/>
            <w:vAlign w:val="bottom"/>
            <w:tcBorders>
              <w:bottom w:val="single" w:sz="8" w:color="CCEEFF"/>
            </w:tcBorders>
            <w:shd w:val="clear" w:color="auto" w:fill="CCEEFF"/>
          </w:tcPr>
          <w:p>
            <w:pPr>
              <w:jc w:val="center"/>
              <w:spacing w:after="0" w:line="123" w:lineRule="exact"/>
              <w:rPr>
                <w:sz w:val="20"/>
                <w:szCs w:val="20"/>
                <w:color w:val="auto"/>
              </w:rPr>
            </w:pPr>
            <w:r>
              <w:rPr>
                <w:rFonts w:ascii="Arial" w:cs="Arial" w:eastAsia="Arial" w:hAnsi="Arial"/>
                <w:sz w:val="13"/>
                <w:szCs w:val="13"/>
                <w:color w:val="auto"/>
                <w:w w:val="95"/>
              </w:rPr>
              <w:t>10.11†</w:t>
            </w:r>
          </w:p>
        </w:tc>
        <w:tc>
          <w:tcPr>
            <w:tcW w:w="220" w:type="dxa"/>
            <w:vAlign w:val="bottom"/>
            <w:tcBorders>
              <w:bottom w:val="single" w:sz="8" w:color="CCEEFF"/>
              <w:right w:val="single" w:sz="8" w:color="CCEEFF"/>
            </w:tcBorders>
            <w:shd w:val="clear" w:color="auto" w:fill="CCEEFF"/>
          </w:tcPr>
          <w:p>
            <w:pPr>
              <w:spacing w:after="0"/>
              <w:rPr>
                <w:sz w:val="10"/>
                <w:szCs w:val="10"/>
                <w:color w:val="auto"/>
              </w:rPr>
            </w:pPr>
          </w:p>
        </w:tc>
        <w:tc>
          <w:tcPr>
            <w:tcW w:w="7660" w:type="dxa"/>
            <w:vAlign w:val="bottom"/>
            <w:tcBorders>
              <w:bottom w:val="single" w:sz="8" w:color="0000EE"/>
            </w:tcBorders>
            <w:gridSpan w:val="13"/>
            <w:shd w:val="clear" w:color="auto" w:fill="CCEEFF"/>
          </w:tcPr>
          <w:p>
            <w:pPr>
              <w:spacing w:after="0" w:line="123" w:lineRule="exact"/>
              <w:rPr>
                <w:rFonts w:ascii="Arial" w:cs="Arial" w:eastAsia="Arial" w:hAnsi="Arial"/>
                <w:sz w:val="13"/>
                <w:szCs w:val="13"/>
                <w:color w:val="0000EE"/>
              </w:rPr>
            </w:pPr>
            <w:hyperlink r:id="rId151">
              <w:r>
                <w:rPr>
                  <w:rFonts w:ascii="Arial" w:cs="Arial" w:eastAsia="Arial" w:hAnsi="Arial"/>
                  <w:sz w:val="13"/>
                  <w:szCs w:val="13"/>
                  <w:color w:val="0000EE"/>
                </w:rPr>
                <w:t>Form of Time-Based Restricted Stock Unit Award Agreement for new hires (incorporated herein by reference to Exhibit 10.1 to the</w:t>
              </w:r>
            </w:hyperlink>
          </w:p>
        </w:tc>
      </w:tr>
      <w:tr>
        <w:trPr>
          <w:trHeight w:val="124"/>
        </w:trPr>
        <w:tc>
          <w:tcPr>
            <w:tcW w:w="106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7660" w:type="dxa"/>
            <w:vAlign w:val="bottom"/>
            <w:gridSpan w:val="13"/>
            <w:shd w:val="clear" w:color="auto" w:fill="CCEEFF"/>
          </w:tcPr>
          <w:p>
            <w:pPr>
              <w:spacing w:after="0" w:line="124" w:lineRule="exact"/>
              <w:rPr>
                <w:rFonts w:ascii="Arial" w:cs="Arial" w:eastAsia="Arial" w:hAnsi="Arial"/>
                <w:sz w:val="13"/>
                <w:szCs w:val="13"/>
                <w:color w:val="0000EE"/>
              </w:rPr>
            </w:pPr>
            <w:hyperlink r:id="rId151">
              <w:r>
                <w:rPr>
                  <w:rFonts w:ascii="Arial" w:cs="Arial" w:eastAsia="Arial" w:hAnsi="Arial"/>
                  <w:sz w:val="13"/>
                  <w:szCs w:val="13"/>
                  <w:color w:val="0000EE"/>
                </w:rPr>
                <w:t>Quarterly Report on Form 10-Q for the quarterly period ended July 30, 2016 filed on September 7, 2016).</w:t>
              </w:r>
            </w:hyperlink>
          </w:p>
        </w:tc>
      </w:tr>
      <w:tr>
        <w:trPr>
          <w:trHeight w:val="144"/>
        </w:trPr>
        <w:tc>
          <w:tcPr>
            <w:tcW w:w="10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600" w:type="dxa"/>
            <w:vAlign w:val="bottom"/>
            <w:tcBorders>
              <w:top w:val="single" w:sz="8" w:color="0000EE"/>
            </w:tcBorders>
          </w:tcPr>
          <w:p>
            <w:pPr>
              <w:spacing w:after="0"/>
              <w:rPr>
                <w:sz w:val="12"/>
                <w:szCs w:val="12"/>
                <w:color w:val="auto"/>
              </w:rPr>
            </w:pPr>
          </w:p>
        </w:tc>
        <w:tc>
          <w:tcPr>
            <w:tcW w:w="940" w:type="dxa"/>
            <w:vAlign w:val="bottom"/>
            <w:tcBorders>
              <w:top w:val="single" w:sz="8" w:color="0000EE"/>
            </w:tcBorders>
          </w:tcPr>
          <w:p>
            <w:pPr>
              <w:spacing w:after="0"/>
              <w:rPr>
                <w:sz w:val="12"/>
                <w:szCs w:val="12"/>
                <w:color w:val="auto"/>
              </w:rPr>
            </w:pPr>
          </w:p>
        </w:tc>
        <w:tc>
          <w:tcPr>
            <w:tcW w:w="12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540" w:type="dxa"/>
            <w:vAlign w:val="bottom"/>
            <w:tcBorders>
              <w:top w:val="single" w:sz="8" w:color="0000EE"/>
            </w:tcBorders>
          </w:tcPr>
          <w:p>
            <w:pPr>
              <w:spacing w:after="0"/>
              <w:rPr>
                <w:sz w:val="12"/>
                <w:szCs w:val="12"/>
                <w:color w:val="auto"/>
              </w:rPr>
            </w:pPr>
          </w:p>
        </w:tc>
        <w:tc>
          <w:tcPr>
            <w:tcW w:w="64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1440" w:type="dxa"/>
            <w:vAlign w:val="bottom"/>
            <w:tcBorders>
              <w:top w:val="single" w:sz="8" w:color="0000EE"/>
            </w:tcBorders>
          </w:tcPr>
          <w:p>
            <w:pPr>
              <w:spacing w:after="0"/>
              <w:rPr>
                <w:sz w:val="12"/>
                <w:szCs w:val="12"/>
                <w:color w:val="auto"/>
              </w:rPr>
            </w:pPr>
          </w:p>
        </w:tc>
        <w:tc>
          <w:tcPr>
            <w:tcW w:w="420" w:type="dxa"/>
            <w:vAlign w:val="bottom"/>
            <w:tcBorders>
              <w:top w:val="single" w:sz="8" w:color="0000EE"/>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r>
      <w:tr>
        <w:trPr>
          <w:trHeight w:val="123"/>
        </w:trPr>
        <w:tc>
          <w:tcPr>
            <w:tcW w:w="1060" w:type="dxa"/>
            <w:vAlign w:val="bottom"/>
            <w:tcBorders>
              <w:bottom w:val="single" w:sz="8" w:color="CCEEFF"/>
            </w:tcBorders>
            <w:shd w:val="clear" w:color="auto" w:fill="CCEEFF"/>
          </w:tcPr>
          <w:p>
            <w:pPr>
              <w:jc w:val="center"/>
              <w:spacing w:after="0" w:line="123" w:lineRule="exact"/>
              <w:rPr>
                <w:sz w:val="20"/>
                <w:szCs w:val="20"/>
                <w:color w:val="auto"/>
              </w:rPr>
            </w:pPr>
            <w:r>
              <w:rPr>
                <w:rFonts w:ascii="Arial" w:cs="Arial" w:eastAsia="Arial" w:hAnsi="Arial"/>
                <w:sz w:val="13"/>
                <w:szCs w:val="13"/>
                <w:color w:val="auto"/>
                <w:w w:val="95"/>
              </w:rPr>
              <w:t>10.12†</w:t>
            </w:r>
          </w:p>
        </w:tc>
        <w:tc>
          <w:tcPr>
            <w:tcW w:w="220" w:type="dxa"/>
            <w:vAlign w:val="bottom"/>
            <w:tcBorders>
              <w:bottom w:val="single" w:sz="8" w:color="CCEEFF"/>
              <w:right w:val="single" w:sz="8" w:color="CCEEFF"/>
            </w:tcBorders>
            <w:shd w:val="clear" w:color="auto" w:fill="CCEEFF"/>
          </w:tcPr>
          <w:p>
            <w:pPr>
              <w:spacing w:after="0"/>
              <w:rPr>
                <w:sz w:val="10"/>
                <w:szCs w:val="10"/>
                <w:color w:val="auto"/>
              </w:rPr>
            </w:pPr>
          </w:p>
        </w:tc>
        <w:tc>
          <w:tcPr>
            <w:tcW w:w="7660" w:type="dxa"/>
            <w:vAlign w:val="bottom"/>
            <w:tcBorders>
              <w:bottom w:val="single" w:sz="8" w:color="0000EE"/>
            </w:tcBorders>
            <w:gridSpan w:val="13"/>
            <w:shd w:val="clear" w:color="auto" w:fill="CCEEFF"/>
          </w:tcPr>
          <w:p>
            <w:pPr>
              <w:spacing w:after="0" w:line="123" w:lineRule="exact"/>
              <w:rPr>
                <w:rFonts w:ascii="Arial" w:cs="Arial" w:eastAsia="Arial" w:hAnsi="Arial"/>
                <w:sz w:val="13"/>
                <w:szCs w:val="13"/>
                <w:color w:val="0000EE"/>
              </w:rPr>
            </w:pPr>
            <w:hyperlink r:id="rId152">
              <w:r>
                <w:rPr>
                  <w:rFonts w:ascii="Arial" w:cs="Arial" w:eastAsia="Arial" w:hAnsi="Arial"/>
                  <w:sz w:val="13"/>
                  <w:szCs w:val="13"/>
                  <w:color w:val="0000EE"/>
                </w:rPr>
                <w:t>Form of Performance Restricted Stock Unit Award Agreement for Long-Term Incentive Compensation Plan (incorporated herein by</w:t>
              </w:r>
            </w:hyperlink>
          </w:p>
        </w:tc>
      </w:tr>
      <w:tr>
        <w:trPr>
          <w:trHeight w:val="124"/>
        </w:trPr>
        <w:tc>
          <w:tcPr>
            <w:tcW w:w="106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7660" w:type="dxa"/>
            <w:vAlign w:val="bottom"/>
            <w:gridSpan w:val="13"/>
            <w:shd w:val="clear" w:color="auto" w:fill="CCEEFF"/>
          </w:tcPr>
          <w:p>
            <w:pPr>
              <w:spacing w:after="0" w:line="124" w:lineRule="exact"/>
              <w:rPr>
                <w:rFonts w:ascii="Arial" w:cs="Arial" w:eastAsia="Arial" w:hAnsi="Arial"/>
                <w:sz w:val="13"/>
                <w:szCs w:val="13"/>
                <w:color w:val="0000EE"/>
              </w:rPr>
            </w:pPr>
            <w:hyperlink r:id="rId152">
              <w:r>
                <w:rPr>
                  <w:rFonts w:ascii="Arial" w:cs="Arial" w:eastAsia="Arial" w:hAnsi="Arial"/>
                  <w:sz w:val="13"/>
                  <w:szCs w:val="13"/>
                  <w:color w:val="0000EE"/>
                </w:rPr>
                <w:t>reference to Exhibit 10.1 to the March 23, 2016 Form 8-K).</w:t>
              </w:r>
            </w:hyperlink>
          </w:p>
        </w:tc>
      </w:tr>
      <w:tr>
        <w:trPr>
          <w:trHeight w:val="144"/>
        </w:trPr>
        <w:tc>
          <w:tcPr>
            <w:tcW w:w="10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600" w:type="dxa"/>
            <w:vAlign w:val="bottom"/>
            <w:tcBorders>
              <w:top w:val="single" w:sz="8" w:color="0000EE"/>
            </w:tcBorders>
          </w:tcPr>
          <w:p>
            <w:pPr>
              <w:spacing w:after="0"/>
              <w:rPr>
                <w:sz w:val="12"/>
                <w:szCs w:val="12"/>
                <w:color w:val="auto"/>
              </w:rPr>
            </w:pPr>
          </w:p>
        </w:tc>
        <w:tc>
          <w:tcPr>
            <w:tcW w:w="940" w:type="dxa"/>
            <w:vAlign w:val="bottom"/>
            <w:tcBorders>
              <w:top w:val="single" w:sz="8" w:color="0000EE"/>
            </w:tcBorders>
          </w:tcPr>
          <w:p>
            <w:pPr>
              <w:spacing w:after="0"/>
              <w:rPr>
                <w:sz w:val="12"/>
                <w:szCs w:val="12"/>
                <w:color w:val="auto"/>
              </w:rPr>
            </w:pPr>
          </w:p>
        </w:tc>
        <w:tc>
          <w:tcPr>
            <w:tcW w:w="12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540" w:type="dxa"/>
            <w:vAlign w:val="bottom"/>
            <w:tcBorders>
              <w:top w:val="single" w:sz="8" w:color="0000EE"/>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44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r>
      <w:tr>
        <w:trPr>
          <w:trHeight w:val="123"/>
        </w:trPr>
        <w:tc>
          <w:tcPr>
            <w:tcW w:w="1060" w:type="dxa"/>
            <w:vAlign w:val="bottom"/>
            <w:tcBorders>
              <w:bottom w:val="single" w:sz="8" w:color="CCEEFF"/>
            </w:tcBorders>
            <w:shd w:val="clear" w:color="auto" w:fill="CCEEFF"/>
          </w:tcPr>
          <w:p>
            <w:pPr>
              <w:jc w:val="center"/>
              <w:spacing w:after="0" w:line="123" w:lineRule="exact"/>
              <w:rPr>
                <w:sz w:val="20"/>
                <w:szCs w:val="20"/>
                <w:color w:val="auto"/>
              </w:rPr>
            </w:pPr>
            <w:r>
              <w:rPr>
                <w:rFonts w:ascii="Arial" w:cs="Arial" w:eastAsia="Arial" w:hAnsi="Arial"/>
                <w:sz w:val="13"/>
                <w:szCs w:val="13"/>
                <w:color w:val="auto"/>
                <w:w w:val="95"/>
              </w:rPr>
              <w:t>10.13†</w:t>
            </w:r>
          </w:p>
        </w:tc>
        <w:tc>
          <w:tcPr>
            <w:tcW w:w="220" w:type="dxa"/>
            <w:vAlign w:val="bottom"/>
            <w:tcBorders>
              <w:bottom w:val="single" w:sz="8" w:color="CCEEFF"/>
              <w:right w:val="single" w:sz="8" w:color="CCEEFF"/>
            </w:tcBorders>
            <w:shd w:val="clear" w:color="auto" w:fill="CCEEFF"/>
          </w:tcPr>
          <w:p>
            <w:pPr>
              <w:spacing w:after="0"/>
              <w:rPr>
                <w:sz w:val="10"/>
                <w:szCs w:val="10"/>
                <w:color w:val="auto"/>
              </w:rPr>
            </w:pPr>
          </w:p>
        </w:tc>
        <w:tc>
          <w:tcPr>
            <w:tcW w:w="7660" w:type="dxa"/>
            <w:vAlign w:val="bottom"/>
            <w:tcBorders>
              <w:bottom w:val="single" w:sz="8" w:color="0000EE"/>
            </w:tcBorders>
            <w:gridSpan w:val="13"/>
            <w:shd w:val="clear" w:color="auto" w:fill="CCEEFF"/>
          </w:tcPr>
          <w:p>
            <w:pPr>
              <w:spacing w:after="0" w:line="123" w:lineRule="exact"/>
              <w:rPr>
                <w:rFonts w:ascii="Arial" w:cs="Arial" w:eastAsia="Arial" w:hAnsi="Arial"/>
                <w:sz w:val="13"/>
                <w:szCs w:val="13"/>
                <w:color w:val="0000EE"/>
              </w:rPr>
            </w:pPr>
            <w:hyperlink r:id="rId153">
              <w:r>
                <w:rPr>
                  <w:rFonts w:ascii="Arial" w:cs="Arial" w:eastAsia="Arial" w:hAnsi="Arial"/>
                  <w:sz w:val="13"/>
                  <w:szCs w:val="13"/>
                  <w:color w:val="0000EE"/>
                </w:rPr>
                <w:t>Form of Accelerate Future Growth Award Agreement (incorporated herein by reference to Exhibit 10.1 to the Current Report on Form</w:t>
              </w:r>
            </w:hyperlink>
          </w:p>
        </w:tc>
      </w:tr>
      <w:tr>
        <w:trPr>
          <w:trHeight w:val="124"/>
        </w:trPr>
        <w:tc>
          <w:tcPr>
            <w:tcW w:w="106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7660" w:type="dxa"/>
            <w:vAlign w:val="bottom"/>
            <w:gridSpan w:val="13"/>
            <w:shd w:val="clear" w:color="auto" w:fill="CCEEFF"/>
          </w:tcPr>
          <w:p>
            <w:pPr>
              <w:spacing w:after="0" w:line="124" w:lineRule="exact"/>
              <w:rPr>
                <w:rFonts w:ascii="Arial" w:cs="Arial" w:eastAsia="Arial" w:hAnsi="Arial"/>
                <w:sz w:val="13"/>
                <w:szCs w:val="13"/>
                <w:color w:val="0000EE"/>
              </w:rPr>
            </w:pPr>
            <w:hyperlink r:id="rId153">
              <w:r>
                <w:rPr>
                  <w:rFonts w:ascii="Arial" w:cs="Arial" w:eastAsia="Arial" w:hAnsi="Arial"/>
                  <w:sz w:val="13"/>
                  <w:szCs w:val="13"/>
                  <w:color w:val="0000EE"/>
                </w:rPr>
                <w:t>8-K, dated April 12, 2018 filed on April 18, 2018.)</w:t>
              </w:r>
            </w:hyperlink>
          </w:p>
        </w:tc>
      </w:tr>
      <w:tr>
        <w:trPr>
          <w:trHeight w:val="144"/>
        </w:trPr>
        <w:tc>
          <w:tcPr>
            <w:tcW w:w="10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600" w:type="dxa"/>
            <w:vAlign w:val="bottom"/>
            <w:tcBorders>
              <w:top w:val="single" w:sz="8" w:color="0000EE"/>
            </w:tcBorders>
          </w:tcPr>
          <w:p>
            <w:pPr>
              <w:spacing w:after="0"/>
              <w:rPr>
                <w:sz w:val="12"/>
                <w:szCs w:val="12"/>
                <w:color w:val="auto"/>
              </w:rPr>
            </w:pPr>
          </w:p>
        </w:tc>
        <w:tc>
          <w:tcPr>
            <w:tcW w:w="940" w:type="dxa"/>
            <w:vAlign w:val="bottom"/>
            <w:tcBorders>
              <w:top w:val="single" w:sz="8" w:color="0000EE"/>
            </w:tcBorders>
          </w:tcPr>
          <w:p>
            <w:pPr>
              <w:spacing w:after="0"/>
              <w:rPr>
                <w:sz w:val="12"/>
                <w:szCs w:val="12"/>
                <w:color w:val="auto"/>
              </w:rPr>
            </w:pPr>
          </w:p>
        </w:tc>
        <w:tc>
          <w:tcPr>
            <w:tcW w:w="12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44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r>
      <w:tr>
        <w:trPr>
          <w:trHeight w:val="139"/>
        </w:trPr>
        <w:tc>
          <w:tcPr>
            <w:tcW w:w="1060" w:type="dxa"/>
            <w:vAlign w:val="bottom"/>
            <w:shd w:val="clear" w:color="auto" w:fill="CCEEFF"/>
          </w:tcPr>
          <w:p>
            <w:pPr>
              <w:jc w:val="center"/>
              <w:spacing w:after="0" w:line="139" w:lineRule="exact"/>
              <w:rPr>
                <w:sz w:val="20"/>
                <w:szCs w:val="20"/>
                <w:color w:val="auto"/>
              </w:rPr>
            </w:pPr>
            <w:r>
              <w:rPr>
                <w:rFonts w:ascii="Arial" w:cs="Arial" w:eastAsia="Arial" w:hAnsi="Arial"/>
                <w:sz w:val="13"/>
                <w:szCs w:val="13"/>
                <w:color w:val="auto"/>
                <w:w w:val="95"/>
              </w:rPr>
              <w:t>10.14†</w:t>
            </w:r>
          </w:p>
        </w:tc>
        <w:tc>
          <w:tcPr>
            <w:tcW w:w="220" w:type="dxa"/>
            <w:vAlign w:val="bottom"/>
            <w:tcBorders>
              <w:right w:val="single" w:sz="8" w:color="CCEEFF"/>
            </w:tcBorders>
            <w:shd w:val="clear" w:color="auto" w:fill="CCEEFF"/>
          </w:tcPr>
          <w:p>
            <w:pPr>
              <w:spacing w:after="0"/>
              <w:rPr>
                <w:sz w:val="12"/>
                <w:szCs w:val="12"/>
                <w:color w:val="auto"/>
              </w:rPr>
            </w:pPr>
          </w:p>
        </w:tc>
        <w:tc>
          <w:tcPr>
            <w:tcW w:w="7660" w:type="dxa"/>
            <w:vAlign w:val="bottom"/>
            <w:gridSpan w:val="13"/>
            <w:shd w:val="clear" w:color="auto" w:fill="CCEEFF"/>
          </w:tcPr>
          <w:p>
            <w:pPr>
              <w:spacing w:after="0" w:line="139" w:lineRule="exact"/>
              <w:rPr>
                <w:sz w:val="20"/>
                <w:szCs w:val="20"/>
                <w:color w:val="auto"/>
              </w:rPr>
            </w:pPr>
            <w:r>
              <w:rPr>
                <w:rFonts w:ascii="Arial" w:cs="Arial" w:eastAsia="Arial" w:hAnsi="Arial"/>
                <w:sz w:val="13"/>
                <w:szCs w:val="13"/>
                <w:color w:val="auto"/>
              </w:rPr>
              <w:t>Executive Supplemental Retirement Plan (incorporated herein by reference to Exhibit 10(d) to the Registration Statement on Form 8-</w:t>
            </w:r>
          </w:p>
        </w:tc>
      </w:tr>
      <w:tr>
        <w:trPr>
          <w:trHeight w:val="148"/>
        </w:trPr>
        <w:tc>
          <w:tcPr>
            <w:tcW w:w="10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660" w:type="dxa"/>
            <w:vAlign w:val="bottom"/>
            <w:gridSpan w:val="13"/>
            <w:shd w:val="clear" w:color="auto" w:fill="CCEEFF"/>
          </w:tcPr>
          <w:p>
            <w:pPr>
              <w:spacing w:after="0" w:line="149" w:lineRule="exact"/>
              <w:rPr>
                <w:sz w:val="20"/>
                <w:szCs w:val="20"/>
                <w:color w:val="auto"/>
              </w:rPr>
            </w:pPr>
            <w:r>
              <w:rPr>
                <w:rFonts w:ascii="Arial" w:cs="Arial" w:eastAsia="Arial" w:hAnsi="Arial"/>
                <w:sz w:val="13"/>
                <w:szCs w:val="13"/>
                <w:color w:val="auto"/>
              </w:rPr>
              <w:t>B filed on August 7, 1989 (Registration No. 1-10299) (the “8-B Registration Statement”)).</w:t>
            </w:r>
          </w:p>
        </w:tc>
      </w:tr>
      <w:tr>
        <w:trPr>
          <w:trHeight w:val="144"/>
        </w:trPr>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9"/>
        </w:trPr>
        <w:tc>
          <w:tcPr>
            <w:tcW w:w="1060" w:type="dxa"/>
            <w:vAlign w:val="bottom"/>
            <w:shd w:val="clear" w:color="auto" w:fill="CCEEFF"/>
          </w:tcPr>
          <w:p>
            <w:pPr>
              <w:jc w:val="center"/>
              <w:spacing w:after="0" w:line="139" w:lineRule="exact"/>
              <w:rPr>
                <w:sz w:val="20"/>
                <w:szCs w:val="20"/>
                <w:color w:val="auto"/>
              </w:rPr>
            </w:pPr>
            <w:r>
              <w:rPr>
                <w:rFonts w:ascii="Arial" w:cs="Arial" w:eastAsia="Arial" w:hAnsi="Arial"/>
                <w:sz w:val="13"/>
                <w:szCs w:val="13"/>
                <w:color w:val="auto"/>
                <w:w w:val="95"/>
              </w:rPr>
              <w:t>10.15†</w:t>
            </w:r>
          </w:p>
        </w:tc>
        <w:tc>
          <w:tcPr>
            <w:tcW w:w="220" w:type="dxa"/>
            <w:vAlign w:val="bottom"/>
            <w:tcBorders>
              <w:right w:val="single" w:sz="8" w:color="CCEEFF"/>
            </w:tcBorders>
            <w:shd w:val="clear" w:color="auto" w:fill="CCEEFF"/>
          </w:tcPr>
          <w:p>
            <w:pPr>
              <w:spacing w:after="0"/>
              <w:rPr>
                <w:sz w:val="12"/>
                <w:szCs w:val="12"/>
                <w:color w:val="auto"/>
              </w:rPr>
            </w:pPr>
          </w:p>
        </w:tc>
        <w:tc>
          <w:tcPr>
            <w:tcW w:w="7660" w:type="dxa"/>
            <w:vAlign w:val="bottom"/>
            <w:gridSpan w:val="13"/>
            <w:shd w:val="clear" w:color="auto" w:fill="CCEEFF"/>
          </w:tcPr>
          <w:p>
            <w:pPr>
              <w:spacing w:after="0" w:line="139" w:lineRule="exact"/>
              <w:rPr>
                <w:sz w:val="20"/>
                <w:szCs w:val="20"/>
                <w:color w:val="auto"/>
              </w:rPr>
            </w:pPr>
            <w:r>
              <w:rPr>
                <w:rFonts w:ascii="Arial" w:cs="Arial" w:eastAsia="Arial" w:hAnsi="Arial"/>
                <w:sz w:val="13"/>
                <w:szCs w:val="13"/>
                <w:color w:val="auto"/>
                <w:w w:val="99"/>
              </w:rPr>
              <w:t>Amendment to the Executive Supplemental Retirement Plan (incorporated herein by reference to Exhibit 10(c)(i) to the Annual Report</w:t>
            </w:r>
          </w:p>
        </w:tc>
      </w:tr>
      <w:tr>
        <w:trPr>
          <w:trHeight w:val="148"/>
        </w:trPr>
        <w:tc>
          <w:tcPr>
            <w:tcW w:w="10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660" w:type="dxa"/>
            <w:vAlign w:val="bottom"/>
            <w:gridSpan w:val="13"/>
            <w:shd w:val="clear" w:color="auto" w:fill="CCEEFF"/>
          </w:tcPr>
          <w:p>
            <w:pPr>
              <w:spacing w:after="0" w:line="149" w:lineRule="exact"/>
              <w:rPr>
                <w:sz w:val="20"/>
                <w:szCs w:val="20"/>
                <w:color w:val="auto"/>
              </w:rPr>
            </w:pPr>
            <w:r>
              <w:rPr>
                <w:rFonts w:ascii="Arial" w:cs="Arial" w:eastAsia="Arial" w:hAnsi="Arial"/>
                <w:sz w:val="13"/>
                <w:szCs w:val="13"/>
                <w:color w:val="auto"/>
              </w:rPr>
              <w:t>on Form 10-K for the fiscal year ended January 28, 1995 filed on April 24, 1995).</w:t>
            </w:r>
          </w:p>
        </w:tc>
      </w:tr>
      <w:tr>
        <w:trPr>
          <w:trHeight w:val="144"/>
        </w:trPr>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9"/>
        </w:trPr>
        <w:tc>
          <w:tcPr>
            <w:tcW w:w="1060" w:type="dxa"/>
            <w:vAlign w:val="bottom"/>
            <w:shd w:val="clear" w:color="auto" w:fill="CCEEFF"/>
          </w:tcPr>
          <w:p>
            <w:pPr>
              <w:jc w:val="center"/>
              <w:spacing w:after="0" w:line="139" w:lineRule="exact"/>
              <w:rPr>
                <w:sz w:val="20"/>
                <w:szCs w:val="20"/>
                <w:color w:val="auto"/>
              </w:rPr>
            </w:pPr>
            <w:r>
              <w:rPr>
                <w:rFonts w:ascii="Arial" w:cs="Arial" w:eastAsia="Arial" w:hAnsi="Arial"/>
                <w:sz w:val="13"/>
                <w:szCs w:val="13"/>
                <w:color w:val="auto"/>
                <w:w w:val="95"/>
              </w:rPr>
              <w:t>10.16†</w:t>
            </w:r>
          </w:p>
        </w:tc>
        <w:tc>
          <w:tcPr>
            <w:tcW w:w="220" w:type="dxa"/>
            <w:vAlign w:val="bottom"/>
            <w:tcBorders>
              <w:right w:val="single" w:sz="8" w:color="CCEEFF"/>
            </w:tcBorders>
            <w:shd w:val="clear" w:color="auto" w:fill="CCEEFF"/>
          </w:tcPr>
          <w:p>
            <w:pPr>
              <w:spacing w:after="0"/>
              <w:rPr>
                <w:sz w:val="12"/>
                <w:szCs w:val="12"/>
                <w:color w:val="auto"/>
              </w:rPr>
            </w:pPr>
          </w:p>
        </w:tc>
        <w:tc>
          <w:tcPr>
            <w:tcW w:w="7660" w:type="dxa"/>
            <w:vAlign w:val="bottom"/>
            <w:gridSpan w:val="13"/>
            <w:shd w:val="clear" w:color="auto" w:fill="CCEEFF"/>
          </w:tcPr>
          <w:p>
            <w:pPr>
              <w:spacing w:after="0" w:line="139" w:lineRule="exact"/>
              <w:rPr>
                <w:sz w:val="20"/>
                <w:szCs w:val="20"/>
                <w:color w:val="auto"/>
              </w:rPr>
            </w:pPr>
            <w:r>
              <w:rPr>
                <w:rFonts w:ascii="Arial" w:cs="Arial" w:eastAsia="Arial" w:hAnsi="Arial"/>
                <w:sz w:val="13"/>
                <w:szCs w:val="13"/>
                <w:color w:val="auto"/>
              </w:rPr>
              <w:t>Amendment to the Executive Supplemental Retirement Plan (incorporated herein by reference to Exhibit 10(d)(ii) to the Annual</w:t>
            </w:r>
          </w:p>
        </w:tc>
      </w:tr>
      <w:tr>
        <w:trPr>
          <w:trHeight w:val="148"/>
        </w:trPr>
        <w:tc>
          <w:tcPr>
            <w:tcW w:w="10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660" w:type="dxa"/>
            <w:vAlign w:val="bottom"/>
            <w:gridSpan w:val="13"/>
            <w:shd w:val="clear" w:color="auto" w:fill="CCEEFF"/>
          </w:tcPr>
          <w:p>
            <w:pPr>
              <w:spacing w:after="0" w:line="149" w:lineRule="exact"/>
              <w:rPr>
                <w:sz w:val="20"/>
                <w:szCs w:val="20"/>
                <w:color w:val="auto"/>
              </w:rPr>
            </w:pPr>
            <w:r>
              <w:rPr>
                <w:rFonts w:ascii="Arial" w:cs="Arial" w:eastAsia="Arial" w:hAnsi="Arial"/>
                <w:sz w:val="13"/>
                <w:szCs w:val="13"/>
                <w:color w:val="auto"/>
              </w:rPr>
              <w:t>Report on Form 10-K for the fiscal year ended January 27, 1996 filed on April 26, 1996).</w:t>
            </w:r>
          </w:p>
        </w:tc>
      </w:tr>
      <w:tr>
        <w:trPr>
          <w:trHeight w:val="144"/>
        </w:trPr>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23"/>
        </w:trPr>
        <w:tc>
          <w:tcPr>
            <w:tcW w:w="1060" w:type="dxa"/>
            <w:vAlign w:val="bottom"/>
            <w:tcBorders>
              <w:bottom w:val="single" w:sz="8" w:color="CCEEFF"/>
            </w:tcBorders>
            <w:shd w:val="clear" w:color="auto" w:fill="CCEEFF"/>
          </w:tcPr>
          <w:p>
            <w:pPr>
              <w:jc w:val="center"/>
              <w:spacing w:after="0" w:line="123" w:lineRule="exact"/>
              <w:rPr>
                <w:sz w:val="20"/>
                <w:szCs w:val="20"/>
                <w:color w:val="auto"/>
              </w:rPr>
            </w:pPr>
            <w:r>
              <w:rPr>
                <w:rFonts w:ascii="Arial" w:cs="Arial" w:eastAsia="Arial" w:hAnsi="Arial"/>
                <w:sz w:val="13"/>
                <w:szCs w:val="13"/>
                <w:color w:val="auto"/>
                <w:w w:val="95"/>
              </w:rPr>
              <w:t>10.17†</w:t>
            </w:r>
          </w:p>
        </w:tc>
        <w:tc>
          <w:tcPr>
            <w:tcW w:w="220" w:type="dxa"/>
            <w:vAlign w:val="bottom"/>
            <w:tcBorders>
              <w:bottom w:val="single" w:sz="8" w:color="CCEEFF"/>
              <w:right w:val="single" w:sz="8" w:color="CCEEFF"/>
            </w:tcBorders>
            <w:shd w:val="clear" w:color="auto" w:fill="CCEEFF"/>
          </w:tcPr>
          <w:p>
            <w:pPr>
              <w:spacing w:after="0"/>
              <w:rPr>
                <w:sz w:val="10"/>
                <w:szCs w:val="10"/>
                <w:color w:val="auto"/>
              </w:rPr>
            </w:pPr>
          </w:p>
        </w:tc>
        <w:tc>
          <w:tcPr>
            <w:tcW w:w="7660" w:type="dxa"/>
            <w:vAlign w:val="bottom"/>
            <w:tcBorders>
              <w:bottom w:val="single" w:sz="8" w:color="0000EE"/>
            </w:tcBorders>
            <w:gridSpan w:val="13"/>
            <w:shd w:val="clear" w:color="auto" w:fill="CCEEFF"/>
          </w:tcPr>
          <w:p>
            <w:pPr>
              <w:spacing w:after="0" w:line="123" w:lineRule="exact"/>
              <w:rPr>
                <w:rFonts w:ascii="Arial" w:cs="Arial" w:eastAsia="Arial" w:hAnsi="Arial"/>
                <w:sz w:val="13"/>
                <w:szCs w:val="13"/>
                <w:color w:val="0000EE"/>
              </w:rPr>
            </w:pPr>
            <w:hyperlink r:id="rId154">
              <w:r>
                <w:rPr>
                  <w:rFonts w:ascii="Arial" w:cs="Arial" w:eastAsia="Arial" w:hAnsi="Arial"/>
                  <w:sz w:val="13"/>
                  <w:szCs w:val="13"/>
                  <w:color w:val="0000EE"/>
                </w:rPr>
                <w:t>Supplemental Executive Retirement Plan, as amended and restated (incorporated herein by reference to Exhibit 10.1 to the Current</w:t>
              </w:r>
            </w:hyperlink>
          </w:p>
        </w:tc>
      </w:tr>
      <w:tr>
        <w:trPr>
          <w:trHeight w:val="124"/>
        </w:trPr>
        <w:tc>
          <w:tcPr>
            <w:tcW w:w="106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7660" w:type="dxa"/>
            <w:vAlign w:val="bottom"/>
            <w:gridSpan w:val="13"/>
            <w:shd w:val="clear" w:color="auto" w:fill="CCEEFF"/>
          </w:tcPr>
          <w:p>
            <w:pPr>
              <w:spacing w:after="0" w:line="124" w:lineRule="exact"/>
              <w:rPr>
                <w:rFonts w:ascii="Arial" w:cs="Arial" w:eastAsia="Arial" w:hAnsi="Arial"/>
                <w:sz w:val="13"/>
                <w:szCs w:val="13"/>
                <w:color w:val="0000EE"/>
              </w:rPr>
            </w:pPr>
            <w:hyperlink r:id="rId154">
              <w:r>
                <w:rPr>
                  <w:rFonts w:ascii="Arial" w:cs="Arial" w:eastAsia="Arial" w:hAnsi="Arial"/>
                  <w:sz w:val="13"/>
                  <w:szCs w:val="13"/>
                  <w:color w:val="0000EE"/>
                </w:rPr>
                <w:t>Report on Form 8-K dated August 13, 2007 filed on August 17, 2007).</w:t>
              </w:r>
            </w:hyperlink>
          </w:p>
        </w:tc>
      </w:tr>
      <w:tr>
        <w:trPr>
          <w:trHeight w:val="144"/>
        </w:trPr>
        <w:tc>
          <w:tcPr>
            <w:tcW w:w="10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600" w:type="dxa"/>
            <w:vAlign w:val="bottom"/>
            <w:tcBorders>
              <w:top w:val="single" w:sz="8" w:color="0000EE"/>
            </w:tcBorders>
          </w:tcPr>
          <w:p>
            <w:pPr>
              <w:spacing w:after="0"/>
              <w:rPr>
                <w:sz w:val="12"/>
                <w:szCs w:val="12"/>
                <w:color w:val="auto"/>
              </w:rPr>
            </w:pPr>
          </w:p>
        </w:tc>
        <w:tc>
          <w:tcPr>
            <w:tcW w:w="940" w:type="dxa"/>
            <w:vAlign w:val="bottom"/>
            <w:tcBorders>
              <w:top w:val="single" w:sz="8" w:color="0000EE"/>
            </w:tcBorders>
          </w:tcPr>
          <w:p>
            <w:pPr>
              <w:spacing w:after="0"/>
              <w:rPr>
                <w:sz w:val="12"/>
                <w:szCs w:val="12"/>
                <w:color w:val="auto"/>
              </w:rPr>
            </w:pPr>
          </w:p>
        </w:tc>
        <w:tc>
          <w:tcPr>
            <w:tcW w:w="12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540" w:type="dxa"/>
            <w:vAlign w:val="bottom"/>
            <w:tcBorders>
              <w:top w:val="single" w:sz="8" w:color="0000EE"/>
            </w:tcBorders>
          </w:tcPr>
          <w:p>
            <w:pPr>
              <w:spacing w:after="0"/>
              <w:rPr>
                <w:sz w:val="12"/>
                <w:szCs w:val="12"/>
                <w:color w:val="auto"/>
              </w:rPr>
            </w:pPr>
          </w:p>
        </w:tc>
        <w:tc>
          <w:tcPr>
            <w:tcW w:w="640" w:type="dxa"/>
            <w:vAlign w:val="bottom"/>
            <w:tcBorders>
              <w:top w:val="single" w:sz="8" w:color="0000EE"/>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44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r>
      <w:tr>
        <w:trPr>
          <w:trHeight w:val="123"/>
        </w:trPr>
        <w:tc>
          <w:tcPr>
            <w:tcW w:w="1060" w:type="dxa"/>
            <w:vAlign w:val="bottom"/>
            <w:tcBorders>
              <w:bottom w:val="single" w:sz="8" w:color="CCEEFF"/>
            </w:tcBorders>
            <w:shd w:val="clear" w:color="auto" w:fill="CCEEFF"/>
          </w:tcPr>
          <w:p>
            <w:pPr>
              <w:jc w:val="center"/>
              <w:spacing w:after="0" w:line="123" w:lineRule="exact"/>
              <w:rPr>
                <w:sz w:val="20"/>
                <w:szCs w:val="20"/>
                <w:color w:val="auto"/>
              </w:rPr>
            </w:pPr>
            <w:r>
              <w:rPr>
                <w:rFonts w:ascii="Arial" w:cs="Arial" w:eastAsia="Arial" w:hAnsi="Arial"/>
                <w:sz w:val="13"/>
                <w:szCs w:val="13"/>
                <w:color w:val="auto"/>
                <w:w w:val="95"/>
              </w:rPr>
              <w:t>10.18†</w:t>
            </w:r>
          </w:p>
        </w:tc>
        <w:tc>
          <w:tcPr>
            <w:tcW w:w="220" w:type="dxa"/>
            <w:vAlign w:val="bottom"/>
            <w:tcBorders>
              <w:bottom w:val="single" w:sz="8" w:color="CCEEFF"/>
              <w:right w:val="single" w:sz="8" w:color="CCEEFF"/>
            </w:tcBorders>
            <w:shd w:val="clear" w:color="auto" w:fill="CCEEFF"/>
          </w:tcPr>
          <w:p>
            <w:pPr>
              <w:spacing w:after="0"/>
              <w:rPr>
                <w:sz w:val="10"/>
                <w:szCs w:val="10"/>
                <w:color w:val="auto"/>
              </w:rPr>
            </w:pPr>
          </w:p>
        </w:tc>
        <w:tc>
          <w:tcPr>
            <w:tcW w:w="7660" w:type="dxa"/>
            <w:vAlign w:val="bottom"/>
            <w:tcBorders>
              <w:bottom w:val="single" w:sz="8" w:color="0000EE"/>
            </w:tcBorders>
            <w:gridSpan w:val="13"/>
            <w:shd w:val="clear" w:color="auto" w:fill="CCEEFF"/>
          </w:tcPr>
          <w:p>
            <w:pPr>
              <w:spacing w:after="0" w:line="123" w:lineRule="exact"/>
              <w:rPr>
                <w:rFonts w:ascii="Arial" w:cs="Arial" w:eastAsia="Arial" w:hAnsi="Arial"/>
                <w:sz w:val="13"/>
                <w:szCs w:val="13"/>
                <w:color w:val="0000EE"/>
              </w:rPr>
            </w:pPr>
            <w:hyperlink r:id="rId155">
              <w:r>
                <w:rPr>
                  <w:rFonts w:ascii="Arial" w:cs="Arial" w:eastAsia="Arial" w:hAnsi="Arial"/>
                  <w:sz w:val="13"/>
                  <w:szCs w:val="13"/>
                  <w:color w:val="0000EE"/>
                </w:rPr>
                <w:t>Amendment to the Foot Locker Supplemental Executive Retirement Plan (incorporated herein by reference to Exhibit 10.1 to the</w:t>
              </w:r>
            </w:hyperlink>
          </w:p>
        </w:tc>
      </w:tr>
      <w:tr>
        <w:trPr>
          <w:trHeight w:val="124"/>
        </w:trPr>
        <w:tc>
          <w:tcPr>
            <w:tcW w:w="106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7660" w:type="dxa"/>
            <w:vAlign w:val="bottom"/>
            <w:gridSpan w:val="13"/>
            <w:shd w:val="clear" w:color="auto" w:fill="CCEEFF"/>
          </w:tcPr>
          <w:p>
            <w:pPr>
              <w:spacing w:after="0" w:line="124" w:lineRule="exact"/>
              <w:rPr>
                <w:rFonts w:ascii="Arial" w:cs="Arial" w:eastAsia="Arial" w:hAnsi="Arial"/>
                <w:sz w:val="13"/>
                <w:szCs w:val="13"/>
                <w:color w:val="0000EE"/>
              </w:rPr>
            </w:pPr>
            <w:hyperlink r:id="rId155">
              <w:r>
                <w:rPr>
                  <w:rFonts w:ascii="Arial" w:cs="Arial" w:eastAsia="Arial" w:hAnsi="Arial"/>
                  <w:sz w:val="13"/>
                  <w:szCs w:val="13"/>
                  <w:color w:val="0000EE"/>
                </w:rPr>
                <w:t>Current Report on Form 8-K dated May 25, 2011 filed on May 27, 2011).</w:t>
              </w:r>
            </w:hyperlink>
          </w:p>
        </w:tc>
      </w:tr>
      <w:tr>
        <w:trPr>
          <w:trHeight w:val="144"/>
        </w:trPr>
        <w:tc>
          <w:tcPr>
            <w:tcW w:w="10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600" w:type="dxa"/>
            <w:vAlign w:val="bottom"/>
            <w:tcBorders>
              <w:top w:val="single" w:sz="8" w:color="0000EE"/>
            </w:tcBorders>
          </w:tcPr>
          <w:p>
            <w:pPr>
              <w:spacing w:after="0"/>
              <w:rPr>
                <w:sz w:val="12"/>
                <w:szCs w:val="12"/>
                <w:color w:val="auto"/>
              </w:rPr>
            </w:pPr>
          </w:p>
        </w:tc>
        <w:tc>
          <w:tcPr>
            <w:tcW w:w="940" w:type="dxa"/>
            <w:vAlign w:val="bottom"/>
            <w:tcBorders>
              <w:top w:val="single" w:sz="8" w:color="0000EE"/>
            </w:tcBorders>
          </w:tcPr>
          <w:p>
            <w:pPr>
              <w:spacing w:after="0"/>
              <w:rPr>
                <w:sz w:val="12"/>
                <w:szCs w:val="12"/>
                <w:color w:val="auto"/>
              </w:rPr>
            </w:pPr>
          </w:p>
        </w:tc>
        <w:tc>
          <w:tcPr>
            <w:tcW w:w="12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540" w:type="dxa"/>
            <w:vAlign w:val="bottom"/>
            <w:tcBorders>
              <w:top w:val="single" w:sz="8" w:color="0000EE"/>
            </w:tcBorders>
          </w:tcPr>
          <w:p>
            <w:pPr>
              <w:spacing w:after="0"/>
              <w:rPr>
                <w:sz w:val="12"/>
                <w:szCs w:val="12"/>
                <w:color w:val="auto"/>
              </w:rPr>
            </w:pPr>
          </w:p>
        </w:tc>
        <w:tc>
          <w:tcPr>
            <w:tcW w:w="64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144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600" w:type="dxa"/>
            <w:vAlign w:val="bottom"/>
            <w:tcBorders>
              <w:top w:val="single" w:sz="8" w:color="CCEEFF"/>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r>
      <w:tr>
        <w:trPr>
          <w:trHeight w:val="123"/>
        </w:trPr>
        <w:tc>
          <w:tcPr>
            <w:tcW w:w="1060" w:type="dxa"/>
            <w:vAlign w:val="bottom"/>
            <w:shd w:val="clear" w:color="auto" w:fill="CCEEFF"/>
          </w:tcPr>
          <w:p>
            <w:pPr>
              <w:jc w:val="center"/>
              <w:spacing w:after="0" w:line="123" w:lineRule="exact"/>
              <w:rPr>
                <w:sz w:val="20"/>
                <w:szCs w:val="20"/>
                <w:color w:val="auto"/>
              </w:rPr>
            </w:pPr>
            <w:r>
              <w:rPr>
                <w:rFonts w:ascii="Arial" w:cs="Arial" w:eastAsia="Arial" w:hAnsi="Arial"/>
                <w:sz w:val="13"/>
                <w:szCs w:val="13"/>
                <w:color w:val="auto"/>
                <w:w w:val="95"/>
              </w:rPr>
              <w:t>10.19†</w:t>
            </w:r>
          </w:p>
        </w:tc>
        <w:tc>
          <w:tcPr>
            <w:tcW w:w="220" w:type="dxa"/>
            <w:vAlign w:val="bottom"/>
            <w:tcBorders>
              <w:right w:val="single" w:sz="8" w:color="CCEEFF"/>
            </w:tcBorders>
            <w:shd w:val="clear" w:color="auto" w:fill="CCEEFF"/>
          </w:tcPr>
          <w:p>
            <w:pPr>
              <w:spacing w:after="0"/>
              <w:rPr>
                <w:sz w:val="10"/>
                <w:szCs w:val="10"/>
                <w:color w:val="auto"/>
              </w:rPr>
            </w:pPr>
          </w:p>
        </w:tc>
        <w:tc>
          <w:tcPr>
            <w:tcW w:w="7660" w:type="dxa"/>
            <w:vAlign w:val="bottom"/>
            <w:gridSpan w:val="13"/>
            <w:shd w:val="clear" w:color="auto" w:fill="CCEEFF"/>
          </w:tcPr>
          <w:p>
            <w:pPr>
              <w:spacing w:after="0" w:line="123" w:lineRule="exact"/>
              <w:rPr>
                <w:rFonts w:ascii="Arial" w:cs="Arial" w:eastAsia="Arial" w:hAnsi="Arial"/>
                <w:sz w:val="13"/>
                <w:szCs w:val="13"/>
                <w:color w:val="0000EE"/>
              </w:rPr>
            </w:pPr>
            <w:hyperlink r:id="rId156">
              <w:r>
                <w:rPr>
                  <w:rFonts w:ascii="Arial" w:cs="Arial" w:eastAsia="Arial" w:hAnsi="Arial"/>
                  <w:sz w:val="13"/>
                  <w:szCs w:val="13"/>
                  <w:color w:val="0000EE"/>
                </w:rPr>
                <w:t>Amendment Number Two to the Foot Locker Supplemental Executive Retirement Plan (incorporated herein by reference to</w:t>
              </w:r>
            </w:hyperlink>
          </w:p>
        </w:tc>
      </w:tr>
      <w:tr>
        <w:trPr>
          <w:trHeight w:val="124"/>
        </w:trPr>
        <w:tc>
          <w:tcPr>
            <w:tcW w:w="106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right w:val="single" w:sz="8" w:color="CCEEFF"/>
            </w:tcBorders>
            <w:shd w:val="clear" w:color="auto" w:fill="CCEEFF"/>
          </w:tcPr>
          <w:p>
            <w:pPr>
              <w:spacing w:after="0"/>
              <w:rPr>
                <w:sz w:val="10"/>
                <w:szCs w:val="10"/>
                <w:color w:val="auto"/>
              </w:rPr>
            </w:pPr>
          </w:p>
        </w:tc>
        <w:tc>
          <w:tcPr>
            <w:tcW w:w="7640" w:type="dxa"/>
            <w:vAlign w:val="bottom"/>
            <w:tcBorders>
              <w:top w:val="single" w:sz="8" w:color="0000EE"/>
            </w:tcBorders>
            <w:gridSpan w:val="12"/>
            <w:shd w:val="clear" w:color="auto" w:fill="CCEEFF"/>
          </w:tcPr>
          <w:p>
            <w:pPr>
              <w:spacing w:after="0" w:line="124" w:lineRule="exact"/>
              <w:rPr>
                <w:rFonts w:ascii="Arial" w:cs="Arial" w:eastAsia="Arial" w:hAnsi="Arial"/>
                <w:sz w:val="13"/>
                <w:szCs w:val="13"/>
                <w:color w:val="0000EE"/>
              </w:rPr>
            </w:pPr>
            <w:hyperlink r:id="rId156">
              <w:r>
                <w:rPr>
                  <w:rFonts w:ascii="Arial" w:cs="Arial" w:eastAsia="Arial" w:hAnsi="Arial"/>
                  <w:sz w:val="13"/>
                  <w:szCs w:val="13"/>
                  <w:color w:val="0000EE"/>
                </w:rPr>
                <w:t>Exhibit 10.3 to the Current Report on Form 8-K dated March 26, 2014 filed on April 1, 2014 (the “March 26, 2014 Form 8-K”)).</w:t>
              </w:r>
            </w:hyperlink>
          </w:p>
        </w:tc>
        <w:tc>
          <w:tcPr>
            <w:tcW w:w="20" w:type="dxa"/>
            <w:vAlign w:val="bottom"/>
            <w:tcBorders>
              <w:top w:val="single" w:sz="8" w:color="CCEEFF"/>
            </w:tcBorders>
            <w:shd w:val="clear" w:color="auto" w:fill="CCEEFF"/>
          </w:tcPr>
          <w:p>
            <w:pPr>
              <w:spacing w:after="0"/>
              <w:rPr>
                <w:sz w:val="10"/>
                <w:szCs w:val="10"/>
                <w:color w:val="auto"/>
              </w:rPr>
            </w:pPr>
          </w:p>
        </w:tc>
      </w:tr>
      <w:tr>
        <w:trPr>
          <w:trHeight w:val="144"/>
        </w:trPr>
        <w:tc>
          <w:tcPr>
            <w:tcW w:w="10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600" w:type="dxa"/>
            <w:vAlign w:val="bottom"/>
            <w:tcBorders>
              <w:top w:val="single" w:sz="8" w:color="0000EE"/>
            </w:tcBorders>
          </w:tcPr>
          <w:p>
            <w:pPr>
              <w:spacing w:after="0"/>
              <w:rPr>
                <w:sz w:val="12"/>
                <w:szCs w:val="12"/>
                <w:color w:val="auto"/>
              </w:rPr>
            </w:pPr>
          </w:p>
        </w:tc>
        <w:tc>
          <w:tcPr>
            <w:tcW w:w="940" w:type="dxa"/>
            <w:vAlign w:val="bottom"/>
            <w:tcBorders>
              <w:top w:val="single" w:sz="8" w:color="0000EE"/>
            </w:tcBorders>
          </w:tcPr>
          <w:p>
            <w:pPr>
              <w:spacing w:after="0"/>
              <w:rPr>
                <w:sz w:val="12"/>
                <w:szCs w:val="12"/>
                <w:color w:val="auto"/>
              </w:rPr>
            </w:pPr>
          </w:p>
        </w:tc>
        <w:tc>
          <w:tcPr>
            <w:tcW w:w="12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540" w:type="dxa"/>
            <w:vAlign w:val="bottom"/>
            <w:tcBorders>
              <w:top w:val="single" w:sz="8" w:color="0000EE"/>
            </w:tcBorders>
          </w:tcPr>
          <w:p>
            <w:pPr>
              <w:spacing w:after="0"/>
              <w:rPr>
                <w:sz w:val="12"/>
                <w:szCs w:val="12"/>
                <w:color w:val="auto"/>
              </w:rPr>
            </w:pPr>
          </w:p>
        </w:tc>
        <w:tc>
          <w:tcPr>
            <w:tcW w:w="640" w:type="dxa"/>
            <w:vAlign w:val="bottom"/>
            <w:tcBorders>
              <w:top w:val="single" w:sz="8" w:color="0000EE"/>
            </w:tcBorders>
          </w:tcPr>
          <w:p>
            <w:pPr>
              <w:spacing w:after="0"/>
              <w:rPr>
                <w:sz w:val="12"/>
                <w:szCs w:val="12"/>
                <w:color w:val="auto"/>
              </w:rPr>
            </w:pPr>
          </w:p>
        </w:tc>
        <w:tc>
          <w:tcPr>
            <w:tcW w:w="160" w:type="dxa"/>
            <w:vAlign w:val="bottom"/>
            <w:tcBorders>
              <w:top w:val="single" w:sz="8" w:color="0000EE"/>
            </w:tcBorders>
          </w:tcPr>
          <w:p>
            <w:pPr>
              <w:spacing w:after="0"/>
              <w:rPr>
                <w:sz w:val="12"/>
                <w:szCs w:val="12"/>
                <w:color w:val="auto"/>
              </w:rPr>
            </w:pPr>
          </w:p>
        </w:tc>
        <w:tc>
          <w:tcPr>
            <w:tcW w:w="1440" w:type="dxa"/>
            <w:vAlign w:val="bottom"/>
            <w:tcBorders>
              <w:top w:val="single" w:sz="8" w:color="0000EE"/>
            </w:tcBorders>
          </w:tcPr>
          <w:p>
            <w:pPr>
              <w:spacing w:after="0"/>
              <w:rPr>
                <w:sz w:val="12"/>
                <w:szCs w:val="12"/>
                <w:color w:val="auto"/>
              </w:rPr>
            </w:pPr>
          </w:p>
        </w:tc>
        <w:tc>
          <w:tcPr>
            <w:tcW w:w="420" w:type="dxa"/>
            <w:vAlign w:val="bottom"/>
            <w:tcBorders>
              <w:top w:val="single" w:sz="8" w:color="0000EE"/>
            </w:tcBorders>
          </w:tcPr>
          <w:p>
            <w:pPr>
              <w:spacing w:after="0"/>
              <w:rPr>
                <w:sz w:val="12"/>
                <w:szCs w:val="12"/>
                <w:color w:val="auto"/>
              </w:rPr>
            </w:pPr>
          </w:p>
        </w:tc>
        <w:tc>
          <w:tcPr>
            <w:tcW w:w="580" w:type="dxa"/>
            <w:vAlign w:val="bottom"/>
            <w:tcBorders>
              <w:top w:val="single" w:sz="8" w:color="0000EE"/>
            </w:tcBorders>
          </w:tcPr>
          <w:p>
            <w:pPr>
              <w:spacing w:after="0"/>
              <w:rPr>
                <w:sz w:val="12"/>
                <w:szCs w:val="12"/>
                <w:color w:val="auto"/>
              </w:rPr>
            </w:pPr>
          </w:p>
        </w:tc>
        <w:tc>
          <w:tcPr>
            <w:tcW w:w="600" w:type="dxa"/>
            <w:vAlign w:val="bottom"/>
            <w:tcBorders>
              <w:top w:val="single" w:sz="8" w:color="0000EE"/>
            </w:tcBorders>
          </w:tcPr>
          <w:p>
            <w:pPr>
              <w:spacing w:after="0"/>
              <w:rPr>
                <w:sz w:val="12"/>
                <w:szCs w:val="12"/>
                <w:color w:val="auto"/>
              </w:rPr>
            </w:pPr>
          </w:p>
        </w:tc>
        <w:tc>
          <w:tcPr>
            <w:tcW w:w="4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r>
      <w:tr>
        <w:trPr>
          <w:trHeight w:val="123"/>
        </w:trPr>
        <w:tc>
          <w:tcPr>
            <w:tcW w:w="1060" w:type="dxa"/>
            <w:vAlign w:val="bottom"/>
            <w:tcBorders>
              <w:bottom w:val="single" w:sz="8" w:color="CCEEFF"/>
            </w:tcBorders>
            <w:shd w:val="clear" w:color="auto" w:fill="CCEEFF"/>
          </w:tcPr>
          <w:p>
            <w:pPr>
              <w:jc w:val="center"/>
              <w:spacing w:after="0" w:line="123" w:lineRule="exact"/>
              <w:rPr>
                <w:sz w:val="20"/>
                <w:szCs w:val="20"/>
                <w:color w:val="auto"/>
              </w:rPr>
            </w:pPr>
            <w:r>
              <w:rPr>
                <w:rFonts w:ascii="Arial" w:cs="Arial" w:eastAsia="Arial" w:hAnsi="Arial"/>
                <w:sz w:val="13"/>
                <w:szCs w:val="13"/>
                <w:color w:val="auto"/>
                <w:w w:val="95"/>
              </w:rPr>
              <w:t>10.20†</w:t>
            </w:r>
          </w:p>
        </w:tc>
        <w:tc>
          <w:tcPr>
            <w:tcW w:w="220" w:type="dxa"/>
            <w:vAlign w:val="bottom"/>
            <w:tcBorders>
              <w:bottom w:val="single" w:sz="8" w:color="CCEEFF"/>
              <w:right w:val="single" w:sz="8" w:color="CCEEFF"/>
            </w:tcBorders>
            <w:shd w:val="clear" w:color="auto" w:fill="CCEEFF"/>
          </w:tcPr>
          <w:p>
            <w:pPr>
              <w:spacing w:after="0"/>
              <w:rPr>
                <w:sz w:val="10"/>
                <w:szCs w:val="10"/>
                <w:color w:val="auto"/>
              </w:rPr>
            </w:pPr>
          </w:p>
        </w:tc>
        <w:tc>
          <w:tcPr>
            <w:tcW w:w="7660" w:type="dxa"/>
            <w:vAlign w:val="bottom"/>
            <w:tcBorders>
              <w:bottom w:val="single" w:sz="8" w:color="0000EE"/>
            </w:tcBorders>
            <w:gridSpan w:val="13"/>
            <w:shd w:val="clear" w:color="auto" w:fill="CCEEFF"/>
          </w:tcPr>
          <w:p>
            <w:pPr>
              <w:spacing w:after="0" w:line="123" w:lineRule="exact"/>
              <w:rPr>
                <w:rFonts w:ascii="Arial" w:cs="Arial" w:eastAsia="Arial" w:hAnsi="Arial"/>
                <w:sz w:val="13"/>
                <w:szCs w:val="13"/>
                <w:color w:val="0000EE"/>
              </w:rPr>
            </w:pPr>
            <w:hyperlink r:id="rId157">
              <w:r>
                <w:rPr>
                  <w:rFonts w:ascii="Arial" w:cs="Arial" w:eastAsia="Arial" w:hAnsi="Arial"/>
                  <w:sz w:val="13"/>
                  <w:szCs w:val="13"/>
                  <w:color w:val="0000EE"/>
                </w:rPr>
                <w:t>Amendment Number Three to the Foot Locker Supplemental Executive Retirement Plan (incorporated herein by reference to Exhibit</w:t>
              </w:r>
            </w:hyperlink>
          </w:p>
        </w:tc>
      </w:tr>
      <w:tr>
        <w:trPr>
          <w:trHeight w:val="124"/>
        </w:trPr>
        <w:tc>
          <w:tcPr>
            <w:tcW w:w="106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7660" w:type="dxa"/>
            <w:vAlign w:val="bottom"/>
            <w:gridSpan w:val="13"/>
            <w:shd w:val="clear" w:color="auto" w:fill="CCEEFF"/>
          </w:tcPr>
          <w:p>
            <w:pPr>
              <w:spacing w:after="0" w:line="124" w:lineRule="exact"/>
              <w:rPr>
                <w:rFonts w:ascii="Arial" w:cs="Arial" w:eastAsia="Arial" w:hAnsi="Arial"/>
                <w:sz w:val="13"/>
                <w:szCs w:val="13"/>
                <w:color w:val="0000EE"/>
              </w:rPr>
            </w:pPr>
            <w:hyperlink r:id="rId157">
              <w:r>
                <w:rPr>
                  <w:rFonts w:ascii="Arial" w:cs="Arial" w:eastAsia="Arial" w:hAnsi="Arial"/>
                  <w:sz w:val="13"/>
                  <w:szCs w:val="13"/>
                  <w:color w:val="0000EE"/>
                </w:rPr>
                <w:t>10.</w:t>
              </w:r>
              <w:r>
                <w:rPr>
                  <w:rFonts w:ascii="Arial" w:cs="Arial" w:eastAsia="Arial" w:hAnsi="Arial"/>
                  <w:sz w:val="13"/>
                  <w:szCs w:val="13"/>
                  <w:u w:val="single" w:color="auto"/>
                  <w:color w:val="0000EE"/>
                </w:rPr>
                <w:t>1</w:t>
              </w:r>
              <w:r>
                <w:rPr>
                  <w:rFonts w:ascii="Arial" w:cs="Arial" w:eastAsia="Arial" w:hAnsi="Arial"/>
                  <w:sz w:val="13"/>
                  <w:szCs w:val="13"/>
                  <w:color w:val="0000EE"/>
                </w:rPr>
                <w:t xml:space="preserve"> to the Current Report on Form 8-K dated May 22, 2019 filed on May 28, 2019 (the “May 22, 2019 Form 8-K”)).</w:t>
              </w:r>
            </w:hyperlink>
          </w:p>
        </w:tc>
      </w:tr>
      <w:tr>
        <w:trPr>
          <w:trHeight w:val="21"/>
        </w:trPr>
        <w:tc>
          <w:tcPr>
            <w:tcW w:w="10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bl>
    <w:p>
      <w:pPr>
        <w:spacing w:after="0" w:line="149" w:lineRule="exact"/>
        <w:rPr>
          <w:sz w:val="20"/>
          <w:szCs w:val="20"/>
          <w:color w:val="auto"/>
        </w:rPr>
      </w:pPr>
    </w:p>
    <w:p>
      <w:pPr>
        <w:jc w:val="right"/>
        <w:ind w:right="39"/>
        <w:spacing w:after="0"/>
        <w:rPr>
          <w:sz w:val="20"/>
          <w:szCs w:val="20"/>
          <w:color w:val="auto"/>
        </w:rPr>
      </w:pPr>
      <w:r>
        <w:rPr>
          <w:rFonts w:ascii="Arial" w:cs="Arial" w:eastAsia="Arial" w:hAnsi="Arial"/>
          <w:sz w:val="13"/>
          <w:szCs w:val="13"/>
          <w:color w:val="auto"/>
        </w:rPr>
        <w:t>2020 Form 10-K Page 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357505</wp:posOffset>
            </wp:positionV>
            <wp:extent cx="5680075" cy="133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8">
                      <a:extLst>
                        <a:ext uri="{28A0092B-C50C-407E-A947-70E740481C1C}"/>
                      </a:extLst>
                    </a:blip>
                    <a:srcRect/>
                    <a:stretch>
                      <a:fillRect/>
                    </a:stretch>
                  </pic:blipFill>
                  <pic:spPr bwMode="auto">
                    <a:xfrm>
                      <a:off x="0" y="0"/>
                      <a:ext cx="5680075" cy="13335"/>
                    </a:xfrm>
                    <a:prstGeom prst="rect">
                      <a:avLst/>
                    </a:prstGeom>
                    <a:noFill/>
                  </pic:spPr>
                </pic:pic>
              </a:graphicData>
            </a:graphic>
          </wp:anchor>
        </w:drawing>
      </w:r>
    </w:p>
    <w:p>
      <w:pPr>
        <w:sectPr>
          <w:pgSz w:w="11900" w:h="16838" w:orient="portrait"/>
          <w:cols w:equalWidth="0" w:num="1">
            <w:col w:w="9019"/>
          </w:cols>
          <w:pgMar w:left="1440" w:top="570" w:right="1440" w:bottom="1440" w:gutter="0" w:footer="0" w:header="0"/>
        </w:sectPr>
      </w:pPr>
    </w:p>
    <w:bookmarkStart w:id="82" w:name="page83"/>
    <w:bookmarkEnd w:id="82"/>
    <w:tbl>
      <w:tblPr>
        <w:tblLayout w:type="fixed"/>
        <w:tblInd w:w="40" w:type="dxa"/>
        <w:tblCellMar>
          <w:top w:w="0" w:type="dxa"/>
          <w:left w:w="0" w:type="dxa"/>
          <w:bottom w:w="0" w:type="dxa"/>
          <w:right w:w="0" w:type="dxa"/>
        </w:tblCellMar>
      </w:tblPr>
      <w:tr>
        <w:trPr>
          <w:trHeight w:val="164"/>
        </w:trPr>
        <w:tc>
          <w:tcPr>
            <w:tcW w:w="106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Exhibit No.</w:t>
            </w: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020" w:type="dxa"/>
            <w:vAlign w:val="bottom"/>
            <w:tcBorders>
              <w:bottom w:val="single" w:sz="8" w:color="auto"/>
            </w:tcBorders>
            <w:gridSpan w:val="8"/>
          </w:tcPr>
          <w:p>
            <w:pPr>
              <w:ind w:left="820"/>
              <w:spacing w:after="0"/>
              <w:rPr>
                <w:sz w:val="20"/>
                <w:szCs w:val="20"/>
                <w:color w:val="auto"/>
              </w:rPr>
            </w:pPr>
            <w:r>
              <w:rPr>
                <w:rFonts w:ascii="Arial" w:cs="Arial" w:eastAsia="Arial" w:hAnsi="Arial"/>
                <w:sz w:val="13"/>
                <w:szCs w:val="13"/>
                <w:b w:val="1"/>
                <w:bCs w:val="1"/>
                <w:color w:val="auto"/>
              </w:rPr>
              <w:t>Description</w:t>
            </w:r>
          </w:p>
        </w:tc>
      </w:tr>
      <w:tr>
        <w:trPr>
          <w:trHeight w:val="113"/>
        </w:trPr>
        <w:tc>
          <w:tcPr>
            <w:tcW w:w="1060" w:type="dxa"/>
            <w:vAlign w:val="bottom"/>
            <w:tcBorders>
              <w:bottom w:val="single" w:sz="8" w:color="CCEEFF"/>
            </w:tcBorders>
            <w:shd w:val="clear" w:color="auto" w:fill="CCEEFF"/>
          </w:tcPr>
          <w:p>
            <w:pPr>
              <w:jc w:val="center"/>
              <w:spacing w:after="0" w:line="113" w:lineRule="exact"/>
              <w:rPr>
                <w:sz w:val="20"/>
                <w:szCs w:val="20"/>
                <w:color w:val="auto"/>
              </w:rPr>
            </w:pPr>
            <w:r>
              <w:rPr>
                <w:rFonts w:ascii="Arial" w:cs="Arial" w:eastAsia="Arial" w:hAnsi="Arial"/>
                <w:sz w:val="13"/>
                <w:szCs w:val="13"/>
                <w:color w:val="auto"/>
                <w:w w:val="95"/>
              </w:rPr>
              <w:t>10.21†</w:t>
            </w:r>
          </w:p>
        </w:tc>
        <w:tc>
          <w:tcPr>
            <w:tcW w:w="220" w:type="dxa"/>
            <w:vAlign w:val="bottom"/>
            <w:tcBorders>
              <w:bottom w:val="single" w:sz="8" w:color="CCEEFF"/>
              <w:right w:val="single" w:sz="8" w:color="CCEEFF"/>
            </w:tcBorders>
            <w:shd w:val="clear" w:color="auto" w:fill="CCEEFF"/>
          </w:tcPr>
          <w:p>
            <w:pPr>
              <w:spacing w:after="0"/>
              <w:rPr>
                <w:sz w:val="9"/>
                <w:szCs w:val="9"/>
                <w:color w:val="auto"/>
              </w:rPr>
            </w:pPr>
          </w:p>
        </w:tc>
        <w:tc>
          <w:tcPr>
            <w:tcW w:w="7660" w:type="dxa"/>
            <w:vAlign w:val="bottom"/>
            <w:tcBorders>
              <w:bottom w:val="single" w:sz="8" w:color="0000EE"/>
            </w:tcBorders>
            <w:gridSpan w:val="13"/>
            <w:shd w:val="clear" w:color="auto" w:fill="CCEEFF"/>
          </w:tcPr>
          <w:p>
            <w:pPr>
              <w:spacing w:after="0" w:line="113" w:lineRule="exact"/>
              <w:rPr>
                <w:rFonts w:ascii="Arial" w:cs="Arial" w:eastAsia="Arial" w:hAnsi="Arial"/>
                <w:sz w:val="13"/>
                <w:szCs w:val="13"/>
                <w:color w:val="0000EE"/>
              </w:rPr>
            </w:pPr>
            <w:hyperlink r:id="rId159">
              <w:r>
                <w:rPr>
                  <w:rFonts w:ascii="Arial" w:cs="Arial" w:eastAsia="Arial" w:hAnsi="Arial"/>
                  <w:sz w:val="13"/>
                  <w:szCs w:val="13"/>
                  <w:color w:val="0000EE"/>
                </w:rPr>
                <w:t>Amendment Number Four to the Foot Locker Supplemental Executive Retirement Plan (incorporated herein by reference to Exhibit</w:t>
              </w:r>
            </w:hyperlink>
          </w:p>
        </w:tc>
      </w:tr>
      <w:tr>
        <w:trPr>
          <w:trHeight w:val="124"/>
        </w:trPr>
        <w:tc>
          <w:tcPr>
            <w:tcW w:w="106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7660" w:type="dxa"/>
            <w:vAlign w:val="bottom"/>
            <w:gridSpan w:val="13"/>
            <w:shd w:val="clear" w:color="auto" w:fill="CCEEFF"/>
          </w:tcPr>
          <w:p>
            <w:pPr>
              <w:spacing w:after="0" w:line="124" w:lineRule="exact"/>
              <w:rPr>
                <w:rFonts w:ascii="Arial" w:cs="Arial" w:eastAsia="Arial" w:hAnsi="Arial"/>
                <w:sz w:val="13"/>
                <w:szCs w:val="13"/>
                <w:color w:val="0000EE"/>
              </w:rPr>
            </w:pPr>
            <w:hyperlink r:id="rId159">
              <w:r>
                <w:rPr>
                  <w:rFonts w:ascii="Arial" w:cs="Arial" w:eastAsia="Arial" w:hAnsi="Arial"/>
                  <w:sz w:val="13"/>
                  <w:szCs w:val="13"/>
                  <w:color w:val="0000EE"/>
                </w:rPr>
                <w:t>10.</w:t>
              </w:r>
              <w:r>
                <w:rPr>
                  <w:rFonts w:ascii="Arial" w:cs="Arial" w:eastAsia="Arial" w:hAnsi="Arial"/>
                  <w:sz w:val="13"/>
                  <w:szCs w:val="13"/>
                  <w:u w:val="single" w:color="auto"/>
                  <w:color w:val="0000EE"/>
                </w:rPr>
                <w:t>1</w:t>
              </w:r>
              <w:r>
                <w:rPr>
                  <w:rFonts w:ascii="Arial" w:cs="Arial" w:eastAsia="Arial" w:hAnsi="Arial"/>
                  <w:sz w:val="13"/>
                  <w:szCs w:val="13"/>
                  <w:color w:val="0000EE"/>
                </w:rPr>
                <w:t xml:space="preserve"> to the Quarterly Report on Form 10-Q for the quarterly period ended August 3, 2019 filed on September 11, 2019).</w:t>
              </w:r>
            </w:hyperlink>
          </w:p>
        </w:tc>
      </w:tr>
      <w:tr>
        <w:trPr>
          <w:trHeight w:val="144"/>
        </w:trPr>
        <w:tc>
          <w:tcPr>
            <w:tcW w:w="10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5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1260" w:type="dxa"/>
            <w:vAlign w:val="bottom"/>
            <w:tcBorders>
              <w:top w:val="single" w:sz="8" w:color="0000EE"/>
            </w:tcBorders>
          </w:tcPr>
          <w:p>
            <w:pPr>
              <w:spacing w:after="0"/>
              <w:rPr>
                <w:sz w:val="12"/>
                <w:szCs w:val="12"/>
                <w:color w:val="auto"/>
              </w:rPr>
            </w:pPr>
          </w:p>
        </w:tc>
        <w:tc>
          <w:tcPr>
            <w:tcW w:w="680" w:type="dxa"/>
            <w:vAlign w:val="bottom"/>
            <w:tcBorders>
              <w:top w:val="single" w:sz="8" w:color="0000EE"/>
            </w:tcBorders>
          </w:tcPr>
          <w:p>
            <w:pPr>
              <w:spacing w:after="0"/>
              <w:rPr>
                <w:sz w:val="12"/>
                <w:szCs w:val="12"/>
                <w:color w:val="auto"/>
              </w:rPr>
            </w:pPr>
          </w:p>
        </w:tc>
        <w:tc>
          <w:tcPr>
            <w:tcW w:w="1060" w:type="dxa"/>
            <w:vAlign w:val="bottom"/>
            <w:tcBorders>
              <w:top w:val="single" w:sz="8" w:color="0000EE"/>
            </w:tcBorders>
          </w:tcPr>
          <w:p>
            <w:pPr>
              <w:spacing w:after="0"/>
              <w:rPr>
                <w:sz w:val="12"/>
                <w:szCs w:val="12"/>
                <w:color w:val="auto"/>
              </w:rPr>
            </w:pPr>
          </w:p>
        </w:tc>
        <w:tc>
          <w:tcPr>
            <w:tcW w:w="1120" w:type="dxa"/>
            <w:vAlign w:val="bottom"/>
            <w:tcBorders>
              <w:top w:val="single" w:sz="8" w:color="0000EE"/>
            </w:tcBorders>
          </w:tcPr>
          <w:p>
            <w:pPr>
              <w:spacing w:after="0"/>
              <w:rPr>
                <w:sz w:val="12"/>
                <w:szCs w:val="12"/>
                <w:color w:val="auto"/>
              </w:rPr>
            </w:pPr>
          </w:p>
        </w:tc>
        <w:tc>
          <w:tcPr>
            <w:tcW w:w="1480" w:type="dxa"/>
            <w:vAlign w:val="bottom"/>
            <w:tcBorders>
              <w:top w:val="single" w:sz="8" w:color="0000EE"/>
            </w:tcBorders>
          </w:tcPr>
          <w:p>
            <w:pPr>
              <w:spacing w:after="0"/>
              <w:rPr>
                <w:sz w:val="12"/>
                <w:szCs w:val="12"/>
                <w:color w:val="auto"/>
              </w:rPr>
            </w:pPr>
          </w:p>
        </w:tc>
        <w:tc>
          <w:tcPr>
            <w:tcW w:w="200" w:type="dxa"/>
            <w:vAlign w:val="bottom"/>
            <w:tcBorders>
              <w:top w:val="single" w:sz="8" w:color="0000EE"/>
            </w:tcBorders>
          </w:tcPr>
          <w:p>
            <w:pPr>
              <w:spacing w:after="0"/>
              <w:rPr>
                <w:sz w:val="12"/>
                <w:szCs w:val="12"/>
                <w:color w:val="auto"/>
              </w:rPr>
            </w:pPr>
          </w:p>
        </w:tc>
        <w:tc>
          <w:tcPr>
            <w:tcW w:w="340" w:type="dxa"/>
            <w:vAlign w:val="bottom"/>
            <w:tcBorders>
              <w:top w:val="single" w:sz="8" w:color="0000EE"/>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3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r>
      <w:tr>
        <w:trPr>
          <w:trHeight w:val="139"/>
        </w:trPr>
        <w:tc>
          <w:tcPr>
            <w:tcW w:w="1060" w:type="dxa"/>
            <w:vAlign w:val="bottom"/>
            <w:shd w:val="clear" w:color="auto" w:fill="CCEEFF"/>
          </w:tcPr>
          <w:p>
            <w:pPr>
              <w:jc w:val="center"/>
              <w:spacing w:after="0" w:line="139" w:lineRule="exact"/>
              <w:rPr>
                <w:sz w:val="20"/>
                <w:szCs w:val="20"/>
                <w:color w:val="auto"/>
              </w:rPr>
            </w:pPr>
            <w:r>
              <w:rPr>
                <w:rFonts w:ascii="Arial" w:cs="Arial" w:eastAsia="Arial" w:hAnsi="Arial"/>
                <w:sz w:val="13"/>
                <w:szCs w:val="13"/>
                <w:color w:val="auto"/>
                <w:w w:val="95"/>
              </w:rPr>
              <w:t>10.22†</w:t>
            </w:r>
          </w:p>
        </w:tc>
        <w:tc>
          <w:tcPr>
            <w:tcW w:w="220" w:type="dxa"/>
            <w:vAlign w:val="bottom"/>
            <w:tcBorders>
              <w:right w:val="single" w:sz="8" w:color="CCEEFF"/>
            </w:tcBorders>
            <w:shd w:val="clear" w:color="auto" w:fill="CCEEFF"/>
          </w:tcPr>
          <w:p>
            <w:pPr>
              <w:spacing w:after="0"/>
              <w:rPr>
                <w:sz w:val="12"/>
                <w:szCs w:val="12"/>
                <w:color w:val="auto"/>
              </w:rPr>
            </w:pPr>
          </w:p>
        </w:tc>
        <w:tc>
          <w:tcPr>
            <w:tcW w:w="7660" w:type="dxa"/>
            <w:vAlign w:val="bottom"/>
            <w:gridSpan w:val="13"/>
            <w:shd w:val="clear" w:color="auto" w:fill="CCEEFF"/>
          </w:tcPr>
          <w:p>
            <w:pPr>
              <w:spacing w:after="0" w:line="139" w:lineRule="exact"/>
              <w:rPr>
                <w:sz w:val="20"/>
                <w:szCs w:val="20"/>
                <w:color w:val="auto"/>
              </w:rPr>
            </w:pPr>
            <w:r>
              <w:rPr>
                <w:rFonts w:ascii="Arial" w:cs="Arial" w:eastAsia="Arial" w:hAnsi="Arial"/>
                <w:sz w:val="13"/>
                <w:szCs w:val="13"/>
                <w:color w:val="auto"/>
              </w:rPr>
              <w:t>Foot Locker Directors’ Retirement Plan, as amended (incorporated herein by reference to Exhibit 10(k) to the 8-B Registration</w:t>
            </w:r>
          </w:p>
        </w:tc>
      </w:tr>
      <w:tr>
        <w:trPr>
          <w:trHeight w:val="148"/>
        </w:trPr>
        <w:tc>
          <w:tcPr>
            <w:tcW w:w="10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660" w:type="dxa"/>
            <w:vAlign w:val="bottom"/>
            <w:gridSpan w:val="13"/>
            <w:shd w:val="clear" w:color="auto" w:fill="CCEEFF"/>
          </w:tcPr>
          <w:p>
            <w:pPr>
              <w:spacing w:after="0" w:line="149" w:lineRule="exact"/>
              <w:rPr>
                <w:sz w:val="20"/>
                <w:szCs w:val="20"/>
                <w:color w:val="auto"/>
              </w:rPr>
            </w:pPr>
            <w:r>
              <w:rPr>
                <w:rFonts w:ascii="Arial" w:cs="Arial" w:eastAsia="Arial" w:hAnsi="Arial"/>
                <w:sz w:val="13"/>
                <w:szCs w:val="13"/>
                <w:color w:val="auto"/>
              </w:rPr>
              <w:t>Statement).</w:t>
            </w:r>
          </w:p>
        </w:tc>
      </w:tr>
      <w:tr>
        <w:trPr>
          <w:trHeight w:val="144"/>
        </w:trPr>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9"/>
        </w:trPr>
        <w:tc>
          <w:tcPr>
            <w:tcW w:w="1060" w:type="dxa"/>
            <w:vAlign w:val="bottom"/>
            <w:shd w:val="clear" w:color="auto" w:fill="CCEEFF"/>
          </w:tcPr>
          <w:p>
            <w:pPr>
              <w:jc w:val="center"/>
              <w:spacing w:after="0" w:line="139" w:lineRule="exact"/>
              <w:rPr>
                <w:sz w:val="20"/>
                <w:szCs w:val="20"/>
                <w:color w:val="auto"/>
              </w:rPr>
            </w:pPr>
            <w:r>
              <w:rPr>
                <w:rFonts w:ascii="Arial" w:cs="Arial" w:eastAsia="Arial" w:hAnsi="Arial"/>
                <w:sz w:val="13"/>
                <w:szCs w:val="13"/>
                <w:color w:val="auto"/>
                <w:w w:val="95"/>
              </w:rPr>
              <w:t>10.23†</w:t>
            </w:r>
          </w:p>
        </w:tc>
        <w:tc>
          <w:tcPr>
            <w:tcW w:w="220" w:type="dxa"/>
            <w:vAlign w:val="bottom"/>
            <w:tcBorders>
              <w:right w:val="single" w:sz="8" w:color="CCEEFF"/>
            </w:tcBorders>
            <w:shd w:val="clear" w:color="auto" w:fill="CCEEFF"/>
          </w:tcPr>
          <w:p>
            <w:pPr>
              <w:spacing w:after="0"/>
              <w:rPr>
                <w:sz w:val="12"/>
                <w:szCs w:val="12"/>
                <w:color w:val="auto"/>
              </w:rPr>
            </w:pPr>
          </w:p>
        </w:tc>
        <w:tc>
          <w:tcPr>
            <w:tcW w:w="7660" w:type="dxa"/>
            <w:vAlign w:val="bottom"/>
            <w:gridSpan w:val="13"/>
            <w:shd w:val="clear" w:color="auto" w:fill="CCEEFF"/>
          </w:tcPr>
          <w:p>
            <w:pPr>
              <w:spacing w:after="0" w:line="139" w:lineRule="exact"/>
              <w:rPr>
                <w:sz w:val="20"/>
                <w:szCs w:val="20"/>
                <w:color w:val="auto"/>
              </w:rPr>
            </w:pPr>
            <w:r>
              <w:rPr>
                <w:rFonts w:ascii="Arial" w:cs="Arial" w:eastAsia="Arial" w:hAnsi="Arial"/>
                <w:sz w:val="13"/>
                <w:szCs w:val="13"/>
                <w:color w:val="auto"/>
              </w:rPr>
              <w:t>Amendments to the Foot Locker Directors’ Retirement Plan (incorporated herein by reference to Exhibit 10(c) to the Quarterly Report</w:t>
            </w:r>
          </w:p>
        </w:tc>
      </w:tr>
      <w:tr>
        <w:trPr>
          <w:trHeight w:val="148"/>
        </w:trPr>
        <w:tc>
          <w:tcPr>
            <w:tcW w:w="10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660" w:type="dxa"/>
            <w:vAlign w:val="bottom"/>
            <w:gridSpan w:val="13"/>
            <w:shd w:val="clear" w:color="auto" w:fill="CCEEFF"/>
          </w:tcPr>
          <w:p>
            <w:pPr>
              <w:spacing w:after="0" w:line="149" w:lineRule="exact"/>
              <w:rPr>
                <w:sz w:val="20"/>
                <w:szCs w:val="20"/>
                <w:color w:val="auto"/>
              </w:rPr>
            </w:pPr>
            <w:r>
              <w:rPr>
                <w:rFonts w:ascii="Arial" w:cs="Arial" w:eastAsia="Arial" w:hAnsi="Arial"/>
                <w:sz w:val="13"/>
                <w:szCs w:val="13"/>
                <w:color w:val="auto"/>
              </w:rPr>
              <w:t>on Form 10-Q for the quarterly period ended October 28, 1995 filed on December 11, 1995).</w:t>
            </w:r>
          </w:p>
        </w:tc>
      </w:tr>
      <w:tr>
        <w:trPr>
          <w:trHeight w:val="144"/>
        </w:trPr>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9"/>
        </w:trPr>
        <w:tc>
          <w:tcPr>
            <w:tcW w:w="1060" w:type="dxa"/>
            <w:vAlign w:val="bottom"/>
            <w:shd w:val="clear" w:color="auto" w:fill="CCEEFF"/>
          </w:tcPr>
          <w:p>
            <w:pPr>
              <w:jc w:val="center"/>
              <w:spacing w:after="0" w:line="139" w:lineRule="exact"/>
              <w:rPr>
                <w:sz w:val="20"/>
                <w:szCs w:val="20"/>
                <w:color w:val="auto"/>
              </w:rPr>
            </w:pPr>
            <w:r>
              <w:rPr>
                <w:rFonts w:ascii="Arial" w:cs="Arial" w:eastAsia="Arial" w:hAnsi="Arial"/>
                <w:sz w:val="13"/>
                <w:szCs w:val="13"/>
                <w:color w:val="auto"/>
                <w:w w:val="95"/>
              </w:rPr>
              <w:t>10.24†</w:t>
            </w:r>
          </w:p>
        </w:tc>
        <w:tc>
          <w:tcPr>
            <w:tcW w:w="220" w:type="dxa"/>
            <w:vAlign w:val="bottom"/>
            <w:tcBorders>
              <w:right w:val="single" w:sz="8" w:color="CCEEFF"/>
            </w:tcBorders>
            <w:shd w:val="clear" w:color="auto" w:fill="CCEEFF"/>
          </w:tcPr>
          <w:p>
            <w:pPr>
              <w:spacing w:after="0"/>
              <w:rPr>
                <w:sz w:val="12"/>
                <w:szCs w:val="12"/>
                <w:color w:val="auto"/>
              </w:rPr>
            </w:pPr>
          </w:p>
        </w:tc>
        <w:tc>
          <w:tcPr>
            <w:tcW w:w="7660" w:type="dxa"/>
            <w:vAlign w:val="bottom"/>
            <w:gridSpan w:val="13"/>
            <w:shd w:val="clear" w:color="auto" w:fill="CCEEFF"/>
          </w:tcPr>
          <w:p>
            <w:pPr>
              <w:spacing w:after="0" w:line="139" w:lineRule="exact"/>
              <w:rPr>
                <w:sz w:val="20"/>
                <w:szCs w:val="20"/>
                <w:color w:val="auto"/>
              </w:rPr>
            </w:pPr>
            <w:r>
              <w:rPr>
                <w:rFonts w:ascii="Arial" w:cs="Arial" w:eastAsia="Arial" w:hAnsi="Arial"/>
                <w:sz w:val="13"/>
                <w:szCs w:val="13"/>
                <w:color w:val="auto"/>
              </w:rPr>
              <w:t>Foot Locker, Inc. Excess Cash Balance Plan (incorporated herein by reference to Exhibit 10.22 to the Annual Report on Form 10-K</w:t>
            </w:r>
          </w:p>
        </w:tc>
      </w:tr>
      <w:tr>
        <w:trPr>
          <w:trHeight w:val="148"/>
        </w:trPr>
        <w:tc>
          <w:tcPr>
            <w:tcW w:w="10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660" w:type="dxa"/>
            <w:vAlign w:val="bottom"/>
            <w:gridSpan w:val="13"/>
            <w:shd w:val="clear" w:color="auto" w:fill="CCEEFF"/>
          </w:tcPr>
          <w:p>
            <w:pPr>
              <w:spacing w:after="0" w:line="149" w:lineRule="exact"/>
              <w:rPr>
                <w:sz w:val="20"/>
                <w:szCs w:val="20"/>
                <w:color w:val="auto"/>
              </w:rPr>
            </w:pPr>
            <w:r>
              <w:rPr>
                <w:rFonts w:ascii="Arial" w:cs="Arial" w:eastAsia="Arial" w:hAnsi="Arial"/>
                <w:sz w:val="13"/>
                <w:szCs w:val="13"/>
                <w:color w:val="auto"/>
              </w:rPr>
              <w:t>for the fiscal year ended January 31, 2009 filed on March 30, 2009 (the “2008 Form 10-K”)).</w:t>
            </w:r>
          </w:p>
        </w:tc>
      </w:tr>
      <w:tr>
        <w:trPr>
          <w:trHeight w:val="144"/>
        </w:trPr>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24"/>
        </w:trPr>
        <w:tc>
          <w:tcPr>
            <w:tcW w:w="1060" w:type="dxa"/>
            <w:vAlign w:val="bottom"/>
            <w:shd w:val="clear" w:color="auto" w:fill="CCEEFF"/>
          </w:tcPr>
          <w:p>
            <w:pPr>
              <w:jc w:val="center"/>
              <w:spacing w:after="0" w:line="123" w:lineRule="exact"/>
              <w:rPr>
                <w:sz w:val="20"/>
                <w:szCs w:val="20"/>
                <w:color w:val="auto"/>
              </w:rPr>
            </w:pPr>
            <w:r>
              <w:rPr>
                <w:rFonts w:ascii="Arial" w:cs="Arial" w:eastAsia="Arial" w:hAnsi="Arial"/>
                <w:sz w:val="13"/>
                <w:szCs w:val="13"/>
                <w:color w:val="auto"/>
              </w:rPr>
              <w:t>10.25†*</w:t>
            </w:r>
          </w:p>
        </w:tc>
        <w:tc>
          <w:tcPr>
            <w:tcW w:w="220" w:type="dxa"/>
            <w:vAlign w:val="bottom"/>
            <w:tcBorders>
              <w:right w:val="single" w:sz="8" w:color="CCEEFF"/>
            </w:tcBorders>
            <w:shd w:val="clear" w:color="auto" w:fill="CCEEFF"/>
          </w:tcPr>
          <w:p>
            <w:pPr>
              <w:spacing w:after="0"/>
              <w:rPr>
                <w:sz w:val="10"/>
                <w:szCs w:val="10"/>
                <w:color w:val="auto"/>
              </w:rPr>
            </w:pPr>
          </w:p>
        </w:tc>
        <w:tc>
          <w:tcPr>
            <w:tcW w:w="7660" w:type="dxa"/>
            <w:vAlign w:val="bottom"/>
            <w:gridSpan w:val="13"/>
            <w:shd w:val="clear" w:color="auto" w:fill="CCEEFF"/>
          </w:tcPr>
          <w:p>
            <w:pPr>
              <w:spacing w:after="0" w:line="123" w:lineRule="exact"/>
              <w:rPr>
                <w:rFonts w:ascii="Arial" w:cs="Arial" w:eastAsia="Arial" w:hAnsi="Arial"/>
                <w:sz w:val="13"/>
                <w:szCs w:val="13"/>
                <w:color w:val="0000EE"/>
              </w:rPr>
            </w:pPr>
            <w:hyperlink w:anchor="page96">
              <w:r>
                <w:rPr>
                  <w:rFonts w:ascii="Arial" w:cs="Arial" w:eastAsia="Arial" w:hAnsi="Arial"/>
                  <w:sz w:val="13"/>
                  <w:szCs w:val="13"/>
                  <w:color w:val="0000EE"/>
                </w:rPr>
                <w:t>Foot Locker Excess Savings Plan.</w:t>
              </w:r>
            </w:hyperlink>
          </w:p>
        </w:tc>
      </w:tr>
      <w:tr>
        <w:trPr>
          <w:trHeight w:val="144"/>
        </w:trPr>
        <w:tc>
          <w:tcPr>
            <w:tcW w:w="10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5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1260" w:type="dxa"/>
            <w:vAlign w:val="bottom"/>
            <w:tcBorders>
              <w:top w:val="single" w:sz="8" w:color="0000EE"/>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106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148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3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r>
      <w:tr>
        <w:trPr>
          <w:trHeight w:val="123"/>
        </w:trPr>
        <w:tc>
          <w:tcPr>
            <w:tcW w:w="1060" w:type="dxa"/>
            <w:vAlign w:val="bottom"/>
            <w:tcBorders>
              <w:bottom w:val="single" w:sz="8" w:color="CCEEFF"/>
            </w:tcBorders>
            <w:shd w:val="clear" w:color="auto" w:fill="CCEEFF"/>
          </w:tcPr>
          <w:p>
            <w:pPr>
              <w:jc w:val="center"/>
              <w:spacing w:after="0" w:line="123" w:lineRule="exact"/>
              <w:rPr>
                <w:sz w:val="20"/>
                <w:szCs w:val="20"/>
                <w:color w:val="auto"/>
              </w:rPr>
            </w:pPr>
            <w:r>
              <w:rPr>
                <w:rFonts w:ascii="Arial" w:cs="Arial" w:eastAsia="Arial" w:hAnsi="Arial"/>
                <w:sz w:val="13"/>
                <w:szCs w:val="13"/>
                <w:color w:val="auto"/>
                <w:w w:val="95"/>
              </w:rPr>
              <w:t>10.26†</w:t>
            </w:r>
          </w:p>
        </w:tc>
        <w:tc>
          <w:tcPr>
            <w:tcW w:w="220" w:type="dxa"/>
            <w:vAlign w:val="bottom"/>
            <w:tcBorders>
              <w:bottom w:val="single" w:sz="8" w:color="CCEEFF"/>
              <w:right w:val="single" w:sz="8" w:color="CCEEFF"/>
            </w:tcBorders>
            <w:shd w:val="clear" w:color="auto" w:fill="CCEEFF"/>
          </w:tcPr>
          <w:p>
            <w:pPr>
              <w:spacing w:after="0"/>
              <w:rPr>
                <w:sz w:val="10"/>
                <w:szCs w:val="10"/>
                <w:color w:val="auto"/>
              </w:rPr>
            </w:pPr>
          </w:p>
        </w:tc>
        <w:tc>
          <w:tcPr>
            <w:tcW w:w="7660" w:type="dxa"/>
            <w:vAlign w:val="bottom"/>
            <w:tcBorders>
              <w:bottom w:val="single" w:sz="8" w:color="0000EE"/>
            </w:tcBorders>
            <w:gridSpan w:val="13"/>
            <w:shd w:val="clear" w:color="auto" w:fill="CCEEFF"/>
          </w:tcPr>
          <w:p>
            <w:pPr>
              <w:spacing w:after="0" w:line="123" w:lineRule="exact"/>
              <w:rPr>
                <w:rFonts w:ascii="Arial" w:cs="Arial" w:eastAsia="Arial" w:hAnsi="Arial"/>
                <w:sz w:val="13"/>
                <w:szCs w:val="13"/>
                <w:color w:val="0000EE"/>
              </w:rPr>
            </w:pPr>
            <w:hyperlink r:id="rId160">
              <w:r>
                <w:rPr>
                  <w:rFonts w:ascii="Arial" w:cs="Arial" w:eastAsia="Arial" w:hAnsi="Arial"/>
                  <w:sz w:val="13"/>
                  <w:szCs w:val="13"/>
                  <w:color w:val="0000EE"/>
                </w:rPr>
                <w:t>Automobile Expense Reimbursement Program for Senior Executives (incorporated herein by reference to Exhibit 10.26 to the 2008</w:t>
              </w:r>
            </w:hyperlink>
          </w:p>
        </w:tc>
      </w:tr>
      <w:tr>
        <w:trPr>
          <w:trHeight w:val="124"/>
        </w:trPr>
        <w:tc>
          <w:tcPr>
            <w:tcW w:w="106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7660" w:type="dxa"/>
            <w:vAlign w:val="bottom"/>
            <w:gridSpan w:val="13"/>
            <w:shd w:val="clear" w:color="auto" w:fill="CCEEFF"/>
          </w:tcPr>
          <w:p>
            <w:pPr>
              <w:spacing w:after="0" w:line="124" w:lineRule="exact"/>
              <w:rPr>
                <w:rFonts w:ascii="Arial" w:cs="Arial" w:eastAsia="Arial" w:hAnsi="Arial"/>
                <w:sz w:val="13"/>
                <w:szCs w:val="13"/>
                <w:color w:val="0000EE"/>
              </w:rPr>
            </w:pPr>
            <w:hyperlink r:id="rId160">
              <w:r>
                <w:rPr>
                  <w:rFonts w:ascii="Arial" w:cs="Arial" w:eastAsia="Arial" w:hAnsi="Arial"/>
                  <w:sz w:val="13"/>
                  <w:szCs w:val="13"/>
                  <w:color w:val="0000EE"/>
                </w:rPr>
                <w:t>Form 10-K).</w:t>
              </w:r>
            </w:hyperlink>
          </w:p>
        </w:tc>
      </w:tr>
      <w:tr>
        <w:trPr>
          <w:trHeight w:val="144"/>
        </w:trPr>
        <w:tc>
          <w:tcPr>
            <w:tcW w:w="10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540" w:type="dxa"/>
            <w:vAlign w:val="bottom"/>
            <w:tcBorders>
              <w:top w:val="single" w:sz="8" w:color="0000EE"/>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26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106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148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3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r>
      <w:tr>
        <w:trPr>
          <w:trHeight w:val="123"/>
        </w:trPr>
        <w:tc>
          <w:tcPr>
            <w:tcW w:w="1060" w:type="dxa"/>
            <w:vAlign w:val="bottom"/>
            <w:tcBorders>
              <w:bottom w:val="single" w:sz="8" w:color="CCEEFF"/>
            </w:tcBorders>
            <w:shd w:val="clear" w:color="auto" w:fill="CCEEFF"/>
          </w:tcPr>
          <w:p>
            <w:pPr>
              <w:jc w:val="center"/>
              <w:spacing w:after="0" w:line="123" w:lineRule="exact"/>
              <w:rPr>
                <w:sz w:val="20"/>
                <w:szCs w:val="20"/>
                <w:color w:val="auto"/>
              </w:rPr>
            </w:pPr>
            <w:r>
              <w:rPr>
                <w:rFonts w:ascii="Arial" w:cs="Arial" w:eastAsia="Arial" w:hAnsi="Arial"/>
                <w:sz w:val="13"/>
                <w:szCs w:val="13"/>
                <w:color w:val="auto"/>
                <w:w w:val="95"/>
              </w:rPr>
              <w:t>10.27†</w:t>
            </w:r>
          </w:p>
        </w:tc>
        <w:tc>
          <w:tcPr>
            <w:tcW w:w="220" w:type="dxa"/>
            <w:vAlign w:val="bottom"/>
            <w:tcBorders>
              <w:bottom w:val="single" w:sz="8" w:color="CCEEFF"/>
              <w:right w:val="single" w:sz="8" w:color="CCEEFF"/>
            </w:tcBorders>
            <w:shd w:val="clear" w:color="auto" w:fill="CCEEFF"/>
          </w:tcPr>
          <w:p>
            <w:pPr>
              <w:spacing w:after="0"/>
              <w:rPr>
                <w:sz w:val="10"/>
                <w:szCs w:val="10"/>
                <w:color w:val="auto"/>
              </w:rPr>
            </w:pPr>
          </w:p>
        </w:tc>
        <w:tc>
          <w:tcPr>
            <w:tcW w:w="7660" w:type="dxa"/>
            <w:vAlign w:val="bottom"/>
            <w:tcBorders>
              <w:bottom w:val="single" w:sz="8" w:color="0000EE"/>
            </w:tcBorders>
            <w:gridSpan w:val="13"/>
            <w:shd w:val="clear" w:color="auto" w:fill="CCEEFF"/>
          </w:tcPr>
          <w:p>
            <w:pPr>
              <w:spacing w:after="0" w:line="123" w:lineRule="exact"/>
              <w:rPr>
                <w:rFonts w:ascii="Arial" w:cs="Arial" w:eastAsia="Arial" w:hAnsi="Arial"/>
                <w:sz w:val="13"/>
                <w:szCs w:val="13"/>
                <w:color w:val="0000EE"/>
              </w:rPr>
            </w:pPr>
            <w:hyperlink r:id="rId161">
              <w:r>
                <w:rPr>
                  <w:rFonts w:ascii="Arial" w:cs="Arial" w:eastAsia="Arial" w:hAnsi="Arial"/>
                  <w:sz w:val="13"/>
                  <w:szCs w:val="13"/>
                  <w:color w:val="0000EE"/>
                </w:rPr>
                <w:t>Executive Medical Expense Allowance Program for Senior Executives (incorporated herein by reference to Exhibit 10.27 to the 2008</w:t>
              </w:r>
            </w:hyperlink>
          </w:p>
        </w:tc>
      </w:tr>
      <w:tr>
        <w:trPr>
          <w:trHeight w:val="124"/>
        </w:trPr>
        <w:tc>
          <w:tcPr>
            <w:tcW w:w="106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7660" w:type="dxa"/>
            <w:vAlign w:val="bottom"/>
            <w:gridSpan w:val="13"/>
            <w:shd w:val="clear" w:color="auto" w:fill="CCEEFF"/>
          </w:tcPr>
          <w:p>
            <w:pPr>
              <w:spacing w:after="0" w:line="124" w:lineRule="exact"/>
              <w:rPr>
                <w:rFonts w:ascii="Arial" w:cs="Arial" w:eastAsia="Arial" w:hAnsi="Arial"/>
                <w:sz w:val="13"/>
                <w:szCs w:val="13"/>
                <w:color w:val="0000EE"/>
              </w:rPr>
            </w:pPr>
            <w:hyperlink r:id="rId161">
              <w:r>
                <w:rPr>
                  <w:rFonts w:ascii="Arial" w:cs="Arial" w:eastAsia="Arial" w:hAnsi="Arial"/>
                  <w:sz w:val="13"/>
                  <w:szCs w:val="13"/>
                  <w:color w:val="0000EE"/>
                </w:rPr>
                <w:t>Form 10-K).</w:t>
              </w:r>
            </w:hyperlink>
          </w:p>
        </w:tc>
      </w:tr>
      <w:tr>
        <w:trPr>
          <w:trHeight w:val="144"/>
        </w:trPr>
        <w:tc>
          <w:tcPr>
            <w:tcW w:w="10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540" w:type="dxa"/>
            <w:vAlign w:val="bottom"/>
            <w:tcBorders>
              <w:top w:val="single" w:sz="8" w:color="0000EE"/>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26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106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148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3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r>
      <w:tr>
        <w:trPr>
          <w:trHeight w:val="123"/>
        </w:trPr>
        <w:tc>
          <w:tcPr>
            <w:tcW w:w="1060" w:type="dxa"/>
            <w:vAlign w:val="bottom"/>
            <w:tcBorders>
              <w:bottom w:val="single" w:sz="8" w:color="CCEEFF"/>
            </w:tcBorders>
            <w:shd w:val="clear" w:color="auto" w:fill="CCEEFF"/>
          </w:tcPr>
          <w:p>
            <w:pPr>
              <w:jc w:val="center"/>
              <w:spacing w:after="0" w:line="123" w:lineRule="exact"/>
              <w:rPr>
                <w:sz w:val="20"/>
                <w:szCs w:val="20"/>
                <w:color w:val="auto"/>
              </w:rPr>
            </w:pPr>
            <w:r>
              <w:rPr>
                <w:rFonts w:ascii="Arial" w:cs="Arial" w:eastAsia="Arial" w:hAnsi="Arial"/>
                <w:sz w:val="13"/>
                <w:szCs w:val="13"/>
                <w:color w:val="auto"/>
                <w:w w:val="95"/>
              </w:rPr>
              <w:t>10.28†</w:t>
            </w:r>
          </w:p>
        </w:tc>
        <w:tc>
          <w:tcPr>
            <w:tcW w:w="220" w:type="dxa"/>
            <w:vAlign w:val="bottom"/>
            <w:tcBorders>
              <w:bottom w:val="single" w:sz="8" w:color="CCEEFF"/>
              <w:right w:val="single" w:sz="8" w:color="CCEEFF"/>
            </w:tcBorders>
            <w:shd w:val="clear" w:color="auto" w:fill="CCEEFF"/>
          </w:tcPr>
          <w:p>
            <w:pPr>
              <w:spacing w:after="0"/>
              <w:rPr>
                <w:sz w:val="10"/>
                <w:szCs w:val="10"/>
                <w:color w:val="auto"/>
              </w:rPr>
            </w:pPr>
          </w:p>
        </w:tc>
        <w:tc>
          <w:tcPr>
            <w:tcW w:w="7660" w:type="dxa"/>
            <w:vAlign w:val="bottom"/>
            <w:tcBorders>
              <w:bottom w:val="single" w:sz="8" w:color="0000EE"/>
            </w:tcBorders>
            <w:gridSpan w:val="13"/>
            <w:shd w:val="clear" w:color="auto" w:fill="CCEEFF"/>
          </w:tcPr>
          <w:p>
            <w:pPr>
              <w:spacing w:after="0" w:line="123" w:lineRule="exact"/>
              <w:rPr>
                <w:rFonts w:ascii="Arial" w:cs="Arial" w:eastAsia="Arial" w:hAnsi="Arial"/>
                <w:sz w:val="13"/>
                <w:szCs w:val="13"/>
                <w:color w:val="0000EE"/>
              </w:rPr>
            </w:pPr>
            <w:hyperlink r:id="rId162">
              <w:r>
                <w:rPr>
                  <w:rFonts w:ascii="Arial" w:cs="Arial" w:eastAsia="Arial" w:hAnsi="Arial"/>
                  <w:sz w:val="13"/>
                  <w:szCs w:val="13"/>
                  <w:color w:val="0000EE"/>
                </w:rPr>
                <w:t>Financial Planning Allowance Program for Senior Executives (incorporated herein by reference to Exhibit 10.28 to the 2008 Form 10-</w:t>
              </w:r>
            </w:hyperlink>
          </w:p>
        </w:tc>
      </w:tr>
      <w:tr>
        <w:trPr>
          <w:trHeight w:val="124"/>
        </w:trPr>
        <w:tc>
          <w:tcPr>
            <w:tcW w:w="106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7660" w:type="dxa"/>
            <w:vAlign w:val="bottom"/>
            <w:gridSpan w:val="13"/>
            <w:shd w:val="clear" w:color="auto" w:fill="CCEEFF"/>
          </w:tcPr>
          <w:p>
            <w:pPr>
              <w:spacing w:after="0" w:line="124" w:lineRule="exact"/>
              <w:rPr>
                <w:rFonts w:ascii="Arial" w:cs="Arial" w:eastAsia="Arial" w:hAnsi="Arial"/>
                <w:sz w:val="13"/>
                <w:szCs w:val="13"/>
                <w:color w:val="0000EE"/>
              </w:rPr>
            </w:pPr>
            <w:hyperlink r:id="rId162">
              <w:r>
                <w:rPr>
                  <w:rFonts w:ascii="Arial" w:cs="Arial" w:eastAsia="Arial" w:hAnsi="Arial"/>
                  <w:sz w:val="13"/>
                  <w:szCs w:val="13"/>
                  <w:color w:val="0000EE"/>
                </w:rPr>
                <w:t>K).</w:t>
              </w:r>
            </w:hyperlink>
          </w:p>
        </w:tc>
      </w:tr>
      <w:tr>
        <w:trPr>
          <w:trHeight w:val="144"/>
        </w:trPr>
        <w:tc>
          <w:tcPr>
            <w:tcW w:w="10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5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26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106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148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3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r>
      <w:tr>
        <w:trPr>
          <w:trHeight w:val="124"/>
        </w:trPr>
        <w:tc>
          <w:tcPr>
            <w:tcW w:w="1060" w:type="dxa"/>
            <w:vAlign w:val="bottom"/>
            <w:shd w:val="clear" w:color="auto" w:fill="CCEEFF"/>
          </w:tcPr>
          <w:p>
            <w:pPr>
              <w:jc w:val="center"/>
              <w:spacing w:after="0" w:line="123" w:lineRule="exact"/>
              <w:rPr>
                <w:sz w:val="20"/>
                <w:szCs w:val="20"/>
                <w:color w:val="auto"/>
              </w:rPr>
            </w:pPr>
            <w:r>
              <w:rPr>
                <w:rFonts w:ascii="Arial" w:cs="Arial" w:eastAsia="Arial" w:hAnsi="Arial"/>
                <w:sz w:val="13"/>
                <w:szCs w:val="13"/>
                <w:color w:val="auto"/>
                <w:w w:val="95"/>
              </w:rPr>
              <w:t>10.29†</w:t>
            </w:r>
          </w:p>
        </w:tc>
        <w:tc>
          <w:tcPr>
            <w:tcW w:w="220" w:type="dxa"/>
            <w:vAlign w:val="bottom"/>
            <w:tcBorders>
              <w:right w:val="single" w:sz="8" w:color="CCEEFF"/>
            </w:tcBorders>
            <w:shd w:val="clear" w:color="auto" w:fill="CCEEFF"/>
          </w:tcPr>
          <w:p>
            <w:pPr>
              <w:spacing w:after="0"/>
              <w:rPr>
                <w:sz w:val="10"/>
                <w:szCs w:val="10"/>
                <w:color w:val="auto"/>
              </w:rPr>
            </w:pPr>
          </w:p>
        </w:tc>
        <w:tc>
          <w:tcPr>
            <w:tcW w:w="7660" w:type="dxa"/>
            <w:vAlign w:val="bottom"/>
            <w:gridSpan w:val="13"/>
            <w:shd w:val="clear" w:color="auto" w:fill="CCEEFF"/>
          </w:tcPr>
          <w:p>
            <w:pPr>
              <w:spacing w:after="0" w:line="123" w:lineRule="exact"/>
              <w:rPr>
                <w:rFonts w:ascii="Arial" w:cs="Arial" w:eastAsia="Arial" w:hAnsi="Arial"/>
                <w:sz w:val="13"/>
                <w:szCs w:val="13"/>
                <w:color w:val="0000EE"/>
              </w:rPr>
            </w:pPr>
            <w:hyperlink r:id="rId163">
              <w:r>
                <w:rPr>
                  <w:rFonts w:ascii="Arial" w:cs="Arial" w:eastAsia="Arial" w:hAnsi="Arial"/>
                  <w:sz w:val="13"/>
                  <w:szCs w:val="13"/>
                  <w:color w:val="0000EE"/>
                </w:rPr>
                <w:t>Long-Term Disability Program for Senior Executives (incorporated herein by reference to Exhibit 10.32 to the 2008 Form 10-K).</w:t>
              </w:r>
            </w:hyperlink>
          </w:p>
        </w:tc>
      </w:tr>
      <w:tr>
        <w:trPr>
          <w:trHeight w:val="144"/>
        </w:trPr>
        <w:tc>
          <w:tcPr>
            <w:tcW w:w="10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5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1260" w:type="dxa"/>
            <w:vAlign w:val="bottom"/>
            <w:tcBorders>
              <w:top w:val="single" w:sz="8" w:color="0000EE"/>
            </w:tcBorders>
          </w:tcPr>
          <w:p>
            <w:pPr>
              <w:spacing w:after="0"/>
              <w:rPr>
                <w:sz w:val="12"/>
                <w:szCs w:val="12"/>
                <w:color w:val="auto"/>
              </w:rPr>
            </w:pPr>
          </w:p>
        </w:tc>
        <w:tc>
          <w:tcPr>
            <w:tcW w:w="680" w:type="dxa"/>
            <w:vAlign w:val="bottom"/>
            <w:tcBorders>
              <w:top w:val="single" w:sz="8" w:color="0000EE"/>
            </w:tcBorders>
          </w:tcPr>
          <w:p>
            <w:pPr>
              <w:spacing w:after="0"/>
              <w:rPr>
                <w:sz w:val="12"/>
                <w:szCs w:val="12"/>
                <w:color w:val="auto"/>
              </w:rPr>
            </w:pPr>
          </w:p>
        </w:tc>
        <w:tc>
          <w:tcPr>
            <w:tcW w:w="1060" w:type="dxa"/>
            <w:vAlign w:val="bottom"/>
            <w:tcBorders>
              <w:top w:val="single" w:sz="8" w:color="0000EE"/>
            </w:tcBorders>
          </w:tcPr>
          <w:p>
            <w:pPr>
              <w:spacing w:after="0"/>
              <w:rPr>
                <w:sz w:val="12"/>
                <w:szCs w:val="12"/>
                <w:color w:val="auto"/>
              </w:rPr>
            </w:pPr>
          </w:p>
        </w:tc>
        <w:tc>
          <w:tcPr>
            <w:tcW w:w="1120" w:type="dxa"/>
            <w:vAlign w:val="bottom"/>
            <w:tcBorders>
              <w:top w:val="single" w:sz="8" w:color="0000EE"/>
            </w:tcBorders>
          </w:tcPr>
          <w:p>
            <w:pPr>
              <w:spacing w:after="0"/>
              <w:rPr>
                <w:sz w:val="12"/>
                <w:szCs w:val="12"/>
                <w:color w:val="auto"/>
              </w:rPr>
            </w:pPr>
          </w:p>
        </w:tc>
        <w:tc>
          <w:tcPr>
            <w:tcW w:w="1480" w:type="dxa"/>
            <w:vAlign w:val="bottom"/>
            <w:tcBorders>
              <w:top w:val="single" w:sz="8" w:color="0000EE"/>
            </w:tcBorders>
          </w:tcPr>
          <w:p>
            <w:pPr>
              <w:spacing w:after="0"/>
              <w:rPr>
                <w:sz w:val="12"/>
                <w:szCs w:val="12"/>
                <w:color w:val="auto"/>
              </w:rPr>
            </w:pPr>
          </w:p>
        </w:tc>
        <w:tc>
          <w:tcPr>
            <w:tcW w:w="200" w:type="dxa"/>
            <w:vAlign w:val="bottom"/>
            <w:tcBorders>
              <w:top w:val="single" w:sz="8" w:color="0000EE"/>
            </w:tcBorders>
          </w:tcPr>
          <w:p>
            <w:pPr>
              <w:spacing w:after="0"/>
              <w:rPr>
                <w:sz w:val="12"/>
                <w:szCs w:val="12"/>
                <w:color w:val="auto"/>
              </w:rPr>
            </w:pPr>
          </w:p>
        </w:tc>
        <w:tc>
          <w:tcPr>
            <w:tcW w:w="340" w:type="dxa"/>
            <w:vAlign w:val="bottom"/>
            <w:tcBorders>
              <w:top w:val="single" w:sz="8" w:color="0000EE"/>
            </w:tcBorders>
          </w:tcPr>
          <w:p>
            <w:pPr>
              <w:spacing w:after="0"/>
              <w:rPr>
                <w:sz w:val="12"/>
                <w:szCs w:val="12"/>
                <w:color w:val="auto"/>
              </w:rPr>
            </w:pPr>
          </w:p>
        </w:tc>
        <w:tc>
          <w:tcPr>
            <w:tcW w:w="420" w:type="dxa"/>
            <w:vAlign w:val="bottom"/>
            <w:tcBorders>
              <w:top w:val="single" w:sz="8" w:color="0000EE"/>
            </w:tcBorders>
          </w:tcPr>
          <w:p>
            <w:pPr>
              <w:spacing w:after="0"/>
              <w:rPr>
                <w:sz w:val="12"/>
                <w:szCs w:val="12"/>
                <w:color w:val="auto"/>
              </w:rPr>
            </w:pPr>
          </w:p>
        </w:tc>
        <w:tc>
          <w:tcPr>
            <w:tcW w:w="3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r>
      <w:tr>
        <w:trPr>
          <w:trHeight w:val="139"/>
        </w:trPr>
        <w:tc>
          <w:tcPr>
            <w:tcW w:w="1060" w:type="dxa"/>
            <w:vAlign w:val="bottom"/>
            <w:shd w:val="clear" w:color="auto" w:fill="CCEEFF"/>
          </w:tcPr>
          <w:p>
            <w:pPr>
              <w:jc w:val="center"/>
              <w:spacing w:after="0" w:line="139" w:lineRule="exact"/>
              <w:rPr>
                <w:sz w:val="20"/>
                <w:szCs w:val="20"/>
                <w:color w:val="auto"/>
              </w:rPr>
            </w:pPr>
            <w:r>
              <w:rPr>
                <w:rFonts w:ascii="Arial" w:cs="Arial" w:eastAsia="Arial" w:hAnsi="Arial"/>
                <w:sz w:val="13"/>
                <w:szCs w:val="13"/>
                <w:color w:val="auto"/>
              </w:rPr>
              <w:t>10.30</w:t>
            </w:r>
          </w:p>
        </w:tc>
        <w:tc>
          <w:tcPr>
            <w:tcW w:w="220" w:type="dxa"/>
            <w:vAlign w:val="bottom"/>
            <w:tcBorders>
              <w:right w:val="single" w:sz="8" w:color="CCEEFF"/>
            </w:tcBorders>
            <w:shd w:val="clear" w:color="auto" w:fill="CCEEFF"/>
          </w:tcPr>
          <w:p>
            <w:pPr>
              <w:spacing w:after="0"/>
              <w:rPr>
                <w:sz w:val="12"/>
                <w:szCs w:val="12"/>
                <w:color w:val="auto"/>
              </w:rPr>
            </w:pPr>
          </w:p>
        </w:tc>
        <w:tc>
          <w:tcPr>
            <w:tcW w:w="7660" w:type="dxa"/>
            <w:vAlign w:val="bottom"/>
            <w:gridSpan w:val="13"/>
            <w:shd w:val="clear" w:color="auto" w:fill="CCEEFF"/>
          </w:tcPr>
          <w:p>
            <w:pPr>
              <w:spacing w:after="0" w:line="139" w:lineRule="exact"/>
              <w:rPr>
                <w:sz w:val="20"/>
                <w:szCs w:val="20"/>
                <w:color w:val="auto"/>
              </w:rPr>
            </w:pPr>
            <w:r>
              <w:rPr>
                <w:rFonts w:ascii="Arial" w:cs="Arial" w:eastAsia="Arial" w:hAnsi="Arial"/>
                <w:sz w:val="13"/>
                <w:szCs w:val="13"/>
                <w:color w:val="auto"/>
              </w:rPr>
              <w:t>Form of indemnification agreement, as amended (incorporated herein by reference to Exhibit 10(g) to the 8-B Registration</w:t>
            </w:r>
          </w:p>
        </w:tc>
      </w:tr>
      <w:tr>
        <w:trPr>
          <w:trHeight w:val="148"/>
        </w:trPr>
        <w:tc>
          <w:tcPr>
            <w:tcW w:w="10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660" w:type="dxa"/>
            <w:vAlign w:val="bottom"/>
            <w:gridSpan w:val="13"/>
            <w:shd w:val="clear" w:color="auto" w:fill="CCEEFF"/>
          </w:tcPr>
          <w:p>
            <w:pPr>
              <w:spacing w:after="0" w:line="149" w:lineRule="exact"/>
              <w:rPr>
                <w:sz w:val="20"/>
                <w:szCs w:val="20"/>
                <w:color w:val="auto"/>
              </w:rPr>
            </w:pPr>
            <w:r>
              <w:rPr>
                <w:rFonts w:ascii="Arial" w:cs="Arial" w:eastAsia="Arial" w:hAnsi="Arial"/>
                <w:sz w:val="13"/>
                <w:szCs w:val="13"/>
                <w:color w:val="auto"/>
              </w:rPr>
              <w:t>Statement).</w:t>
            </w:r>
          </w:p>
        </w:tc>
      </w:tr>
      <w:tr>
        <w:trPr>
          <w:trHeight w:val="144"/>
        </w:trPr>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23"/>
        </w:trPr>
        <w:tc>
          <w:tcPr>
            <w:tcW w:w="1060" w:type="dxa"/>
            <w:vAlign w:val="bottom"/>
            <w:tcBorders>
              <w:bottom w:val="single" w:sz="8" w:color="CCEEFF"/>
            </w:tcBorders>
            <w:shd w:val="clear" w:color="auto" w:fill="CCEEFF"/>
          </w:tcPr>
          <w:p>
            <w:pPr>
              <w:jc w:val="center"/>
              <w:spacing w:after="0" w:line="123" w:lineRule="exact"/>
              <w:rPr>
                <w:sz w:val="20"/>
                <w:szCs w:val="20"/>
                <w:color w:val="auto"/>
              </w:rPr>
            </w:pPr>
            <w:r>
              <w:rPr>
                <w:rFonts w:ascii="Arial" w:cs="Arial" w:eastAsia="Arial" w:hAnsi="Arial"/>
                <w:sz w:val="13"/>
                <w:szCs w:val="13"/>
                <w:color w:val="auto"/>
              </w:rPr>
              <w:t>10.31</w:t>
            </w:r>
          </w:p>
        </w:tc>
        <w:tc>
          <w:tcPr>
            <w:tcW w:w="220" w:type="dxa"/>
            <w:vAlign w:val="bottom"/>
            <w:tcBorders>
              <w:bottom w:val="single" w:sz="8" w:color="CCEEFF"/>
              <w:right w:val="single" w:sz="8" w:color="CCEEFF"/>
            </w:tcBorders>
            <w:shd w:val="clear" w:color="auto" w:fill="CCEEFF"/>
          </w:tcPr>
          <w:p>
            <w:pPr>
              <w:spacing w:after="0"/>
              <w:rPr>
                <w:sz w:val="10"/>
                <w:szCs w:val="10"/>
                <w:color w:val="auto"/>
              </w:rPr>
            </w:pPr>
          </w:p>
        </w:tc>
        <w:tc>
          <w:tcPr>
            <w:tcW w:w="7660" w:type="dxa"/>
            <w:vAlign w:val="bottom"/>
            <w:tcBorders>
              <w:bottom w:val="single" w:sz="8" w:color="0000EE"/>
            </w:tcBorders>
            <w:gridSpan w:val="13"/>
            <w:shd w:val="clear" w:color="auto" w:fill="CCEEFF"/>
          </w:tcPr>
          <w:p>
            <w:pPr>
              <w:spacing w:after="0" w:line="123" w:lineRule="exact"/>
              <w:rPr>
                <w:rFonts w:ascii="Arial" w:cs="Arial" w:eastAsia="Arial" w:hAnsi="Arial"/>
                <w:sz w:val="13"/>
                <w:szCs w:val="13"/>
                <w:color w:val="0000EE"/>
              </w:rPr>
            </w:pPr>
            <w:hyperlink r:id="rId164">
              <w:r>
                <w:rPr>
                  <w:rFonts w:ascii="Arial" w:cs="Arial" w:eastAsia="Arial" w:hAnsi="Arial"/>
                  <w:sz w:val="13"/>
                  <w:szCs w:val="13"/>
                  <w:color w:val="0000EE"/>
                </w:rPr>
                <w:t>Amendment to form of indemnification agreement (incorporated herein by reference to Exhibit 10.5 to the Quarterly Report on</w:t>
              </w:r>
            </w:hyperlink>
          </w:p>
        </w:tc>
      </w:tr>
      <w:tr>
        <w:trPr>
          <w:trHeight w:val="124"/>
        </w:trPr>
        <w:tc>
          <w:tcPr>
            <w:tcW w:w="106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7660" w:type="dxa"/>
            <w:vAlign w:val="bottom"/>
            <w:gridSpan w:val="13"/>
            <w:shd w:val="clear" w:color="auto" w:fill="CCEEFF"/>
          </w:tcPr>
          <w:p>
            <w:pPr>
              <w:spacing w:after="0" w:line="124" w:lineRule="exact"/>
              <w:rPr>
                <w:rFonts w:ascii="Arial" w:cs="Arial" w:eastAsia="Arial" w:hAnsi="Arial"/>
                <w:sz w:val="13"/>
                <w:szCs w:val="13"/>
                <w:color w:val="0000EE"/>
              </w:rPr>
            </w:pPr>
            <w:hyperlink r:id="rId164">
              <w:r>
                <w:rPr>
                  <w:rFonts w:ascii="Arial" w:cs="Arial" w:eastAsia="Arial" w:hAnsi="Arial"/>
                  <w:sz w:val="13"/>
                  <w:szCs w:val="13"/>
                  <w:color w:val="0000EE"/>
                </w:rPr>
                <w:t>Form 10-Q for the quarterly period ended May 5, 2001 filed on June 13, 2001 (the “May 5, 2001 Form 10-Q”)).</w:t>
              </w:r>
            </w:hyperlink>
          </w:p>
        </w:tc>
      </w:tr>
      <w:tr>
        <w:trPr>
          <w:trHeight w:val="144"/>
        </w:trPr>
        <w:tc>
          <w:tcPr>
            <w:tcW w:w="10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5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1260" w:type="dxa"/>
            <w:vAlign w:val="bottom"/>
            <w:tcBorders>
              <w:top w:val="single" w:sz="8" w:color="0000EE"/>
            </w:tcBorders>
          </w:tcPr>
          <w:p>
            <w:pPr>
              <w:spacing w:after="0"/>
              <w:rPr>
                <w:sz w:val="12"/>
                <w:szCs w:val="12"/>
                <w:color w:val="auto"/>
              </w:rPr>
            </w:pPr>
          </w:p>
        </w:tc>
        <w:tc>
          <w:tcPr>
            <w:tcW w:w="680" w:type="dxa"/>
            <w:vAlign w:val="bottom"/>
            <w:tcBorders>
              <w:top w:val="single" w:sz="8" w:color="0000EE"/>
            </w:tcBorders>
          </w:tcPr>
          <w:p>
            <w:pPr>
              <w:spacing w:after="0"/>
              <w:rPr>
                <w:sz w:val="12"/>
                <w:szCs w:val="12"/>
                <w:color w:val="auto"/>
              </w:rPr>
            </w:pPr>
          </w:p>
        </w:tc>
        <w:tc>
          <w:tcPr>
            <w:tcW w:w="1060" w:type="dxa"/>
            <w:vAlign w:val="bottom"/>
            <w:tcBorders>
              <w:top w:val="single" w:sz="8" w:color="0000EE"/>
            </w:tcBorders>
          </w:tcPr>
          <w:p>
            <w:pPr>
              <w:spacing w:after="0"/>
              <w:rPr>
                <w:sz w:val="12"/>
                <w:szCs w:val="12"/>
                <w:color w:val="auto"/>
              </w:rPr>
            </w:pPr>
          </w:p>
        </w:tc>
        <w:tc>
          <w:tcPr>
            <w:tcW w:w="1120" w:type="dxa"/>
            <w:vAlign w:val="bottom"/>
            <w:tcBorders>
              <w:top w:val="single" w:sz="8" w:color="0000EE"/>
            </w:tcBorders>
          </w:tcPr>
          <w:p>
            <w:pPr>
              <w:spacing w:after="0"/>
              <w:rPr>
                <w:sz w:val="12"/>
                <w:szCs w:val="12"/>
                <w:color w:val="auto"/>
              </w:rPr>
            </w:pPr>
          </w:p>
        </w:tc>
        <w:tc>
          <w:tcPr>
            <w:tcW w:w="1480" w:type="dxa"/>
            <w:vAlign w:val="bottom"/>
            <w:tcBorders>
              <w:top w:val="single" w:sz="8" w:color="0000EE"/>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3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r>
      <w:tr>
        <w:trPr>
          <w:trHeight w:val="139"/>
        </w:trPr>
        <w:tc>
          <w:tcPr>
            <w:tcW w:w="1060" w:type="dxa"/>
            <w:vAlign w:val="bottom"/>
            <w:shd w:val="clear" w:color="auto" w:fill="CCEEFF"/>
          </w:tcPr>
          <w:p>
            <w:pPr>
              <w:jc w:val="center"/>
              <w:spacing w:after="0" w:line="139" w:lineRule="exact"/>
              <w:rPr>
                <w:sz w:val="20"/>
                <w:szCs w:val="20"/>
                <w:color w:val="auto"/>
              </w:rPr>
            </w:pPr>
            <w:r>
              <w:rPr>
                <w:rFonts w:ascii="Arial" w:cs="Arial" w:eastAsia="Arial" w:hAnsi="Arial"/>
                <w:sz w:val="13"/>
                <w:szCs w:val="13"/>
                <w:color w:val="auto"/>
              </w:rPr>
              <w:t>10.32</w:t>
            </w:r>
          </w:p>
        </w:tc>
        <w:tc>
          <w:tcPr>
            <w:tcW w:w="220" w:type="dxa"/>
            <w:vAlign w:val="bottom"/>
            <w:tcBorders>
              <w:right w:val="single" w:sz="8" w:color="CCEEFF"/>
            </w:tcBorders>
            <w:shd w:val="clear" w:color="auto" w:fill="CCEEFF"/>
          </w:tcPr>
          <w:p>
            <w:pPr>
              <w:spacing w:after="0"/>
              <w:rPr>
                <w:sz w:val="12"/>
                <w:szCs w:val="12"/>
                <w:color w:val="auto"/>
              </w:rPr>
            </w:pPr>
          </w:p>
        </w:tc>
        <w:tc>
          <w:tcPr>
            <w:tcW w:w="7660" w:type="dxa"/>
            <w:vAlign w:val="bottom"/>
            <w:gridSpan w:val="13"/>
            <w:shd w:val="clear" w:color="auto" w:fill="CCEEFF"/>
          </w:tcPr>
          <w:p>
            <w:pPr>
              <w:spacing w:after="0" w:line="139" w:lineRule="exact"/>
              <w:rPr>
                <w:sz w:val="20"/>
                <w:szCs w:val="20"/>
                <w:color w:val="auto"/>
              </w:rPr>
            </w:pPr>
            <w:r>
              <w:rPr>
                <w:rFonts w:ascii="Arial" w:cs="Arial" w:eastAsia="Arial" w:hAnsi="Arial"/>
                <w:sz w:val="13"/>
                <w:szCs w:val="13"/>
                <w:color w:val="auto"/>
              </w:rPr>
              <w:t>Trust Agreement dated as of November 12, 1987 (“Trust Agreement”), between F.W. Woolworth Co. and The Bank of New York, as</w:t>
            </w:r>
          </w:p>
        </w:tc>
      </w:tr>
      <w:tr>
        <w:trPr>
          <w:trHeight w:val="148"/>
        </w:trPr>
        <w:tc>
          <w:tcPr>
            <w:tcW w:w="106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7660" w:type="dxa"/>
            <w:vAlign w:val="bottom"/>
            <w:gridSpan w:val="13"/>
            <w:shd w:val="clear" w:color="auto" w:fill="CCEEFF"/>
          </w:tcPr>
          <w:p>
            <w:pPr>
              <w:spacing w:after="0" w:line="149" w:lineRule="exact"/>
              <w:rPr>
                <w:sz w:val="20"/>
                <w:szCs w:val="20"/>
                <w:color w:val="auto"/>
              </w:rPr>
            </w:pPr>
            <w:r>
              <w:rPr>
                <w:rFonts w:ascii="Arial" w:cs="Arial" w:eastAsia="Arial" w:hAnsi="Arial"/>
                <w:sz w:val="13"/>
                <w:szCs w:val="13"/>
                <w:color w:val="auto"/>
              </w:rPr>
              <w:t>amended and assumed by the Registrant (incorporated herein by reference to Exhibit 10(j) to the 8-B Registration Statement).</w:t>
            </w:r>
          </w:p>
        </w:tc>
      </w:tr>
      <w:tr>
        <w:trPr>
          <w:trHeight w:val="144"/>
        </w:trPr>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23"/>
        </w:trPr>
        <w:tc>
          <w:tcPr>
            <w:tcW w:w="1060" w:type="dxa"/>
            <w:vAlign w:val="bottom"/>
            <w:shd w:val="clear" w:color="auto" w:fill="CCEEFF"/>
          </w:tcPr>
          <w:p>
            <w:pPr>
              <w:jc w:val="center"/>
              <w:spacing w:after="0" w:line="123" w:lineRule="exact"/>
              <w:rPr>
                <w:sz w:val="20"/>
                <w:szCs w:val="20"/>
                <w:color w:val="auto"/>
              </w:rPr>
            </w:pPr>
            <w:r>
              <w:rPr>
                <w:rFonts w:ascii="Arial" w:cs="Arial" w:eastAsia="Arial" w:hAnsi="Arial"/>
                <w:sz w:val="13"/>
                <w:szCs w:val="13"/>
                <w:color w:val="auto"/>
              </w:rPr>
              <w:t>10.33</w:t>
            </w:r>
          </w:p>
        </w:tc>
        <w:tc>
          <w:tcPr>
            <w:tcW w:w="220" w:type="dxa"/>
            <w:vAlign w:val="bottom"/>
            <w:tcBorders>
              <w:right w:val="single" w:sz="8" w:color="CCEEFF"/>
            </w:tcBorders>
            <w:shd w:val="clear" w:color="auto" w:fill="CCEEFF"/>
          </w:tcPr>
          <w:p>
            <w:pPr>
              <w:spacing w:after="0"/>
              <w:rPr>
                <w:sz w:val="10"/>
                <w:szCs w:val="10"/>
                <w:color w:val="auto"/>
              </w:rPr>
            </w:pPr>
          </w:p>
        </w:tc>
        <w:tc>
          <w:tcPr>
            <w:tcW w:w="7660" w:type="dxa"/>
            <w:vAlign w:val="bottom"/>
            <w:gridSpan w:val="13"/>
            <w:shd w:val="clear" w:color="auto" w:fill="CCEEFF"/>
          </w:tcPr>
          <w:p>
            <w:pPr>
              <w:spacing w:after="0" w:line="123" w:lineRule="exact"/>
              <w:rPr>
                <w:rFonts w:ascii="Arial" w:cs="Arial" w:eastAsia="Arial" w:hAnsi="Arial"/>
                <w:sz w:val="13"/>
                <w:szCs w:val="13"/>
                <w:color w:val="0000EE"/>
              </w:rPr>
            </w:pPr>
            <w:hyperlink r:id="rId165">
              <w:r>
                <w:rPr>
                  <w:rFonts w:ascii="Arial" w:cs="Arial" w:eastAsia="Arial" w:hAnsi="Arial"/>
                  <w:sz w:val="13"/>
                  <w:szCs w:val="13"/>
                  <w:color w:val="0000EE"/>
                </w:rPr>
                <w:t>Amendment to Trust Agreement made as of April 11, 2001 (incorporated herein by reference to Exhibit 10.4 to the May 5, 2001</w:t>
              </w:r>
            </w:hyperlink>
          </w:p>
        </w:tc>
      </w:tr>
      <w:tr>
        <w:trPr>
          <w:trHeight w:val="124"/>
        </w:trPr>
        <w:tc>
          <w:tcPr>
            <w:tcW w:w="106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right w:val="single" w:sz="8" w:color="CCEEFF"/>
            </w:tcBorders>
            <w:shd w:val="clear" w:color="auto" w:fill="CCEEFF"/>
          </w:tcPr>
          <w:p>
            <w:pPr>
              <w:spacing w:after="0"/>
              <w:rPr>
                <w:sz w:val="10"/>
                <w:szCs w:val="10"/>
                <w:color w:val="auto"/>
              </w:rPr>
            </w:pPr>
          </w:p>
        </w:tc>
        <w:tc>
          <w:tcPr>
            <w:tcW w:w="7640" w:type="dxa"/>
            <w:vAlign w:val="bottom"/>
            <w:tcBorders>
              <w:top w:val="single" w:sz="8" w:color="0000EE"/>
            </w:tcBorders>
            <w:gridSpan w:val="12"/>
            <w:shd w:val="clear" w:color="auto" w:fill="CCEEFF"/>
          </w:tcPr>
          <w:p>
            <w:pPr>
              <w:spacing w:after="0" w:line="124" w:lineRule="exact"/>
              <w:rPr>
                <w:rFonts w:ascii="Arial" w:cs="Arial" w:eastAsia="Arial" w:hAnsi="Arial"/>
                <w:sz w:val="13"/>
                <w:szCs w:val="13"/>
                <w:color w:val="0000EE"/>
              </w:rPr>
            </w:pPr>
            <w:hyperlink r:id="rId165">
              <w:r>
                <w:rPr>
                  <w:rFonts w:ascii="Arial" w:cs="Arial" w:eastAsia="Arial" w:hAnsi="Arial"/>
                  <w:sz w:val="13"/>
                  <w:szCs w:val="13"/>
                  <w:color w:val="0000EE"/>
                </w:rPr>
                <w:t>Form 10-Q).</w:t>
              </w:r>
            </w:hyperlink>
          </w:p>
        </w:tc>
        <w:tc>
          <w:tcPr>
            <w:tcW w:w="20" w:type="dxa"/>
            <w:vAlign w:val="bottom"/>
            <w:tcBorders>
              <w:top w:val="single" w:sz="8" w:color="CCEEFF"/>
            </w:tcBorders>
            <w:shd w:val="clear" w:color="auto" w:fill="CCEEFF"/>
          </w:tcPr>
          <w:p>
            <w:pPr>
              <w:spacing w:after="0"/>
              <w:rPr>
                <w:sz w:val="10"/>
                <w:szCs w:val="10"/>
                <w:color w:val="auto"/>
              </w:rPr>
            </w:pPr>
          </w:p>
        </w:tc>
      </w:tr>
      <w:tr>
        <w:trPr>
          <w:trHeight w:val="144"/>
        </w:trPr>
        <w:tc>
          <w:tcPr>
            <w:tcW w:w="10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5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1260" w:type="dxa"/>
            <w:vAlign w:val="bottom"/>
            <w:tcBorders>
              <w:top w:val="single" w:sz="8" w:color="CCEEFF"/>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c>
          <w:tcPr>
            <w:tcW w:w="106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148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3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r>
      <w:tr>
        <w:trPr>
          <w:trHeight w:val="123"/>
        </w:trPr>
        <w:tc>
          <w:tcPr>
            <w:tcW w:w="1060" w:type="dxa"/>
            <w:vAlign w:val="bottom"/>
            <w:tcBorders>
              <w:bottom w:val="single" w:sz="8" w:color="CCEEFF"/>
            </w:tcBorders>
            <w:shd w:val="clear" w:color="auto" w:fill="CCEEFF"/>
          </w:tcPr>
          <w:p>
            <w:pPr>
              <w:jc w:val="center"/>
              <w:spacing w:after="0" w:line="123" w:lineRule="exact"/>
              <w:rPr>
                <w:sz w:val="20"/>
                <w:szCs w:val="20"/>
                <w:color w:val="auto"/>
              </w:rPr>
            </w:pPr>
            <w:r>
              <w:rPr>
                <w:rFonts w:ascii="Arial" w:cs="Arial" w:eastAsia="Arial" w:hAnsi="Arial"/>
                <w:sz w:val="13"/>
                <w:szCs w:val="13"/>
                <w:color w:val="auto"/>
                <w:w w:val="95"/>
              </w:rPr>
              <w:t>10.34†</w:t>
            </w:r>
          </w:p>
        </w:tc>
        <w:tc>
          <w:tcPr>
            <w:tcW w:w="220" w:type="dxa"/>
            <w:vAlign w:val="bottom"/>
            <w:tcBorders>
              <w:bottom w:val="single" w:sz="8" w:color="CCEEFF"/>
              <w:right w:val="single" w:sz="8" w:color="CCEEFF"/>
            </w:tcBorders>
            <w:shd w:val="clear" w:color="auto" w:fill="CCEEFF"/>
          </w:tcPr>
          <w:p>
            <w:pPr>
              <w:spacing w:after="0"/>
              <w:rPr>
                <w:sz w:val="10"/>
                <w:szCs w:val="10"/>
                <w:color w:val="auto"/>
              </w:rPr>
            </w:pPr>
          </w:p>
        </w:tc>
        <w:tc>
          <w:tcPr>
            <w:tcW w:w="7660" w:type="dxa"/>
            <w:vAlign w:val="bottom"/>
            <w:tcBorders>
              <w:bottom w:val="single" w:sz="8" w:color="0000EE"/>
            </w:tcBorders>
            <w:gridSpan w:val="13"/>
            <w:shd w:val="clear" w:color="auto" w:fill="CCEEFF"/>
          </w:tcPr>
          <w:p>
            <w:pPr>
              <w:spacing w:after="0" w:line="123" w:lineRule="exact"/>
              <w:rPr>
                <w:rFonts w:ascii="Arial" w:cs="Arial" w:eastAsia="Arial" w:hAnsi="Arial"/>
                <w:sz w:val="13"/>
                <w:szCs w:val="13"/>
                <w:color w:val="0000EE"/>
              </w:rPr>
            </w:pPr>
            <w:hyperlink r:id="rId166">
              <w:r>
                <w:rPr>
                  <w:rFonts w:ascii="Arial" w:cs="Arial" w:eastAsia="Arial" w:hAnsi="Arial"/>
                  <w:sz w:val="13"/>
                  <w:szCs w:val="13"/>
                  <w:color w:val="0000EE"/>
                </w:rPr>
                <w:t>Employment Agreement, dated November 6, 2014, by and between Richard A. Johnson and the Company (incorporated herein by</w:t>
              </w:r>
            </w:hyperlink>
          </w:p>
        </w:tc>
      </w:tr>
      <w:tr>
        <w:trPr>
          <w:trHeight w:val="124"/>
        </w:trPr>
        <w:tc>
          <w:tcPr>
            <w:tcW w:w="106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7660" w:type="dxa"/>
            <w:vAlign w:val="bottom"/>
            <w:gridSpan w:val="13"/>
            <w:shd w:val="clear" w:color="auto" w:fill="CCEEFF"/>
          </w:tcPr>
          <w:p>
            <w:pPr>
              <w:spacing w:after="0" w:line="124" w:lineRule="exact"/>
              <w:rPr>
                <w:rFonts w:ascii="Arial" w:cs="Arial" w:eastAsia="Arial" w:hAnsi="Arial"/>
                <w:sz w:val="13"/>
                <w:szCs w:val="13"/>
                <w:color w:val="0000EE"/>
              </w:rPr>
            </w:pPr>
            <w:hyperlink r:id="rId166">
              <w:r>
                <w:rPr>
                  <w:rFonts w:ascii="Arial" w:cs="Arial" w:eastAsia="Arial" w:hAnsi="Arial"/>
                  <w:sz w:val="13"/>
                  <w:szCs w:val="13"/>
                  <w:color w:val="0000EE"/>
                </w:rPr>
                <w:t>reference to Exhibit 10.2 to the Current Report on Form 8-K dated November 3, 2014 filed on November 7, 2014).</w:t>
              </w:r>
            </w:hyperlink>
          </w:p>
        </w:tc>
      </w:tr>
      <w:tr>
        <w:trPr>
          <w:trHeight w:val="144"/>
        </w:trPr>
        <w:tc>
          <w:tcPr>
            <w:tcW w:w="10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5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1260" w:type="dxa"/>
            <w:vAlign w:val="bottom"/>
            <w:tcBorders>
              <w:top w:val="single" w:sz="8" w:color="0000EE"/>
            </w:tcBorders>
          </w:tcPr>
          <w:p>
            <w:pPr>
              <w:spacing w:after="0"/>
              <w:rPr>
                <w:sz w:val="12"/>
                <w:szCs w:val="12"/>
                <w:color w:val="auto"/>
              </w:rPr>
            </w:pPr>
          </w:p>
        </w:tc>
        <w:tc>
          <w:tcPr>
            <w:tcW w:w="680" w:type="dxa"/>
            <w:vAlign w:val="bottom"/>
            <w:tcBorders>
              <w:top w:val="single" w:sz="8" w:color="0000EE"/>
            </w:tcBorders>
          </w:tcPr>
          <w:p>
            <w:pPr>
              <w:spacing w:after="0"/>
              <w:rPr>
                <w:sz w:val="12"/>
                <w:szCs w:val="12"/>
                <w:color w:val="auto"/>
              </w:rPr>
            </w:pPr>
          </w:p>
        </w:tc>
        <w:tc>
          <w:tcPr>
            <w:tcW w:w="1060" w:type="dxa"/>
            <w:vAlign w:val="bottom"/>
            <w:tcBorders>
              <w:top w:val="single" w:sz="8" w:color="0000EE"/>
            </w:tcBorders>
          </w:tcPr>
          <w:p>
            <w:pPr>
              <w:spacing w:after="0"/>
              <w:rPr>
                <w:sz w:val="12"/>
                <w:szCs w:val="12"/>
                <w:color w:val="auto"/>
              </w:rPr>
            </w:pPr>
          </w:p>
        </w:tc>
        <w:tc>
          <w:tcPr>
            <w:tcW w:w="1120" w:type="dxa"/>
            <w:vAlign w:val="bottom"/>
            <w:tcBorders>
              <w:top w:val="single" w:sz="8" w:color="0000EE"/>
            </w:tcBorders>
          </w:tcPr>
          <w:p>
            <w:pPr>
              <w:spacing w:after="0"/>
              <w:rPr>
                <w:sz w:val="12"/>
                <w:szCs w:val="12"/>
                <w:color w:val="auto"/>
              </w:rPr>
            </w:pPr>
          </w:p>
        </w:tc>
        <w:tc>
          <w:tcPr>
            <w:tcW w:w="1480" w:type="dxa"/>
            <w:vAlign w:val="bottom"/>
            <w:tcBorders>
              <w:top w:val="single" w:sz="8" w:color="0000EE"/>
            </w:tcBorders>
          </w:tcPr>
          <w:p>
            <w:pPr>
              <w:spacing w:after="0"/>
              <w:rPr>
                <w:sz w:val="12"/>
                <w:szCs w:val="12"/>
                <w:color w:val="auto"/>
              </w:rPr>
            </w:pPr>
          </w:p>
        </w:tc>
        <w:tc>
          <w:tcPr>
            <w:tcW w:w="200" w:type="dxa"/>
            <w:vAlign w:val="bottom"/>
            <w:tcBorders>
              <w:top w:val="single" w:sz="8" w:color="0000EE"/>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3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r>
      <w:tr>
        <w:trPr>
          <w:trHeight w:val="123"/>
        </w:trPr>
        <w:tc>
          <w:tcPr>
            <w:tcW w:w="1060" w:type="dxa"/>
            <w:vAlign w:val="bottom"/>
            <w:tcBorders>
              <w:bottom w:val="single" w:sz="8" w:color="CCEEFF"/>
            </w:tcBorders>
            <w:shd w:val="clear" w:color="auto" w:fill="CCEEFF"/>
          </w:tcPr>
          <w:p>
            <w:pPr>
              <w:jc w:val="center"/>
              <w:spacing w:after="0" w:line="123" w:lineRule="exact"/>
              <w:rPr>
                <w:sz w:val="20"/>
                <w:szCs w:val="20"/>
                <w:color w:val="auto"/>
              </w:rPr>
            </w:pPr>
            <w:r>
              <w:rPr>
                <w:rFonts w:ascii="Arial" w:cs="Arial" w:eastAsia="Arial" w:hAnsi="Arial"/>
                <w:sz w:val="13"/>
                <w:szCs w:val="13"/>
                <w:color w:val="auto"/>
                <w:w w:val="95"/>
              </w:rPr>
              <w:t>10.35†</w:t>
            </w:r>
          </w:p>
        </w:tc>
        <w:tc>
          <w:tcPr>
            <w:tcW w:w="220" w:type="dxa"/>
            <w:vAlign w:val="bottom"/>
            <w:tcBorders>
              <w:bottom w:val="single" w:sz="8" w:color="CCEEFF"/>
              <w:right w:val="single" w:sz="8" w:color="CCEEFF"/>
            </w:tcBorders>
            <w:shd w:val="clear" w:color="auto" w:fill="CCEEFF"/>
          </w:tcPr>
          <w:p>
            <w:pPr>
              <w:spacing w:after="0"/>
              <w:rPr>
                <w:sz w:val="10"/>
                <w:szCs w:val="10"/>
                <w:color w:val="auto"/>
              </w:rPr>
            </w:pPr>
          </w:p>
        </w:tc>
        <w:tc>
          <w:tcPr>
            <w:tcW w:w="7660" w:type="dxa"/>
            <w:vAlign w:val="bottom"/>
            <w:tcBorders>
              <w:bottom w:val="single" w:sz="8" w:color="0000EE"/>
            </w:tcBorders>
            <w:gridSpan w:val="13"/>
            <w:shd w:val="clear" w:color="auto" w:fill="CCEEFF"/>
          </w:tcPr>
          <w:p>
            <w:pPr>
              <w:spacing w:after="0" w:line="123" w:lineRule="exact"/>
              <w:rPr>
                <w:rFonts w:ascii="Arial" w:cs="Arial" w:eastAsia="Arial" w:hAnsi="Arial"/>
                <w:sz w:val="13"/>
                <w:szCs w:val="13"/>
                <w:color w:val="0000EE"/>
              </w:rPr>
            </w:pPr>
            <w:hyperlink r:id="rId167">
              <w:r>
                <w:rPr>
                  <w:rFonts w:ascii="Arial" w:cs="Arial" w:eastAsia="Arial" w:hAnsi="Arial"/>
                  <w:sz w:val="13"/>
                  <w:szCs w:val="13"/>
                  <w:color w:val="0000EE"/>
                </w:rPr>
                <w:t>Form of Senior Executive Employment Agreement (incorporated herein by reference to Exhibit 10.1 to the Current Report on Form 8-</w:t>
              </w:r>
            </w:hyperlink>
          </w:p>
        </w:tc>
      </w:tr>
      <w:tr>
        <w:trPr>
          <w:trHeight w:val="124"/>
        </w:trPr>
        <w:tc>
          <w:tcPr>
            <w:tcW w:w="106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7660" w:type="dxa"/>
            <w:vAlign w:val="bottom"/>
            <w:gridSpan w:val="13"/>
            <w:shd w:val="clear" w:color="auto" w:fill="CCEEFF"/>
          </w:tcPr>
          <w:p>
            <w:pPr>
              <w:spacing w:after="0" w:line="124" w:lineRule="exact"/>
              <w:rPr>
                <w:rFonts w:ascii="Arial" w:cs="Arial" w:eastAsia="Arial" w:hAnsi="Arial"/>
                <w:sz w:val="13"/>
                <w:szCs w:val="13"/>
                <w:color w:val="0000EE"/>
              </w:rPr>
            </w:pPr>
            <w:hyperlink r:id="rId167">
              <w:r>
                <w:rPr>
                  <w:rFonts w:ascii="Arial" w:cs="Arial" w:eastAsia="Arial" w:hAnsi="Arial"/>
                  <w:sz w:val="13"/>
                  <w:szCs w:val="13"/>
                  <w:color w:val="0000EE"/>
                </w:rPr>
                <w:t>K dated April 20, 2015 filed on April 20, 2015).</w:t>
              </w:r>
            </w:hyperlink>
          </w:p>
        </w:tc>
      </w:tr>
      <w:tr>
        <w:trPr>
          <w:trHeight w:val="144"/>
        </w:trPr>
        <w:tc>
          <w:tcPr>
            <w:tcW w:w="10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5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1260" w:type="dxa"/>
            <w:vAlign w:val="bottom"/>
            <w:tcBorders>
              <w:top w:val="single" w:sz="8" w:color="0000EE"/>
            </w:tcBorders>
          </w:tcPr>
          <w:p>
            <w:pPr>
              <w:spacing w:after="0"/>
              <w:rPr>
                <w:sz w:val="12"/>
                <w:szCs w:val="12"/>
                <w:color w:val="auto"/>
              </w:rPr>
            </w:pPr>
          </w:p>
        </w:tc>
        <w:tc>
          <w:tcPr>
            <w:tcW w:w="680" w:type="dxa"/>
            <w:vAlign w:val="bottom"/>
            <w:tcBorders>
              <w:top w:val="single" w:sz="8" w:color="0000EE"/>
            </w:tcBorders>
          </w:tcPr>
          <w:p>
            <w:pPr>
              <w:spacing w:after="0"/>
              <w:rPr>
                <w:sz w:val="12"/>
                <w:szCs w:val="12"/>
                <w:color w:val="auto"/>
              </w:rPr>
            </w:pPr>
          </w:p>
        </w:tc>
        <w:tc>
          <w:tcPr>
            <w:tcW w:w="106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148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3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r>
      <w:tr>
        <w:trPr>
          <w:trHeight w:val="123"/>
        </w:trPr>
        <w:tc>
          <w:tcPr>
            <w:tcW w:w="1060" w:type="dxa"/>
            <w:vAlign w:val="bottom"/>
            <w:tcBorders>
              <w:bottom w:val="single" w:sz="8" w:color="CCEEFF"/>
            </w:tcBorders>
            <w:shd w:val="clear" w:color="auto" w:fill="CCEEFF"/>
          </w:tcPr>
          <w:p>
            <w:pPr>
              <w:jc w:val="center"/>
              <w:spacing w:after="0" w:line="123" w:lineRule="exact"/>
              <w:rPr>
                <w:sz w:val="20"/>
                <w:szCs w:val="20"/>
                <w:color w:val="auto"/>
              </w:rPr>
            </w:pPr>
            <w:r>
              <w:rPr>
                <w:rFonts w:ascii="Arial" w:cs="Arial" w:eastAsia="Arial" w:hAnsi="Arial"/>
                <w:sz w:val="13"/>
                <w:szCs w:val="13"/>
                <w:color w:val="auto"/>
                <w:w w:val="95"/>
              </w:rPr>
              <w:t>10.36†</w:t>
            </w:r>
          </w:p>
        </w:tc>
        <w:tc>
          <w:tcPr>
            <w:tcW w:w="220" w:type="dxa"/>
            <w:vAlign w:val="bottom"/>
            <w:tcBorders>
              <w:bottom w:val="single" w:sz="8" w:color="CCEEFF"/>
              <w:right w:val="single" w:sz="8" w:color="CCEEFF"/>
            </w:tcBorders>
            <w:shd w:val="clear" w:color="auto" w:fill="CCEEFF"/>
          </w:tcPr>
          <w:p>
            <w:pPr>
              <w:spacing w:after="0"/>
              <w:rPr>
                <w:sz w:val="10"/>
                <w:szCs w:val="10"/>
                <w:color w:val="auto"/>
              </w:rPr>
            </w:pPr>
          </w:p>
        </w:tc>
        <w:tc>
          <w:tcPr>
            <w:tcW w:w="7660" w:type="dxa"/>
            <w:vAlign w:val="bottom"/>
            <w:tcBorders>
              <w:bottom w:val="single" w:sz="8" w:color="0000EE"/>
            </w:tcBorders>
            <w:gridSpan w:val="13"/>
            <w:shd w:val="clear" w:color="auto" w:fill="CCEEFF"/>
          </w:tcPr>
          <w:p>
            <w:pPr>
              <w:spacing w:after="0" w:line="123" w:lineRule="exact"/>
              <w:rPr>
                <w:rFonts w:ascii="Arial" w:cs="Arial" w:eastAsia="Arial" w:hAnsi="Arial"/>
                <w:sz w:val="13"/>
                <w:szCs w:val="13"/>
                <w:color w:val="0000EE"/>
              </w:rPr>
            </w:pPr>
            <w:hyperlink r:id="rId168">
              <w:r>
                <w:rPr>
                  <w:rFonts w:ascii="Arial" w:cs="Arial" w:eastAsia="Arial" w:hAnsi="Arial"/>
                  <w:sz w:val="13"/>
                  <w:szCs w:val="13"/>
                  <w:color w:val="0000EE"/>
                </w:rPr>
                <w:t>Form of Executive Employment Agreement (incorporated herein by reference to Exhibit 10.19 to the Annual Report on Form 10-K for</w:t>
              </w:r>
            </w:hyperlink>
          </w:p>
        </w:tc>
      </w:tr>
      <w:tr>
        <w:trPr>
          <w:trHeight w:val="124"/>
        </w:trPr>
        <w:tc>
          <w:tcPr>
            <w:tcW w:w="1060" w:type="dxa"/>
            <w:vAlign w:val="bottom"/>
            <w:shd w:val="clear" w:color="auto" w:fill="CCEEFF"/>
          </w:tcPr>
          <w:p>
            <w:pPr>
              <w:spacing w:after="0"/>
              <w:rPr>
                <w:sz w:val="10"/>
                <w:szCs w:val="10"/>
                <w:color w:val="auto"/>
              </w:rPr>
            </w:pPr>
          </w:p>
        </w:tc>
        <w:tc>
          <w:tcPr>
            <w:tcW w:w="220" w:type="dxa"/>
            <w:vAlign w:val="bottom"/>
            <w:tcBorders>
              <w:right w:val="single" w:sz="8" w:color="CCEEFF"/>
            </w:tcBorders>
            <w:shd w:val="clear" w:color="auto" w:fill="CCEEFF"/>
          </w:tcPr>
          <w:p>
            <w:pPr>
              <w:spacing w:after="0"/>
              <w:rPr>
                <w:sz w:val="10"/>
                <w:szCs w:val="10"/>
                <w:color w:val="auto"/>
              </w:rPr>
            </w:pPr>
          </w:p>
        </w:tc>
        <w:tc>
          <w:tcPr>
            <w:tcW w:w="7660" w:type="dxa"/>
            <w:vAlign w:val="bottom"/>
            <w:gridSpan w:val="13"/>
            <w:shd w:val="clear" w:color="auto" w:fill="CCEEFF"/>
          </w:tcPr>
          <w:p>
            <w:pPr>
              <w:spacing w:after="0" w:line="124" w:lineRule="exact"/>
              <w:rPr>
                <w:rFonts w:ascii="Arial" w:cs="Arial" w:eastAsia="Arial" w:hAnsi="Arial"/>
                <w:sz w:val="13"/>
                <w:szCs w:val="13"/>
                <w:color w:val="0000EE"/>
              </w:rPr>
            </w:pPr>
            <w:hyperlink r:id="rId168">
              <w:r>
                <w:rPr>
                  <w:rFonts w:ascii="Arial" w:cs="Arial" w:eastAsia="Arial" w:hAnsi="Arial"/>
                  <w:sz w:val="13"/>
                  <w:szCs w:val="13"/>
                  <w:color w:val="0000EE"/>
                </w:rPr>
                <w:t>the fiscal year ended January 30, 2016 filed on March 24, 2016).</w:t>
              </w:r>
            </w:hyperlink>
          </w:p>
        </w:tc>
      </w:tr>
      <w:tr>
        <w:trPr>
          <w:trHeight w:val="144"/>
        </w:trPr>
        <w:tc>
          <w:tcPr>
            <w:tcW w:w="106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140" w:type="dxa"/>
            <w:vAlign w:val="bottom"/>
            <w:tcBorders>
              <w:top w:val="single" w:sz="8" w:color="0000EE"/>
            </w:tcBorders>
          </w:tcPr>
          <w:p>
            <w:pPr>
              <w:spacing w:after="0"/>
              <w:rPr>
                <w:sz w:val="12"/>
                <w:szCs w:val="12"/>
                <w:color w:val="auto"/>
              </w:rPr>
            </w:pPr>
          </w:p>
        </w:tc>
        <w:tc>
          <w:tcPr>
            <w:tcW w:w="540" w:type="dxa"/>
            <w:vAlign w:val="bottom"/>
            <w:tcBorders>
              <w:top w:val="single" w:sz="8" w:color="0000EE"/>
            </w:tcBorders>
          </w:tcPr>
          <w:p>
            <w:pPr>
              <w:spacing w:after="0"/>
              <w:rPr>
                <w:sz w:val="12"/>
                <w:szCs w:val="12"/>
                <w:color w:val="auto"/>
              </w:rPr>
            </w:pPr>
          </w:p>
        </w:tc>
        <w:tc>
          <w:tcPr>
            <w:tcW w:w="20" w:type="dxa"/>
            <w:vAlign w:val="bottom"/>
            <w:tcBorders>
              <w:top w:val="single" w:sz="8" w:color="0000EE"/>
            </w:tcBorders>
          </w:tcPr>
          <w:p>
            <w:pPr>
              <w:spacing w:after="0"/>
              <w:rPr>
                <w:sz w:val="12"/>
                <w:szCs w:val="12"/>
                <w:color w:val="auto"/>
              </w:rPr>
            </w:pPr>
          </w:p>
        </w:tc>
        <w:tc>
          <w:tcPr>
            <w:tcW w:w="1260" w:type="dxa"/>
            <w:vAlign w:val="bottom"/>
            <w:tcBorders>
              <w:top w:val="single" w:sz="8" w:color="0000EE"/>
            </w:tcBorders>
          </w:tcPr>
          <w:p>
            <w:pPr>
              <w:spacing w:after="0"/>
              <w:rPr>
                <w:sz w:val="12"/>
                <w:szCs w:val="12"/>
                <w:color w:val="auto"/>
              </w:rPr>
            </w:pPr>
          </w:p>
        </w:tc>
        <w:tc>
          <w:tcPr>
            <w:tcW w:w="680" w:type="dxa"/>
            <w:vAlign w:val="bottom"/>
            <w:tcBorders>
              <w:top w:val="single" w:sz="8" w:color="0000EE"/>
            </w:tcBorders>
          </w:tcPr>
          <w:p>
            <w:pPr>
              <w:spacing w:after="0"/>
              <w:rPr>
                <w:sz w:val="12"/>
                <w:szCs w:val="12"/>
                <w:color w:val="auto"/>
              </w:rPr>
            </w:pPr>
          </w:p>
        </w:tc>
        <w:tc>
          <w:tcPr>
            <w:tcW w:w="1060" w:type="dxa"/>
            <w:vAlign w:val="bottom"/>
            <w:tcBorders>
              <w:top w:val="single" w:sz="8" w:color="0000EE"/>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148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34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3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r>
      <w:tr>
        <w:trPr>
          <w:trHeight w:val="123"/>
        </w:trPr>
        <w:tc>
          <w:tcPr>
            <w:tcW w:w="1060" w:type="dxa"/>
            <w:vAlign w:val="bottom"/>
            <w:shd w:val="clear" w:color="auto" w:fill="CCEEFF"/>
          </w:tcPr>
          <w:p>
            <w:pPr>
              <w:jc w:val="center"/>
              <w:spacing w:after="0" w:line="123" w:lineRule="exact"/>
              <w:rPr>
                <w:sz w:val="20"/>
                <w:szCs w:val="20"/>
                <w:color w:val="auto"/>
              </w:rPr>
            </w:pPr>
            <w:r>
              <w:rPr>
                <w:rFonts w:ascii="Arial" w:cs="Arial" w:eastAsia="Arial" w:hAnsi="Arial"/>
                <w:sz w:val="13"/>
                <w:szCs w:val="13"/>
                <w:color w:val="auto"/>
                <w:w w:val="95"/>
              </w:rPr>
              <w:t>10.37†</w:t>
            </w:r>
          </w:p>
        </w:tc>
        <w:tc>
          <w:tcPr>
            <w:tcW w:w="220" w:type="dxa"/>
            <w:vAlign w:val="bottom"/>
            <w:tcBorders>
              <w:right w:val="single" w:sz="8" w:color="CCEEFF"/>
            </w:tcBorders>
            <w:shd w:val="clear" w:color="auto" w:fill="CCEEFF"/>
          </w:tcPr>
          <w:p>
            <w:pPr>
              <w:spacing w:after="0"/>
              <w:rPr>
                <w:sz w:val="10"/>
                <w:szCs w:val="10"/>
                <w:color w:val="auto"/>
              </w:rPr>
            </w:pPr>
          </w:p>
        </w:tc>
        <w:tc>
          <w:tcPr>
            <w:tcW w:w="7660" w:type="dxa"/>
            <w:vAlign w:val="bottom"/>
            <w:gridSpan w:val="13"/>
            <w:shd w:val="clear" w:color="auto" w:fill="CCEEFF"/>
          </w:tcPr>
          <w:p>
            <w:pPr>
              <w:spacing w:after="0" w:line="123" w:lineRule="exact"/>
              <w:rPr>
                <w:rFonts w:ascii="Arial" w:cs="Arial" w:eastAsia="Arial" w:hAnsi="Arial"/>
                <w:sz w:val="13"/>
                <w:szCs w:val="13"/>
                <w:color w:val="0000EE"/>
              </w:rPr>
            </w:pPr>
            <w:hyperlink r:id="rId169">
              <w:r>
                <w:rPr>
                  <w:rFonts w:ascii="Arial" w:cs="Arial" w:eastAsia="Arial" w:hAnsi="Arial"/>
                  <w:sz w:val="13"/>
                  <w:szCs w:val="13"/>
                  <w:color w:val="0000EE"/>
                </w:rPr>
                <w:t>Agreement, dated July 28, 2020, between the Registrant and Stephen D. Jacobs (incorporated herein by reference to Exhibit 99.1 to</w:t>
              </w:r>
            </w:hyperlink>
          </w:p>
        </w:tc>
      </w:tr>
      <w:tr>
        <w:trPr>
          <w:trHeight w:val="124"/>
        </w:trPr>
        <w:tc>
          <w:tcPr>
            <w:tcW w:w="106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right w:val="single" w:sz="8" w:color="CCEEFF"/>
            </w:tcBorders>
            <w:shd w:val="clear" w:color="auto" w:fill="CCEEFF"/>
          </w:tcPr>
          <w:p>
            <w:pPr>
              <w:spacing w:after="0"/>
              <w:rPr>
                <w:sz w:val="10"/>
                <w:szCs w:val="10"/>
                <w:color w:val="auto"/>
              </w:rPr>
            </w:pPr>
          </w:p>
        </w:tc>
        <w:tc>
          <w:tcPr>
            <w:tcW w:w="7640" w:type="dxa"/>
            <w:vAlign w:val="bottom"/>
            <w:tcBorders>
              <w:top w:val="single" w:sz="8" w:color="0000EE"/>
            </w:tcBorders>
            <w:gridSpan w:val="12"/>
            <w:shd w:val="clear" w:color="auto" w:fill="CCEEFF"/>
          </w:tcPr>
          <w:p>
            <w:pPr>
              <w:spacing w:after="0" w:line="124" w:lineRule="exact"/>
              <w:rPr>
                <w:rFonts w:ascii="Arial" w:cs="Arial" w:eastAsia="Arial" w:hAnsi="Arial"/>
                <w:sz w:val="13"/>
                <w:szCs w:val="13"/>
                <w:color w:val="0000EE"/>
              </w:rPr>
            </w:pPr>
            <w:hyperlink r:id="rId169">
              <w:r>
                <w:rPr>
                  <w:rFonts w:ascii="Arial" w:cs="Arial" w:eastAsia="Arial" w:hAnsi="Arial"/>
                  <w:sz w:val="13"/>
                  <w:szCs w:val="13"/>
                  <w:color w:val="0000EE"/>
                </w:rPr>
                <w:t>the Current Report on Form 8-K dated September 1, 2020 filed September 4, 2020).</w:t>
              </w:r>
            </w:hyperlink>
          </w:p>
        </w:tc>
        <w:tc>
          <w:tcPr>
            <w:tcW w:w="20" w:type="dxa"/>
            <w:vAlign w:val="bottom"/>
            <w:tcBorders>
              <w:top w:val="single" w:sz="8" w:color="CCEEFF"/>
            </w:tcBorders>
            <w:shd w:val="clear" w:color="auto" w:fill="CCEEFF"/>
          </w:tcPr>
          <w:p>
            <w:pPr>
              <w:spacing w:after="0"/>
              <w:rPr>
                <w:sz w:val="10"/>
                <w:szCs w:val="10"/>
                <w:color w:val="auto"/>
              </w:rPr>
            </w:pPr>
          </w:p>
        </w:tc>
      </w:tr>
      <w:tr>
        <w:trPr>
          <w:trHeight w:val="21"/>
        </w:trPr>
        <w:tc>
          <w:tcPr>
            <w:tcW w:w="10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bl>
    <w:p>
      <w:pPr>
        <w:spacing w:after="0" w:line="149" w:lineRule="exact"/>
        <w:rPr>
          <w:sz w:val="20"/>
          <w:szCs w:val="20"/>
          <w:color w:val="auto"/>
        </w:rPr>
      </w:pPr>
    </w:p>
    <w:p>
      <w:pPr>
        <w:jc w:val="right"/>
        <w:ind w:right="39"/>
        <w:spacing w:after="0"/>
        <w:rPr>
          <w:sz w:val="20"/>
          <w:szCs w:val="20"/>
          <w:color w:val="auto"/>
        </w:rPr>
      </w:pPr>
      <w:r>
        <w:rPr>
          <w:rFonts w:ascii="Arial" w:cs="Arial" w:eastAsia="Arial" w:hAnsi="Arial"/>
          <w:sz w:val="13"/>
          <w:szCs w:val="13"/>
          <w:color w:val="auto"/>
        </w:rPr>
        <w:t>2020 Form 10-K Page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357505</wp:posOffset>
            </wp:positionV>
            <wp:extent cx="5680075" cy="133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0">
                      <a:extLst>
                        <a:ext uri="{28A0092B-C50C-407E-A947-70E740481C1C}"/>
                      </a:extLst>
                    </a:blip>
                    <a:srcRect/>
                    <a:stretch>
                      <a:fillRect/>
                    </a:stretch>
                  </pic:blipFill>
                  <pic:spPr bwMode="auto">
                    <a:xfrm>
                      <a:off x="0" y="0"/>
                      <a:ext cx="5680075" cy="13335"/>
                    </a:xfrm>
                    <a:prstGeom prst="rect">
                      <a:avLst/>
                    </a:prstGeom>
                    <a:noFill/>
                  </pic:spPr>
                </pic:pic>
              </a:graphicData>
            </a:graphic>
          </wp:anchor>
        </w:drawing>
      </w:r>
    </w:p>
    <w:p>
      <w:pPr>
        <w:sectPr>
          <w:pgSz w:w="11900" w:h="16838" w:orient="portrait"/>
          <w:cols w:equalWidth="0" w:num="1">
            <w:col w:w="9019"/>
          </w:cols>
          <w:pgMar w:left="1440" w:top="570" w:right="1440" w:bottom="1440" w:gutter="0" w:footer="0" w:header="0"/>
        </w:sectPr>
      </w:pPr>
    </w:p>
    <w:bookmarkStart w:id="83" w:name="page84"/>
    <w:bookmarkEnd w:id="83"/>
    <w:tbl>
      <w:tblPr>
        <w:tblLayout w:type="fixed"/>
        <w:tblInd w:w="40" w:type="dxa"/>
        <w:tblCellMar>
          <w:top w:w="0" w:type="dxa"/>
          <w:left w:w="0" w:type="dxa"/>
          <w:bottom w:w="0" w:type="dxa"/>
          <w:right w:w="0" w:type="dxa"/>
        </w:tblCellMar>
      </w:tblPr>
      <w:tr>
        <w:trPr>
          <w:trHeight w:val="164"/>
        </w:trPr>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Exhibit No.</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2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Description</w:t>
            </w:r>
          </w:p>
        </w:tc>
      </w:tr>
      <w:tr>
        <w:trPr>
          <w:trHeight w:val="114"/>
        </w:trPr>
        <w:tc>
          <w:tcPr>
            <w:tcW w:w="1060" w:type="dxa"/>
            <w:vAlign w:val="bottom"/>
            <w:shd w:val="clear" w:color="auto" w:fill="CCEEFF"/>
          </w:tcPr>
          <w:p>
            <w:pPr>
              <w:jc w:val="center"/>
              <w:spacing w:after="0" w:line="113" w:lineRule="exact"/>
              <w:rPr>
                <w:sz w:val="20"/>
                <w:szCs w:val="20"/>
                <w:color w:val="auto"/>
              </w:rPr>
            </w:pPr>
            <w:r>
              <w:rPr>
                <w:rFonts w:ascii="Arial" w:cs="Arial" w:eastAsia="Arial" w:hAnsi="Arial"/>
                <w:sz w:val="13"/>
                <w:szCs w:val="13"/>
                <w:color w:val="auto"/>
                <w:w w:val="91"/>
              </w:rPr>
              <w:t>21*</w:t>
            </w:r>
          </w:p>
        </w:tc>
        <w:tc>
          <w:tcPr>
            <w:tcW w:w="2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7660" w:type="dxa"/>
            <w:vAlign w:val="bottom"/>
            <w:gridSpan w:val="6"/>
            <w:shd w:val="clear" w:color="auto" w:fill="CCEEFF"/>
          </w:tcPr>
          <w:p>
            <w:pPr>
              <w:spacing w:after="0" w:line="113" w:lineRule="exact"/>
              <w:rPr>
                <w:rFonts w:ascii="Arial" w:cs="Arial" w:eastAsia="Arial" w:hAnsi="Arial"/>
                <w:sz w:val="13"/>
                <w:szCs w:val="13"/>
                <w:color w:val="0000EE"/>
              </w:rPr>
            </w:pPr>
            <w:hyperlink w:anchor="page105">
              <w:r>
                <w:rPr>
                  <w:rFonts w:ascii="Arial" w:cs="Arial" w:eastAsia="Arial" w:hAnsi="Arial"/>
                  <w:sz w:val="13"/>
                  <w:szCs w:val="13"/>
                  <w:color w:val="0000EE"/>
                </w:rPr>
                <w:t>Subsidiaries of the Registrant.</w:t>
              </w:r>
            </w:hyperlink>
          </w:p>
        </w:tc>
      </w:tr>
      <w:tr>
        <w:trPr>
          <w:trHeight w:val="144"/>
        </w:trPr>
        <w:tc>
          <w:tcPr>
            <w:tcW w:w="106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720" w:type="dxa"/>
            <w:vAlign w:val="bottom"/>
            <w:tcBorders>
              <w:top w:val="single" w:sz="8" w:color="0000EE"/>
            </w:tcBorders>
          </w:tcPr>
          <w:p>
            <w:pPr>
              <w:spacing w:after="0"/>
              <w:rPr>
                <w:sz w:val="12"/>
                <w:szCs w:val="12"/>
                <w:color w:val="auto"/>
              </w:rPr>
            </w:pPr>
          </w:p>
        </w:tc>
        <w:tc>
          <w:tcPr>
            <w:tcW w:w="1000" w:type="dxa"/>
            <w:vAlign w:val="bottom"/>
            <w:tcBorders>
              <w:top w:val="single" w:sz="8" w:color="CCEEFF"/>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c>
          <w:tcPr>
            <w:tcW w:w="21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20" w:type="dxa"/>
            <w:vAlign w:val="bottom"/>
            <w:tcBorders>
              <w:top w:val="single" w:sz="8" w:color="CCEEFF"/>
            </w:tcBorders>
          </w:tcPr>
          <w:p>
            <w:pPr>
              <w:spacing w:after="0"/>
              <w:rPr>
                <w:sz w:val="12"/>
                <w:szCs w:val="12"/>
                <w:color w:val="auto"/>
              </w:rPr>
            </w:pPr>
          </w:p>
        </w:tc>
      </w:tr>
      <w:tr>
        <w:trPr>
          <w:trHeight w:val="124"/>
        </w:trPr>
        <w:tc>
          <w:tcPr>
            <w:tcW w:w="1060" w:type="dxa"/>
            <w:vAlign w:val="bottom"/>
            <w:shd w:val="clear" w:color="auto" w:fill="CCEEFF"/>
          </w:tcPr>
          <w:p>
            <w:pPr>
              <w:jc w:val="center"/>
              <w:spacing w:after="0" w:line="123" w:lineRule="exact"/>
              <w:rPr>
                <w:sz w:val="20"/>
                <w:szCs w:val="20"/>
                <w:color w:val="auto"/>
              </w:rPr>
            </w:pPr>
            <w:r>
              <w:rPr>
                <w:rFonts w:ascii="Arial" w:cs="Arial" w:eastAsia="Arial" w:hAnsi="Arial"/>
                <w:sz w:val="13"/>
                <w:szCs w:val="13"/>
                <w:color w:val="auto"/>
                <w:w w:val="91"/>
              </w:rPr>
              <w:t>23*</w:t>
            </w:r>
          </w:p>
        </w:tc>
        <w:tc>
          <w:tcPr>
            <w:tcW w:w="200" w:type="dxa"/>
            <w:vAlign w:val="bottom"/>
            <w:shd w:val="clear" w:color="auto" w:fill="CCEEFF"/>
          </w:tcPr>
          <w:p>
            <w:pPr>
              <w:spacing w:after="0"/>
              <w:rPr>
                <w:sz w:val="10"/>
                <w:szCs w:val="10"/>
                <w:color w:val="auto"/>
              </w:rPr>
            </w:pPr>
          </w:p>
        </w:tc>
        <w:tc>
          <w:tcPr>
            <w:tcW w:w="7680" w:type="dxa"/>
            <w:vAlign w:val="bottom"/>
            <w:gridSpan w:val="7"/>
            <w:shd w:val="clear" w:color="auto" w:fill="CCEEFF"/>
          </w:tcPr>
          <w:p>
            <w:pPr>
              <w:spacing w:after="0" w:line="123" w:lineRule="exact"/>
              <w:rPr>
                <w:rFonts w:ascii="Arial" w:cs="Arial" w:eastAsia="Arial" w:hAnsi="Arial"/>
                <w:sz w:val="13"/>
                <w:szCs w:val="13"/>
                <w:color w:val="0000EE"/>
              </w:rPr>
            </w:pPr>
            <w:hyperlink w:anchor="page95">
              <w:r>
                <w:rPr>
                  <w:rFonts w:ascii="Arial" w:cs="Arial" w:eastAsia="Arial" w:hAnsi="Arial"/>
                  <w:sz w:val="13"/>
                  <w:szCs w:val="13"/>
                  <w:color w:val="0000EE"/>
                </w:rPr>
                <w:t>Consent of Independent Registered Public Accounting Firm.</w:t>
              </w:r>
            </w:hyperlink>
          </w:p>
        </w:tc>
      </w:tr>
      <w:tr>
        <w:trPr>
          <w:trHeight w:val="144"/>
        </w:trPr>
        <w:tc>
          <w:tcPr>
            <w:tcW w:w="106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720" w:type="dxa"/>
            <w:vAlign w:val="bottom"/>
            <w:tcBorders>
              <w:top w:val="single" w:sz="8" w:color="0000EE"/>
            </w:tcBorders>
          </w:tcPr>
          <w:p>
            <w:pPr>
              <w:spacing w:after="0"/>
              <w:rPr>
                <w:sz w:val="12"/>
                <w:szCs w:val="12"/>
                <w:color w:val="auto"/>
              </w:rPr>
            </w:pPr>
          </w:p>
        </w:tc>
        <w:tc>
          <w:tcPr>
            <w:tcW w:w="1000" w:type="dxa"/>
            <w:vAlign w:val="bottom"/>
            <w:tcBorders>
              <w:top w:val="single" w:sz="8" w:color="0000EE"/>
            </w:tcBorders>
          </w:tcPr>
          <w:p>
            <w:pPr>
              <w:spacing w:after="0"/>
              <w:rPr>
                <w:sz w:val="12"/>
                <w:szCs w:val="12"/>
                <w:color w:val="auto"/>
              </w:rPr>
            </w:pPr>
          </w:p>
        </w:tc>
        <w:tc>
          <w:tcPr>
            <w:tcW w:w="720" w:type="dxa"/>
            <w:vAlign w:val="bottom"/>
            <w:tcBorders>
              <w:top w:val="single" w:sz="8" w:color="0000EE"/>
            </w:tcBorders>
          </w:tcPr>
          <w:p>
            <w:pPr>
              <w:spacing w:after="0"/>
              <w:rPr>
                <w:sz w:val="12"/>
                <w:szCs w:val="12"/>
                <w:color w:val="auto"/>
              </w:rPr>
            </w:pPr>
          </w:p>
        </w:tc>
        <w:tc>
          <w:tcPr>
            <w:tcW w:w="21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20" w:type="dxa"/>
            <w:vAlign w:val="bottom"/>
            <w:tcBorders>
              <w:top w:val="single" w:sz="8" w:color="CCEEFF"/>
            </w:tcBorders>
          </w:tcPr>
          <w:p>
            <w:pPr>
              <w:spacing w:after="0"/>
              <w:rPr>
                <w:sz w:val="12"/>
                <w:szCs w:val="12"/>
                <w:color w:val="auto"/>
              </w:rPr>
            </w:pPr>
          </w:p>
        </w:tc>
      </w:tr>
      <w:tr>
        <w:trPr>
          <w:trHeight w:val="124"/>
        </w:trPr>
        <w:tc>
          <w:tcPr>
            <w:tcW w:w="1060" w:type="dxa"/>
            <w:vAlign w:val="bottom"/>
            <w:shd w:val="clear" w:color="auto" w:fill="CCEEFF"/>
          </w:tcPr>
          <w:p>
            <w:pPr>
              <w:jc w:val="center"/>
              <w:spacing w:after="0" w:line="123" w:lineRule="exact"/>
              <w:rPr>
                <w:sz w:val="20"/>
                <w:szCs w:val="20"/>
                <w:color w:val="auto"/>
              </w:rPr>
            </w:pPr>
            <w:r>
              <w:rPr>
                <w:rFonts w:ascii="Arial" w:cs="Arial" w:eastAsia="Arial" w:hAnsi="Arial"/>
                <w:sz w:val="13"/>
                <w:szCs w:val="13"/>
                <w:color w:val="auto"/>
                <w:w w:val="98"/>
              </w:rPr>
              <w:t>31.1*</w:t>
            </w:r>
          </w:p>
        </w:tc>
        <w:tc>
          <w:tcPr>
            <w:tcW w:w="200" w:type="dxa"/>
            <w:vAlign w:val="bottom"/>
            <w:shd w:val="clear" w:color="auto" w:fill="CCEEFF"/>
          </w:tcPr>
          <w:p>
            <w:pPr>
              <w:spacing w:after="0"/>
              <w:rPr>
                <w:sz w:val="10"/>
                <w:szCs w:val="10"/>
                <w:color w:val="auto"/>
              </w:rPr>
            </w:pPr>
          </w:p>
        </w:tc>
        <w:tc>
          <w:tcPr>
            <w:tcW w:w="7680" w:type="dxa"/>
            <w:vAlign w:val="bottom"/>
            <w:gridSpan w:val="7"/>
            <w:shd w:val="clear" w:color="auto" w:fill="CCEEFF"/>
          </w:tcPr>
          <w:p>
            <w:pPr>
              <w:spacing w:after="0" w:line="123" w:lineRule="exact"/>
              <w:rPr>
                <w:rFonts w:ascii="Arial" w:cs="Arial" w:eastAsia="Arial" w:hAnsi="Arial"/>
                <w:sz w:val="13"/>
                <w:szCs w:val="13"/>
                <w:color w:val="0000EE"/>
              </w:rPr>
            </w:pPr>
            <w:hyperlink w:anchor="page92">
              <w:r>
                <w:rPr>
                  <w:rFonts w:ascii="Arial" w:cs="Arial" w:eastAsia="Arial" w:hAnsi="Arial"/>
                  <w:sz w:val="13"/>
                  <w:szCs w:val="13"/>
                  <w:color w:val="0000EE"/>
                </w:rPr>
                <w:t>Certification of Chief Executive Officer Pursuant to Section 302 of the Sarbanes-Oxley Act of 2002.</w:t>
              </w:r>
            </w:hyperlink>
          </w:p>
        </w:tc>
      </w:tr>
      <w:tr>
        <w:trPr>
          <w:trHeight w:val="144"/>
        </w:trPr>
        <w:tc>
          <w:tcPr>
            <w:tcW w:w="106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720" w:type="dxa"/>
            <w:vAlign w:val="bottom"/>
            <w:tcBorders>
              <w:top w:val="single" w:sz="8" w:color="0000EE"/>
            </w:tcBorders>
          </w:tcPr>
          <w:p>
            <w:pPr>
              <w:spacing w:after="0"/>
              <w:rPr>
                <w:sz w:val="12"/>
                <w:szCs w:val="12"/>
                <w:color w:val="auto"/>
              </w:rPr>
            </w:pPr>
          </w:p>
        </w:tc>
        <w:tc>
          <w:tcPr>
            <w:tcW w:w="1000" w:type="dxa"/>
            <w:vAlign w:val="bottom"/>
            <w:tcBorders>
              <w:top w:val="single" w:sz="8" w:color="0000EE"/>
            </w:tcBorders>
          </w:tcPr>
          <w:p>
            <w:pPr>
              <w:spacing w:after="0"/>
              <w:rPr>
                <w:sz w:val="12"/>
                <w:szCs w:val="12"/>
                <w:color w:val="auto"/>
              </w:rPr>
            </w:pPr>
          </w:p>
        </w:tc>
        <w:tc>
          <w:tcPr>
            <w:tcW w:w="720" w:type="dxa"/>
            <w:vAlign w:val="bottom"/>
            <w:tcBorders>
              <w:top w:val="single" w:sz="8" w:color="0000EE"/>
            </w:tcBorders>
          </w:tcPr>
          <w:p>
            <w:pPr>
              <w:spacing w:after="0"/>
              <w:rPr>
                <w:sz w:val="12"/>
                <w:szCs w:val="12"/>
                <w:color w:val="auto"/>
              </w:rPr>
            </w:pPr>
          </w:p>
        </w:tc>
        <w:tc>
          <w:tcPr>
            <w:tcW w:w="216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2020" w:type="dxa"/>
            <w:vAlign w:val="bottom"/>
            <w:tcBorders>
              <w:top w:val="single" w:sz="8" w:color="CCEEFF"/>
            </w:tcBorders>
          </w:tcPr>
          <w:p>
            <w:pPr>
              <w:spacing w:after="0"/>
              <w:rPr>
                <w:sz w:val="12"/>
                <w:szCs w:val="12"/>
                <w:color w:val="auto"/>
              </w:rPr>
            </w:pPr>
          </w:p>
        </w:tc>
      </w:tr>
      <w:tr>
        <w:trPr>
          <w:trHeight w:val="124"/>
        </w:trPr>
        <w:tc>
          <w:tcPr>
            <w:tcW w:w="1060" w:type="dxa"/>
            <w:vAlign w:val="bottom"/>
            <w:shd w:val="clear" w:color="auto" w:fill="CCEEFF"/>
          </w:tcPr>
          <w:p>
            <w:pPr>
              <w:jc w:val="center"/>
              <w:spacing w:after="0" w:line="123" w:lineRule="exact"/>
              <w:rPr>
                <w:sz w:val="20"/>
                <w:szCs w:val="20"/>
                <w:color w:val="auto"/>
              </w:rPr>
            </w:pPr>
            <w:r>
              <w:rPr>
                <w:rFonts w:ascii="Arial" w:cs="Arial" w:eastAsia="Arial" w:hAnsi="Arial"/>
                <w:sz w:val="13"/>
                <w:szCs w:val="13"/>
                <w:color w:val="auto"/>
                <w:w w:val="98"/>
              </w:rPr>
              <w:t>31.2*</w:t>
            </w:r>
          </w:p>
        </w:tc>
        <w:tc>
          <w:tcPr>
            <w:tcW w:w="200" w:type="dxa"/>
            <w:vAlign w:val="bottom"/>
            <w:shd w:val="clear" w:color="auto" w:fill="CCEEFF"/>
          </w:tcPr>
          <w:p>
            <w:pPr>
              <w:spacing w:after="0"/>
              <w:rPr>
                <w:sz w:val="10"/>
                <w:szCs w:val="10"/>
                <w:color w:val="auto"/>
              </w:rPr>
            </w:pPr>
          </w:p>
        </w:tc>
        <w:tc>
          <w:tcPr>
            <w:tcW w:w="7680" w:type="dxa"/>
            <w:vAlign w:val="bottom"/>
            <w:gridSpan w:val="7"/>
            <w:shd w:val="clear" w:color="auto" w:fill="CCEEFF"/>
          </w:tcPr>
          <w:p>
            <w:pPr>
              <w:spacing w:after="0" w:line="123" w:lineRule="exact"/>
              <w:rPr>
                <w:rFonts w:ascii="Arial" w:cs="Arial" w:eastAsia="Arial" w:hAnsi="Arial"/>
                <w:sz w:val="13"/>
                <w:szCs w:val="13"/>
                <w:color w:val="0000EE"/>
              </w:rPr>
            </w:pPr>
            <w:hyperlink w:anchor="page93">
              <w:r>
                <w:rPr>
                  <w:rFonts w:ascii="Arial" w:cs="Arial" w:eastAsia="Arial" w:hAnsi="Arial"/>
                  <w:sz w:val="13"/>
                  <w:szCs w:val="13"/>
                  <w:color w:val="0000EE"/>
                </w:rPr>
                <w:t>Certification of Chief Financial Officer Pursuant to Section 302 of the Sarbanes-Oxley Act of 2002.</w:t>
              </w:r>
            </w:hyperlink>
          </w:p>
        </w:tc>
      </w:tr>
      <w:tr>
        <w:trPr>
          <w:trHeight w:val="144"/>
        </w:trPr>
        <w:tc>
          <w:tcPr>
            <w:tcW w:w="106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720" w:type="dxa"/>
            <w:vAlign w:val="bottom"/>
            <w:tcBorders>
              <w:top w:val="single" w:sz="8" w:color="0000EE"/>
            </w:tcBorders>
          </w:tcPr>
          <w:p>
            <w:pPr>
              <w:spacing w:after="0"/>
              <w:rPr>
                <w:sz w:val="12"/>
                <w:szCs w:val="12"/>
                <w:color w:val="auto"/>
              </w:rPr>
            </w:pPr>
          </w:p>
        </w:tc>
        <w:tc>
          <w:tcPr>
            <w:tcW w:w="1000" w:type="dxa"/>
            <w:vAlign w:val="bottom"/>
            <w:tcBorders>
              <w:top w:val="single" w:sz="8" w:color="0000EE"/>
            </w:tcBorders>
          </w:tcPr>
          <w:p>
            <w:pPr>
              <w:spacing w:after="0"/>
              <w:rPr>
                <w:sz w:val="12"/>
                <w:szCs w:val="12"/>
                <w:color w:val="auto"/>
              </w:rPr>
            </w:pPr>
          </w:p>
        </w:tc>
        <w:tc>
          <w:tcPr>
            <w:tcW w:w="720" w:type="dxa"/>
            <w:vAlign w:val="bottom"/>
            <w:tcBorders>
              <w:top w:val="single" w:sz="8" w:color="0000EE"/>
            </w:tcBorders>
          </w:tcPr>
          <w:p>
            <w:pPr>
              <w:spacing w:after="0"/>
              <w:rPr>
                <w:sz w:val="12"/>
                <w:szCs w:val="12"/>
                <w:color w:val="auto"/>
              </w:rPr>
            </w:pPr>
          </w:p>
        </w:tc>
        <w:tc>
          <w:tcPr>
            <w:tcW w:w="2160" w:type="dxa"/>
            <w:vAlign w:val="bottom"/>
            <w:tcBorders>
              <w:top w:val="single" w:sz="8" w:color="0000EE"/>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20" w:type="dxa"/>
            <w:vAlign w:val="bottom"/>
            <w:tcBorders>
              <w:top w:val="single" w:sz="8" w:color="CCEEFF"/>
            </w:tcBorders>
          </w:tcPr>
          <w:p>
            <w:pPr>
              <w:spacing w:after="0"/>
              <w:rPr>
                <w:sz w:val="12"/>
                <w:szCs w:val="12"/>
                <w:color w:val="auto"/>
              </w:rPr>
            </w:pPr>
          </w:p>
        </w:tc>
      </w:tr>
      <w:tr>
        <w:trPr>
          <w:trHeight w:val="123"/>
        </w:trPr>
        <w:tc>
          <w:tcPr>
            <w:tcW w:w="1060" w:type="dxa"/>
            <w:vAlign w:val="bottom"/>
            <w:tcBorders>
              <w:bottom w:val="single" w:sz="8" w:color="CCEEFF"/>
            </w:tcBorders>
            <w:shd w:val="clear" w:color="auto" w:fill="CCEEFF"/>
          </w:tcPr>
          <w:p>
            <w:pPr>
              <w:jc w:val="center"/>
              <w:spacing w:after="0" w:line="123" w:lineRule="exact"/>
              <w:rPr>
                <w:sz w:val="20"/>
                <w:szCs w:val="20"/>
                <w:color w:val="auto"/>
              </w:rPr>
            </w:pPr>
            <w:r>
              <w:rPr>
                <w:rFonts w:ascii="Arial" w:cs="Arial" w:eastAsia="Arial" w:hAnsi="Arial"/>
                <w:sz w:val="13"/>
                <w:szCs w:val="13"/>
                <w:color w:val="auto"/>
              </w:rPr>
              <w:t>32**</w:t>
            </w:r>
          </w:p>
        </w:tc>
        <w:tc>
          <w:tcPr>
            <w:tcW w:w="200" w:type="dxa"/>
            <w:vAlign w:val="bottom"/>
            <w:tcBorders>
              <w:bottom w:val="single" w:sz="8" w:color="CCEEFF"/>
            </w:tcBorders>
            <w:shd w:val="clear" w:color="auto" w:fill="CCEEFF"/>
          </w:tcPr>
          <w:p>
            <w:pPr>
              <w:spacing w:after="0"/>
              <w:rPr>
                <w:sz w:val="10"/>
                <w:szCs w:val="10"/>
                <w:color w:val="auto"/>
              </w:rPr>
            </w:pPr>
          </w:p>
        </w:tc>
        <w:tc>
          <w:tcPr>
            <w:tcW w:w="7680" w:type="dxa"/>
            <w:vAlign w:val="bottom"/>
            <w:tcBorders>
              <w:bottom w:val="single" w:sz="8" w:color="0000EE"/>
            </w:tcBorders>
            <w:gridSpan w:val="7"/>
            <w:shd w:val="clear" w:color="auto" w:fill="CCEEFF"/>
          </w:tcPr>
          <w:p>
            <w:pPr>
              <w:spacing w:after="0" w:line="123" w:lineRule="exact"/>
              <w:rPr>
                <w:rFonts w:ascii="Arial" w:cs="Arial" w:eastAsia="Arial" w:hAnsi="Arial"/>
                <w:sz w:val="13"/>
                <w:szCs w:val="13"/>
                <w:color w:val="0000EE"/>
              </w:rPr>
            </w:pPr>
            <w:hyperlink w:anchor="page94">
              <w:r>
                <w:rPr>
                  <w:rFonts w:ascii="Arial" w:cs="Arial" w:eastAsia="Arial" w:hAnsi="Arial"/>
                  <w:sz w:val="13"/>
                  <w:szCs w:val="13"/>
                  <w:color w:val="0000EE"/>
                </w:rPr>
                <w:t>Certification of Chief Executive Officer and Chief Financial Officer Pursuant to 18 U.S.C. Section 1350, as adopted pursuant to</w:t>
              </w:r>
            </w:hyperlink>
          </w:p>
        </w:tc>
      </w:tr>
      <w:tr>
        <w:trPr>
          <w:trHeight w:val="124"/>
        </w:trPr>
        <w:tc>
          <w:tcPr>
            <w:tcW w:w="10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680" w:type="dxa"/>
            <w:vAlign w:val="bottom"/>
            <w:gridSpan w:val="7"/>
            <w:shd w:val="clear" w:color="auto" w:fill="CCEEFF"/>
          </w:tcPr>
          <w:p>
            <w:pPr>
              <w:spacing w:after="0" w:line="124" w:lineRule="exact"/>
              <w:rPr>
                <w:rFonts w:ascii="Arial" w:cs="Arial" w:eastAsia="Arial" w:hAnsi="Arial"/>
                <w:sz w:val="13"/>
                <w:szCs w:val="13"/>
                <w:color w:val="0000EE"/>
              </w:rPr>
            </w:pPr>
            <w:hyperlink w:anchor="page94">
              <w:r>
                <w:rPr>
                  <w:rFonts w:ascii="Arial" w:cs="Arial" w:eastAsia="Arial" w:hAnsi="Arial"/>
                  <w:sz w:val="13"/>
                  <w:szCs w:val="13"/>
                  <w:color w:val="0000EE"/>
                </w:rPr>
                <w:t>Section 906 of the Sarbanes-Oxley Act of 2002.</w:t>
              </w:r>
            </w:hyperlink>
          </w:p>
        </w:tc>
      </w:tr>
      <w:tr>
        <w:trPr>
          <w:trHeight w:val="144"/>
        </w:trPr>
        <w:tc>
          <w:tcPr>
            <w:tcW w:w="106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720" w:type="dxa"/>
            <w:vAlign w:val="bottom"/>
            <w:tcBorders>
              <w:top w:val="single" w:sz="8" w:color="0000EE"/>
            </w:tcBorders>
          </w:tcPr>
          <w:p>
            <w:pPr>
              <w:spacing w:after="0"/>
              <w:rPr>
                <w:sz w:val="12"/>
                <w:szCs w:val="12"/>
                <w:color w:val="auto"/>
              </w:rPr>
            </w:pPr>
          </w:p>
        </w:tc>
        <w:tc>
          <w:tcPr>
            <w:tcW w:w="1000" w:type="dxa"/>
            <w:vAlign w:val="bottom"/>
            <w:tcBorders>
              <w:top w:val="single" w:sz="8" w:color="0000EE"/>
            </w:tcBorders>
          </w:tcPr>
          <w:p>
            <w:pPr>
              <w:spacing w:after="0"/>
              <w:rPr>
                <w:sz w:val="12"/>
                <w:szCs w:val="12"/>
                <w:color w:val="auto"/>
              </w:rPr>
            </w:pPr>
          </w:p>
        </w:tc>
        <w:tc>
          <w:tcPr>
            <w:tcW w:w="720" w:type="dxa"/>
            <w:vAlign w:val="bottom"/>
            <w:tcBorders>
              <w:top w:val="single" w:sz="8" w:color="CCEEFF"/>
            </w:tcBorders>
          </w:tcPr>
          <w:p>
            <w:pPr>
              <w:spacing w:after="0"/>
              <w:rPr>
                <w:sz w:val="12"/>
                <w:szCs w:val="12"/>
                <w:color w:val="auto"/>
              </w:rPr>
            </w:pPr>
          </w:p>
        </w:tc>
        <w:tc>
          <w:tcPr>
            <w:tcW w:w="21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2020" w:type="dxa"/>
            <w:vAlign w:val="bottom"/>
            <w:tcBorders>
              <w:top w:val="single" w:sz="8" w:color="CCEEFF"/>
            </w:tcBorders>
          </w:tcPr>
          <w:p>
            <w:pPr>
              <w:spacing w:after="0"/>
              <w:rPr>
                <w:sz w:val="12"/>
                <w:szCs w:val="12"/>
                <w:color w:val="auto"/>
              </w:rPr>
            </w:pPr>
          </w:p>
        </w:tc>
      </w:tr>
      <w:tr>
        <w:trPr>
          <w:trHeight w:val="144"/>
        </w:trPr>
        <w:tc>
          <w:tcPr>
            <w:tcW w:w="106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6"/>
              </w:rPr>
              <w:t>101.INS*</w:t>
            </w:r>
          </w:p>
        </w:tc>
        <w:tc>
          <w:tcPr>
            <w:tcW w:w="200" w:type="dxa"/>
            <w:vAlign w:val="bottom"/>
            <w:shd w:val="clear" w:color="auto" w:fill="CCEEFF"/>
          </w:tcPr>
          <w:p>
            <w:pPr>
              <w:spacing w:after="0"/>
              <w:rPr>
                <w:sz w:val="12"/>
                <w:szCs w:val="12"/>
                <w:color w:val="auto"/>
              </w:rPr>
            </w:pPr>
          </w:p>
        </w:tc>
        <w:tc>
          <w:tcPr>
            <w:tcW w:w="7680" w:type="dxa"/>
            <w:vAlign w:val="bottom"/>
            <w:gridSpan w:val="7"/>
            <w:shd w:val="clear" w:color="auto" w:fill="CCEEFF"/>
          </w:tcPr>
          <w:p>
            <w:pPr>
              <w:spacing w:after="0" w:line="144" w:lineRule="exact"/>
              <w:rPr>
                <w:sz w:val="20"/>
                <w:szCs w:val="20"/>
                <w:color w:val="auto"/>
              </w:rPr>
            </w:pPr>
            <w:r>
              <w:rPr>
                <w:rFonts w:ascii="Arial" w:cs="Arial" w:eastAsia="Arial" w:hAnsi="Arial"/>
                <w:sz w:val="13"/>
                <w:szCs w:val="13"/>
                <w:color w:val="auto"/>
              </w:rPr>
              <w:t>XBRL Instance Document.</w:t>
            </w:r>
          </w:p>
        </w:tc>
      </w:tr>
      <w:tr>
        <w:trPr>
          <w:trHeight w:val="144"/>
        </w:trPr>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44"/>
        </w:trPr>
        <w:tc>
          <w:tcPr>
            <w:tcW w:w="106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rPr>
              <w:t>101.SCH*</w:t>
            </w:r>
          </w:p>
        </w:tc>
        <w:tc>
          <w:tcPr>
            <w:tcW w:w="200" w:type="dxa"/>
            <w:vAlign w:val="bottom"/>
            <w:shd w:val="clear" w:color="auto" w:fill="CCEEFF"/>
          </w:tcPr>
          <w:p>
            <w:pPr>
              <w:spacing w:after="0"/>
              <w:rPr>
                <w:sz w:val="12"/>
                <w:szCs w:val="12"/>
                <w:color w:val="auto"/>
              </w:rPr>
            </w:pPr>
          </w:p>
        </w:tc>
        <w:tc>
          <w:tcPr>
            <w:tcW w:w="7680" w:type="dxa"/>
            <w:vAlign w:val="bottom"/>
            <w:gridSpan w:val="7"/>
            <w:shd w:val="clear" w:color="auto" w:fill="CCEEFF"/>
          </w:tcPr>
          <w:p>
            <w:pPr>
              <w:spacing w:after="0" w:line="144" w:lineRule="exact"/>
              <w:rPr>
                <w:sz w:val="20"/>
                <w:szCs w:val="20"/>
                <w:color w:val="auto"/>
              </w:rPr>
            </w:pPr>
            <w:r>
              <w:rPr>
                <w:rFonts w:ascii="Arial" w:cs="Arial" w:eastAsia="Arial" w:hAnsi="Arial"/>
                <w:sz w:val="13"/>
                <w:szCs w:val="13"/>
                <w:color w:val="auto"/>
              </w:rPr>
              <w:t>XBRL Taxonomy Extension Schema.</w:t>
            </w:r>
          </w:p>
        </w:tc>
      </w:tr>
      <w:tr>
        <w:trPr>
          <w:trHeight w:val="144"/>
        </w:trPr>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44"/>
        </w:trPr>
        <w:tc>
          <w:tcPr>
            <w:tcW w:w="106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6"/>
              </w:rPr>
              <w:t>101.CAL*</w:t>
            </w:r>
          </w:p>
        </w:tc>
        <w:tc>
          <w:tcPr>
            <w:tcW w:w="200" w:type="dxa"/>
            <w:vAlign w:val="bottom"/>
            <w:shd w:val="clear" w:color="auto" w:fill="CCEEFF"/>
          </w:tcPr>
          <w:p>
            <w:pPr>
              <w:spacing w:after="0"/>
              <w:rPr>
                <w:sz w:val="12"/>
                <w:szCs w:val="12"/>
                <w:color w:val="auto"/>
              </w:rPr>
            </w:pPr>
          </w:p>
        </w:tc>
        <w:tc>
          <w:tcPr>
            <w:tcW w:w="7680" w:type="dxa"/>
            <w:vAlign w:val="bottom"/>
            <w:gridSpan w:val="7"/>
            <w:shd w:val="clear" w:color="auto" w:fill="CCEEFF"/>
          </w:tcPr>
          <w:p>
            <w:pPr>
              <w:spacing w:after="0" w:line="144" w:lineRule="exact"/>
              <w:rPr>
                <w:sz w:val="20"/>
                <w:szCs w:val="20"/>
                <w:color w:val="auto"/>
              </w:rPr>
            </w:pPr>
            <w:r>
              <w:rPr>
                <w:rFonts w:ascii="Arial" w:cs="Arial" w:eastAsia="Arial" w:hAnsi="Arial"/>
                <w:sz w:val="13"/>
                <w:szCs w:val="13"/>
                <w:color w:val="auto"/>
              </w:rPr>
              <w:t>XBRL Taxonomy Extension Calculation Linkbase.</w:t>
            </w:r>
          </w:p>
        </w:tc>
      </w:tr>
      <w:tr>
        <w:trPr>
          <w:trHeight w:val="144"/>
        </w:trPr>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44"/>
        </w:trPr>
        <w:tc>
          <w:tcPr>
            <w:tcW w:w="106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rPr>
              <w:t>101.DEF*</w:t>
            </w:r>
          </w:p>
        </w:tc>
        <w:tc>
          <w:tcPr>
            <w:tcW w:w="200" w:type="dxa"/>
            <w:vAlign w:val="bottom"/>
            <w:shd w:val="clear" w:color="auto" w:fill="CCEEFF"/>
          </w:tcPr>
          <w:p>
            <w:pPr>
              <w:spacing w:after="0"/>
              <w:rPr>
                <w:sz w:val="12"/>
                <w:szCs w:val="12"/>
                <w:color w:val="auto"/>
              </w:rPr>
            </w:pPr>
          </w:p>
        </w:tc>
        <w:tc>
          <w:tcPr>
            <w:tcW w:w="7680" w:type="dxa"/>
            <w:vAlign w:val="bottom"/>
            <w:gridSpan w:val="7"/>
            <w:shd w:val="clear" w:color="auto" w:fill="CCEEFF"/>
          </w:tcPr>
          <w:p>
            <w:pPr>
              <w:spacing w:after="0" w:line="144" w:lineRule="exact"/>
              <w:rPr>
                <w:sz w:val="20"/>
                <w:szCs w:val="20"/>
                <w:color w:val="auto"/>
              </w:rPr>
            </w:pPr>
            <w:r>
              <w:rPr>
                <w:rFonts w:ascii="Arial" w:cs="Arial" w:eastAsia="Arial" w:hAnsi="Arial"/>
                <w:sz w:val="13"/>
                <w:szCs w:val="13"/>
                <w:color w:val="auto"/>
              </w:rPr>
              <w:t>XBRL Taxonomy Extension Definition Linkbase.</w:t>
            </w:r>
          </w:p>
        </w:tc>
      </w:tr>
      <w:tr>
        <w:trPr>
          <w:trHeight w:val="144"/>
        </w:trPr>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20" w:type="dxa"/>
            <w:vAlign w:val="bottom"/>
          </w:tcPr>
          <w:p>
            <w:pPr>
              <w:spacing w:after="0"/>
              <w:rPr>
                <w:sz w:val="12"/>
                <w:szCs w:val="12"/>
                <w:color w:val="auto"/>
              </w:rPr>
            </w:pPr>
          </w:p>
        </w:tc>
      </w:tr>
      <w:tr>
        <w:trPr>
          <w:trHeight w:val="144"/>
        </w:trPr>
        <w:tc>
          <w:tcPr>
            <w:tcW w:w="1060" w:type="dxa"/>
            <w:vAlign w:val="bottom"/>
            <w:shd w:val="clear" w:color="auto" w:fill="CCEEFF"/>
          </w:tcPr>
          <w:p>
            <w:pPr>
              <w:jc w:val="center"/>
              <w:spacing w:after="0" w:line="144" w:lineRule="exact"/>
              <w:rPr>
                <w:sz w:val="20"/>
                <w:szCs w:val="20"/>
                <w:color w:val="auto"/>
              </w:rPr>
            </w:pPr>
            <w:r>
              <w:rPr>
                <w:rFonts w:ascii="Arial" w:cs="Arial" w:eastAsia="Arial" w:hAnsi="Arial"/>
                <w:sz w:val="13"/>
                <w:szCs w:val="13"/>
                <w:color w:val="auto"/>
                <w:w w:val="98"/>
              </w:rPr>
              <w:t>101.LAB*</w:t>
            </w:r>
          </w:p>
        </w:tc>
        <w:tc>
          <w:tcPr>
            <w:tcW w:w="200" w:type="dxa"/>
            <w:vAlign w:val="bottom"/>
            <w:shd w:val="clear" w:color="auto" w:fill="CCEEFF"/>
          </w:tcPr>
          <w:p>
            <w:pPr>
              <w:spacing w:after="0"/>
              <w:rPr>
                <w:sz w:val="12"/>
                <w:szCs w:val="12"/>
                <w:color w:val="auto"/>
              </w:rPr>
            </w:pPr>
          </w:p>
        </w:tc>
        <w:tc>
          <w:tcPr>
            <w:tcW w:w="7680" w:type="dxa"/>
            <w:vAlign w:val="bottom"/>
            <w:gridSpan w:val="7"/>
            <w:shd w:val="clear" w:color="auto" w:fill="CCEEFF"/>
          </w:tcPr>
          <w:p>
            <w:pPr>
              <w:spacing w:after="0" w:line="144" w:lineRule="exact"/>
              <w:rPr>
                <w:sz w:val="20"/>
                <w:szCs w:val="20"/>
                <w:color w:val="auto"/>
              </w:rPr>
            </w:pPr>
            <w:r>
              <w:rPr>
                <w:rFonts w:ascii="Arial" w:cs="Arial" w:eastAsia="Arial" w:hAnsi="Arial"/>
                <w:sz w:val="13"/>
                <w:szCs w:val="13"/>
                <w:color w:val="auto"/>
              </w:rPr>
              <w:t>XBRL Taxonomy Extension Label Linkbase.</w:t>
            </w:r>
          </w:p>
        </w:tc>
      </w:tr>
      <w:tr>
        <w:trPr>
          <w:trHeight w:val="294"/>
        </w:trPr>
        <w:tc>
          <w:tcPr>
            <w:tcW w:w="1060" w:type="dxa"/>
            <w:vAlign w:val="bottom"/>
          </w:tcPr>
          <w:p>
            <w:pPr>
              <w:jc w:val="center"/>
              <w:spacing w:after="0"/>
              <w:rPr>
                <w:sz w:val="20"/>
                <w:szCs w:val="20"/>
                <w:color w:val="auto"/>
              </w:rPr>
            </w:pPr>
            <w:r>
              <w:rPr>
                <w:rFonts w:ascii="Arial" w:cs="Arial" w:eastAsia="Arial" w:hAnsi="Arial"/>
                <w:sz w:val="13"/>
                <w:szCs w:val="13"/>
                <w:color w:val="auto"/>
              </w:rPr>
              <w:t>101.PRE*</w:t>
            </w:r>
          </w:p>
        </w:tc>
        <w:tc>
          <w:tcPr>
            <w:tcW w:w="200" w:type="dxa"/>
            <w:vAlign w:val="bottom"/>
          </w:tcPr>
          <w:p>
            <w:pPr>
              <w:spacing w:after="0"/>
              <w:rPr>
                <w:sz w:val="24"/>
                <w:szCs w:val="24"/>
                <w:color w:val="auto"/>
              </w:rPr>
            </w:pPr>
          </w:p>
        </w:tc>
        <w:tc>
          <w:tcPr>
            <w:tcW w:w="7680" w:type="dxa"/>
            <w:vAlign w:val="bottom"/>
            <w:gridSpan w:val="7"/>
          </w:tcPr>
          <w:p>
            <w:pPr>
              <w:spacing w:after="0"/>
              <w:rPr>
                <w:sz w:val="20"/>
                <w:szCs w:val="20"/>
                <w:color w:val="auto"/>
              </w:rPr>
            </w:pPr>
            <w:r>
              <w:rPr>
                <w:rFonts w:ascii="Arial" w:cs="Arial" w:eastAsia="Arial" w:hAnsi="Arial"/>
                <w:sz w:val="13"/>
                <w:szCs w:val="13"/>
                <w:color w:val="auto"/>
              </w:rPr>
              <w:t>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-95250</wp:posOffset>
            </wp:positionV>
            <wp:extent cx="5680075" cy="2736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1">
                      <a:extLst>
                        <a:ext uri="{28A0092B-C50C-407E-A947-70E740481C1C}"/>
                      </a:extLst>
                    </a:blip>
                    <a:srcRect/>
                    <a:stretch>
                      <a:fillRect/>
                    </a:stretch>
                  </pic:blipFill>
                  <pic:spPr bwMode="auto">
                    <a:xfrm>
                      <a:off x="0" y="0"/>
                      <a:ext cx="5680075" cy="273685"/>
                    </a:xfrm>
                    <a:prstGeom prst="rect">
                      <a:avLst/>
                    </a:prstGeom>
                    <a:noFill/>
                  </pic:spPr>
                </pic:pic>
              </a:graphicData>
            </a:graphic>
          </wp:anchor>
        </w:drawing>
      </w:r>
    </w:p>
    <w:p>
      <w:pPr>
        <w:spacing w:after="0" w:line="112" w:lineRule="exact"/>
        <w:rPr>
          <w:sz w:val="20"/>
          <w:szCs w:val="20"/>
          <w:color w:val="auto"/>
        </w:rPr>
      </w:pPr>
    </w:p>
    <w:p>
      <w:pPr>
        <w:ind w:left="1300" w:hanging="838"/>
        <w:spacing w:after="0"/>
        <w:tabs>
          <w:tab w:leader="none" w:pos="1300" w:val="left"/>
        </w:tabs>
        <w:numPr>
          <w:ilvl w:val="1"/>
          <w:numId w:val="36"/>
        </w:numPr>
        <w:rPr>
          <w:rFonts w:ascii="Arial" w:cs="Arial" w:eastAsia="Arial" w:hAnsi="Arial"/>
          <w:sz w:val="13"/>
          <w:szCs w:val="13"/>
          <w:color w:val="auto"/>
        </w:rPr>
      </w:pPr>
      <w:r>
        <w:rPr>
          <w:rFonts w:ascii="Arial" w:cs="Arial" w:eastAsia="Arial" w:hAnsi="Arial"/>
          <w:sz w:val="13"/>
          <w:szCs w:val="13"/>
          <w:color w:val="auto"/>
        </w:rPr>
        <w:t>Cover Page Interactive Data File (formatted as Inline XBRL and contained in Exhibit 10.1).</w:t>
      </w:r>
    </w:p>
    <w:p>
      <w:pPr>
        <w:spacing w:after="0" w:line="147" w:lineRule="exact"/>
        <w:rPr>
          <w:rFonts w:ascii="Arial" w:cs="Arial" w:eastAsia="Arial" w:hAnsi="Arial"/>
          <w:sz w:val="13"/>
          <w:szCs w:val="13"/>
          <w:color w:val="auto"/>
        </w:rPr>
      </w:pPr>
    </w:p>
    <w:p>
      <w:pPr>
        <w:ind w:left="280" w:hanging="250"/>
        <w:spacing w:after="0"/>
        <w:tabs>
          <w:tab w:leader="none" w:pos="280" w:val="left"/>
        </w:tabs>
        <w:numPr>
          <w:ilvl w:val="0"/>
          <w:numId w:val="36"/>
        </w:numPr>
        <w:rPr>
          <w:rFonts w:ascii="Arial" w:cs="Arial" w:eastAsia="Arial" w:hAnsi="Arial"/>
          <w:sz w:val="13"/>
          <w:szCs w:val="13"/>
          <w:color w:val="auto"/>
        </w:rPr>
      </w:pPr>
      <w:r>
        <w:rPr>
          <w:rFonts w:ascii="Arial" w:cs="Arial" w:eastAsia="Arial" w:hAnsi="Arial"/>
          <w:sz w:val="13"/>
          <w:szCs w:val="13"/>
          <w:color w:val="auto"/>
        </w:rPr>
        <w:t>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-189230</wp:posOffset>
            </wp:positionV>
            <wp:extent cx="5680075" cy="6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2">
                      <a:extLst>
                        <a:ext uri="{28A0092B-C50C-407E-A947-70E740481C1C}"/>
                      </a:extLst>
                    </a:blip>
                    <a:srcRect/>
                    <a:stretch>
                      <a:fillRect/>
                    </a:stretch>
                  </pic:blipFill>
                  <pic:spPr bwMode="auto">
                    <a:xfrm>
                      <a:off x="0" y="0"/>
                      <a:ext cx="5680075" cy="6350"/>
                    </a:xfrm>
                    <a:prstGeom prst="rect">
                      <a:avLst/>
                    </a:prstGeom>
                    <a:noFill/>
                  </pic:spPr>
                </pic:pic>
              </a:graphicData>
            </a:graphic>
          </wp:anchor>
        </w:drawing>
      </w:r>
    </w:p>
    <w:p>
      <w:pPr>
        <w:spacing w:after="0" w:line="138" w:lineRule="exact"/>
        <w:rPr>
          <w:sz w:val="20"/>
          <w:szCs w:val="20"/>
          <w:color w:val="auto"/>
        </w:rPr>
      </w:pPr>
    </w:p>
    <w:p>
      <w:pPr>
        <w:ind w:left="280" w:hanging="250"/>
        <w:spacing w:after="0"/>
        <w:tabs>
          <w:tab w:leader="none" w:pos="280" w:val="left"/>
        </w:tabs>
        <w:numPr>
          <w:ilvl w:val="0"/>
          <w:numId w:val="37"/>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158" w:lineRule="exact"/>
        <w:rPr>
          <w:sz w:val="20"/>
          <w:szCs w:val="20"/>
          <w:color w:val="auto"/>
        </w:rPr>
      </w:pPr>
    </w:p>
    <w:p>
      <w:pPr>
        <w:ind w:left="280" w:hanging="250"/>
        <w:spacing w:after="0"/>
        <w:tabs>
          <w:tab w:leader="none" w:pos="2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Furnished herewith</w:t>
      </w:r>
    </w:p>
    <w:p>
      <w:pPr>
        <w:spacing w:after="0" w:line="200" w:lineRule="exact"/>
        <w:rPr>
          <w:sz w:val="20"/>
          <w:szCs w:val="20"/>
          <w:color w:val="auto"/>
        </w:rPr>
      </w:pPr>
    </w:p>
    <w:p>
      <w:pPr>
        <w:spacing w:after="0" w:line="266" w:lineRule="exact"/>
        <w:rPr>
          <w:sz w:val="20"/>
          <w:szCs w:val="20"/>
          <w:color w:val="auto"/>
        </w:rPr>
      </w:pPr>
    </w:p>
    <w:p>
      <w:pPr>
        <w:jc w:val="right"/>
        <w:ind w:right="39"/>
        <w:spacing w:after="0"/>
        <w:rPr>
          <w:sz w:val="20"/>
          <w:szCs w:val="20"/>
          <w:color w:val="auto"/>
        </w:rPr>
      </w:pPr>
      <w:r>
        <w:rPr>
          <w:rFonts w:ascii="Arial" w:cs="Arial" w:eastAsia="Arial" w:hAnsi="Arial"/>
          <w:sz w:val="13"/>
          <w:szCs w:val="13"/>
          <w:color w:val="auto"/>
        </w:rPr>
        <w:t>2020 Form 10-K Page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357505</wp:posOffset>
            </wp:positionV>
            <wp:extent cx="5680075" cy="133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3">
                      <a:extLst>
                        <a:ext uri="{28A0092B-C50C-407E-A947-70E740481C1C}"/>
                      </a:extLst>
                    </a:blip>
                    <a:srcRect/>
                    <a:stretch>
                      <a:fillRect/>
                    </a:stretch>
                  </pic:blipFill>
                  <pic:spPr bwMode="auto">
                    <a:xfrm>
                      <a:off x="0" y="0"/>
                      <a:ext cx="5680075" cy="13335"/>
                    </a:xfrm>
                    <a:prstGeom prst="rect">
                      <a:avLst/>
                    </a:prstGeom>
                    <a:noFill/>
                  </pic:spPr>
                </pic:pic>
              </a:graphicData>
            </a:graphic>
          </wp:anchor>
        </w:drawing>
      </w:r>
    </w:p>
    <w:p>
      <w:pPr>
        <w:sectPr>
          <w:pgSz w:w="11900" w:h="16838" w:orient="portrait"/>
          <w:cols w:equalWidth="0" w:num="1">
            <w:col w:w="9019"/>
          </w:cols>
          <w:pgMar w:left="1440" w:top="570" w:right="1440" w:bottom="1440" w:gutter="0" w:footer="0" w:header="0"/>
        </w:sectPr>
      </w:pPr>
    </w:p>
    <w:bookmarkStart w:id="84" w:name="page85"/>
    <w:bookmarkEnd w:id="84"/>
    <w:p>
      <w:pPr>
        <w:jc w:val="center"/>
        <w:spacing w:after="0"/>
        <w:rPr>
          <w:sz w:val="20"/>
          <w:szCs w:val="20"/>
          <w:color w:val="auto"/>
        </w:rPr>
      </w:pPr>
      <w:r>
        <w:rPr>
          <w:rFonts w:ascii="Arial" w:cs="Arial" w:eastAsia="Arial" w:hAnsi="Arial"/>
          <w:sz w:val="13"/>
          <w:szCs w:val="13"/>
          <w:b w:val="1"/>
          <w:bCs w:val="1"/>
          <w:color w:val="auto"/>
        </w:rPr>
        <w:t>SIGNATURES</w:t>
      </w:r>
    </w:p>
    <w:p>
      <w:pPr>
        <w:spacing w:after="0" w:line="174" w:lineRule="exact"/>
        <w:rPr>
          <w:sz w:val="20"/>
          <w:szCs w:val="20"/>
          <w:color w:val="auto"/>
        </w:rPr>
      </w:pPr>
    </w:p>
    <w:p>
      <w:pPr>
        <w:ind w:left="20" w:right="59"/>
        <w:spacing w:after="0"/>
        <w:rPr>
          <w:sz w:val="20"/>
          <w:szCs w:val="20"/>
          <w:color w:val="auto"/>
        </w:rPr>
      </w:pPr>
      <w:r>
        <w:rPr>
          <w:rFonts w:ascii="Arial" w:cs="Arial" w:eastAsia="Arial" w:hAnsi="Arial"/>
          <w:sz w:val="13"/>
          <w:szCs w:val="13"/>
          <w:color w:val="auto"/>
        </w:rPr>
        <w:t>Pursuant to the requirements of Section 13 or 15(d) of the Securities Exchange Act of 1934, the Company has duly caused this report to be signed on its behalf by the undersigned, thereunto duly authorized.</w:t>
      </w:r>
    </w:p>
    <w:p>
      <w:pPr>
        <w:spacing w:after="0" w:line="163"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FOOT LOCKER, INC.</w:t>
      </w:r>
    </w:p>
    <w:p>
      <w:pPr>
        <w:spacing w:after="0" w:line="138"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By: /s/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2918460</wp:posOffset>
            </wp:positionH>
            <wp:positionV relativeFrom="paragraph">
              <wp:posOffset>0</wp:posOffset>
            </wp:positionV>
            <wp:extent cx="2781300" cy="6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4">
                      <a:extLst>
                        <a:ext uri="{28A0092B-C50C-407E-A947-70E740481C1C}"/>
                      </a:extLst>
                    </a:blip>
                    <a:srcRect/>
                    <a:stretch>
                      <a:fillRect/>
                    </a:stretch>
                  </pic:blipFill>
                  <pic:spPr bwMode="auto">
                    <a:xfrm>
                      <a:off x="0" y="0"/>
                      <a:ext cx="2781300" cy="6350"/>
                    </a:xfrm>
                    <a:prstGeom prst="rect">
                      <a:avLst/>
                    </a:prstGeom>
                    <a:noFill/>
                  </pic:spPr>
                </pic:pic>
              </a:graphicData>
            </a:graphic>
          </wp:anchor>
        </w:drawing>
      </w:r>
    </w:p>
    <w:p>
      <w:pPr>
        <w:ind w:left="4600"/>
        <w:spacing w:after="0" w:line="237" w:lineRule="auto"/>
        <w:rPr>
          <w:sz w:val="20"/>
          <w:szCs w:val="20"/>
          <w:color w:val="auto"/>
        </w:rPr>
      </w:pPr>
      <w:r>
        <w:rPr>
          <w:rFonts w:ascii="Arial" w:cs="Arial" w:eastAsia="Arial" w:hAnsi="Arial"/>
          <w:sz w:val="13"/>
          <w:szCs w:val="13"/>
          <w:color w:val="auto"/>
        </w:rPr>
        <w:t>Richard A. Johnson</w:t>
      </w:r>
    </w:p>
    <w:p>
      <w:pPr>
        <w:ind w:left="4600"/>
        <w:spacing w:after="0"/>
        <w:rPr>
          <w:sz w:val="20"/>
          <w:szCs w:val="20"/>
          <w:color w:val="auto"/>
        </w:rPr>
      </w:pPr>
      <w:r>
        <w:rPr>
          <w:rFonts w:ascii="Arial" w:cs="Arial" w:eastAsia="Arial" w:hAnsi="Arial"/>
          <w:sz w:val="13"/>
          <w:szCs w:val="13"/>
          <w:i w:val="1"/>
          <w:iCs w:val="1"/>
          <w:color w:val="auto"/>
        </w:rPr>
        <w:t>Chairman, President and Chief Executive Officer</w:t>
      </w:r>
    </w:p>
    <w:p>
      <w:pPr>
        <w:spacing w:after="0" w:line="138"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Date: March 25, 2021</w:t>
      </w:r>
    </w:p>
    <w:p>
      <w:pPr>
        <w:spacing w:after="0" w:line="138" w:lineRule="exact"/>
        <w:rPr>
          <w:sz w:val="20"/>
          <w:szCs w:val="20"/>
          <w:color w:val="auto"/>
        </w:rPr>
      </w:pPr>
    </w:p>
    <w:p>
      <w:pPr>
        <w:ind w:left="20" w:right="39"/>
        <w:spacing w:after="0"/>
        <w:rPr>
          <w:sz w:val="20"/>
          <w:szCs w:val="20"/>
          <w:color w:val="auto"/>
        </w:rPr>
      </w:pPr>
      <w:r>
        <w:rPr>
          <w:rFonts w:ascii="Arial" w:cs="Arial" w:eastAsia="Arial" w:hAnsi="Arial"/>
          <w:sz w:val="13"/>
          <w:szCs w:val="13"/>
          <w:color w:val="auto"/>
        </w:rPr>
        <w:t>Pursuant to the requirements of the Securities Exchange Act of 1934, this report has been signed below on March 25, 2021, by the following persons on behalf of the Company and in the capacities indicated.</w:t>
      </w:r>
    </w:p>
    <w:p>
      <w:pPr>
        <w:sectPr>
          <w:pgSz w:w="11900" w:h="16838" w:orient="portrait"/>
          <w:cols w:equalWidth="0" w:num="1">
            <w:col w:w="9019"/>
          </w:cols>
          <w:pgMar w:left="1440" w:top="570" w:right="1440" w:bottom="1440" w:gutter="0" w:footer="0" w:header="0"/>
        </w:sectPr>
      </w:pPr>
    </w:p>
    <w:p>
      <w:pPr>
        <w:spacing w:after="0" w:line="163" w:lineRule="exact"/>
        <w:rPr>
          <w:sz w:val="20"/>
          <w:szCs w:val="20"/>
          <w:color w:val="auto"/>
        </w:rPr>
      </w:pPr>
    </w:p>
    <w:p>
      <w:pPr>
        <w:ind w:left="1380"/>
        <w:spacing w:after="0"/>
        <w:rPr>
          <w:sz w:val="20"/>
          <w:szCs w:val="20"/>
          <w:color w:val="auto"/>
        </w:rPr>
      </w:pPr>
      <w:r>
        <w:rPr>
          <w:rFonts w:ascii="Arial" w:cs="Arial" w:eastAsia="Arial" w:hAnsi="Arial"/>
          <w:sz w:val="13"/>
          <w:szCs w:val="13"/>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0</wp:posOffset>
            </wp:positionV>
            <wp:extent cx="2735580" cy="63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5">
                      <a:extLst>
                        <a:ext uri="{28A0092B-C50C-407E-A947-70E740481C1C}"/>
                      </a:extLst>
                    </a:blip>
                    <a:srcRect/>
                    <a:stretch>
                      <a:fillRect/>
                    </a:stretch>
                  </pic:blipFill>
                  <pic:spPr bwMode="auto">
                    <a:xfrm>
                      <a:off x="0" y="0"/>
                      <a:ext cx="2735580" cy="6350"/>
                    </a:xfrm>
                    <a:prstGeom prst="rect">
                      <a:avLst/>
                    </a:prstGeom>
                    <a:noFill/>
                  </pic:spPr>
                </pic:pic>
              </a:graphicData>
            </a:graphic>
          </wp:anchor>
        </w:drawing>
      </w:r>
    </w:p>
    <w:p>
      <w:pPr>
        <w:ind w:left="1620"/>
        <w:spacing w:after="0" w:line="237" w:lineRule="auto"/>
        <w:rPr>
          <w:sz w:val="20"/>
          <w:szCs w:val="20"/>
          <w:color w:val="auto"/>
        </w:rPr>
      </w:pPr>
      <w:r>
        <w:rPr>
          <w:rFonts w:ascii="Arial" w:cs="Arial" w:eastAsia="Arial" w:hAnsi="Arial"/>
          <w:sz w:val="13"/>
          <w:szCs w:val="13"/>
          <w:color w:val="auto"/>
        </w:rPr>
        <w:t>Richard A. Johnson</w:t>
      </w:r>
    </w:p>
    <w:p>
      <w:pPr>
        <w:jc w:val="center"/>
        <w:ind w:right="860"/>
        <w:spacing w:after="0" w:line="231" w:lineRule="auto"/>
        <w:rPr>
          <w:sz w:val="20"/>
          <w:szCs w:val="20"/>
          <w:color w:val="auto"/>
        </w:rPr>
      </w:pPr>
      <w:r>
        <w:rPr>
          <w:rFonts w:ascii="Arial" w:cs="Arial" w:eastAsia="Arial" w:hAnsi="Arial"/>
          <w:sz w:val="13"/>
          <w:szCs w:val="13"/>
          <w:i w:val="1"/>
          <w:iCs w:val="1"/>
          <w:color w:val="auto"/>
        </w:rPr>
        <w:t>Chairman, President and</w:t>
      </w:r>
    </w:p>
    <w:p>
      <w:pPr>
        <w:jc w:val="center"/>
        <w:ind w:right="860"/>
        <w:spacing w:after="0"/>
        <w:rPr>
          <w:sz w:val="20"/>
          <w:szCs w:val="20"/>
          <w:color w:val="auto"/>
        </w:rPr>
      </w:pPr>
      <w:r>
        <w:rPr>
          <w:rFonts w:ascii="Arial" w:cs="Arial" w:eastAsia="Arial" w:hAnsi="Arial"/>
          <w:sz w:val="13"/>
          <w:szCs w:val="13"/>
          <w:i w:val="1"/>
          <w:iCs w:val="1"/>
          <w:color w:val="auto"/>
        </w:rPr>
        <w:t>Chief Executive Officer</w:t>
      </w:r>
    </w:p>
    <w:p>
      <w:pPr>
        <w:spacing w:after="0" w:line="138" w:lineRule="exact"/>
        <w:rPr>
          <w:sz w:val="20"/>
          <w:szCs w:val="20"/>
          <w:color w:val="auto"/>
        </w:rPr>
      </w:pPr>
    </w:p>
    <w:p>
      <w:pPr>
        <w:ind w:left="1420"/>
        <w:spacing w:after="0"/>
        <w:rPr>
          <w:sz w:val="20"/>
          <w:szCs w:val="20"/>
          <w:color w:val="auto"/>
        </w:rPr>
      </w:pPr>
      <w:r>
        <w:rPr>
          <w:rFonts w:ascii="Arial" w:cs="Arial" w:eastAsia="Arial" w:hAnsi="Arial"/>
          <w:sz w:val="13"/>
          <w:szCs w:val="13"/>
          <w:color w:val="auto"/>
        </w:rPr>
        <w:t>/s/ GIOVANNA CIPRIANO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0</wp:posOffset>
            </wp:positionV>
            <wp:extent cx="2735580" cy="63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6">
                      <a:extLst>
                        <a:ext uri="{28A0092B-C50C-407E-A947-70E740481C1C}"/>
                      </a:extLst>
                    </a:blip>
                    <a:srcRect/>
                    <a:stretch>
                      <a:fillRect/>
                    </a:stretch>
                  </pic:blipFill>
                  <pic:spPr bwMode="auto">
                    <a:xfrm>
                      <a:off x="0" y="0"/>
                      <a:ext cx="2735580" cy="6350"/>
                    </a:xfrm>
                    <a:prstGeom prst="rect">
                      <a:avLst/>
                    </a:prstGeom>
                    <a:noFill/>
                  </pic:spPr>
                </pic:pic>
              </a:graphicData>
            </a:graphic>
          </wp:anchor>
        </w:drawing>
      </w:r>
    </w:p>
    <w:p>
      <w:pPr>
        <w:ind w:left="1640"/>
        <w:spacing w:after="0" w:line="237" w:lineRule="auto"/>
        <w:rPr>
          <w:sz w:val="20"/>
          <w:szCs w:val="20"/>
          <w:color w:val="auto"/>
        </w:rPr>
      </w:pPr>
      <w:r>
        <w:rPr>
          <w:rFonts w:ascii="Arial" w:cs="Arial" w:eastAsia="Arial" w:hAnsi="Arial"/>
          <w:sz w:val="13"/>
          <w:szCs w:val="13"/>
          <w:color w:val="auto"/>
        </w:rPr>
        <w:t>Giovanna Cipriano</w:t>
      </w:r>
    </w:p>
    <w:p>
      <w:pPr>
        <w:ind w:left="720"/>
        <w:spacing w:after="0"/>
        <w:rPr>
          <w:sz w:val="20"/>
          <w:szCs w:val="20"/>
          <w:color w:val="auto"/>
        </w:rPr>
      </w:pPr>
      <w:r>
        <w:rPr>
          <w:rFonts w:ascii="Arial" w:cs="Arial" w:eastAsia="Arial" w:hAnsi="Arial"/>
          <w:sz w:val="12"/>
          <w:szCs w:val="12"/>
          <w:i w:val="1"/>
          <w:iCs w:val="1"/>
          <w:color w:val="auto"/>
        </w:rPr>
        <w:t>Senior Vice President and Chief Accounting Officer</w:t>
      </w:r>
    </w:p>
    <w:p>
      <w:pPr>
        <w:spacing w:after="0" w:line="149" w:lineRule="exact"/>
        <w:rPr>
          <w:sz w:val="20"/>
          <w:szCs w:val="20"/>
          <w:color w:val="auto"/>
        </w:rPr>
      </w:pPr>
    </w:p>
    <w:p>
      <w:pPr>
        <w:ind w:left="1620"/>
        <w:spacing w:after="0"/>
        <w:rPr>
          <w:sz w:val="20"/>
          <w:szCs w:val="20"/>
          <w:color w:val="auto"/>
        </w:rPr>
      </w:pPr>
      <w:r>
        <w:rPr>
          <w:rFonts w:ascii="Arial" w:cs="Arial" w:eastAsia="Arial" w:hAnsi="Arial"/>
          <w:sz w:val="13"/>
          <w:szCs w:val="13"/>
          <w:color w:val="auto"/>
        </w:rPr>
        <w:t>/s/ MAXINE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0</wp:posOffset>
            </wp:positionV>
            <wp:extent cx="2735580" cy="63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7">
                      <a:extLst>
                        <a:ext uri="{28A0092B-C50C-407E-A947-70E740481C1C}"/>
                      </a:extLst>
                    </a:blip>
                    <a:srcRect/>
                    <a:stretch>
                      <a:fillRect/>
                    </a:stretch>
                  </pic:blipFill>
                  <pic:spPr bwMode="auto">
                    <a:xfrm>
                      <a:off x="0" y="0"/>
                      <a:ext cx="2735580" cy="6350"/>
                    </a:xfrm>
                    <a:prstGeom prst="rect">
                      <a:avLst/>
                    </a:prstGeom>
                    <a:noFill/>
                  </pic:spPr>
                </pic:pic>
              </a:graphicData>
            </a:graphic>
          </wp:anchor>
        </w:drawing>
      </w:r>
    </w:p>
    <w:p>
      <w:pPr>
        <w:jc w:val="center"/>
        <w:ind w:right="860"/>
        <w:spacing w:after="0" w:line="237" w:lineRule="auto"/>
        <w:rPr>
          <w:sz w:val="20"/>
          <w:szCs w:val="20"/>
          <w:color w:val="auto"/>
        </w:rPr>
      </w:pPr>
      <w:r>
        <w:rPr>
          <w:rFonts w:ascii="Arial" w:cs="Arial" w:eastAsia="Arial" w:hAnsi="Arial"/>
          <w:sz w:val="13"/>
          <w:szCs w:val="13"/>
          <w:color w:val="auto"/>
        </w:rPr>
        <w:t>Maxine Clark</w:t>
      </w:r>
    </w:p>
    <w:p>
      <w:pPr>
        <w:jc w:val="center"/>
        <w:ind w:right="860"/>
        <w:spacing w:after="0"/>
        <w:rPr>
          <w:sz w:val="20"/>
          <w:szCs w:val="20"/>
          <w:color w:val="auto"/>
        </w:rPr>
      </w:pPr>
      <w:r>
        <w:rPr>
          <w:rFonts w:ascii="Arial" w:cs="Arial" w:eastAsia="Arial" w:hAnsi="Arial"/>
          <w:sz w:val="13"/>
          <w:szCs w:val="13"/>
          <w:i w:val="1"/>
          <w:iCs w:val="1"/>
          <w:color w:val="auto"/>
        </w:rPr>
        <w:t>Director</w:t>
      </w:r>
    </w:p>
    <w:p>
      <w:pPr>
        <w:spacing w:after="0" w:line="138" w:lineRule="exact"/>
        <w:rPr>
          <w:sz w:val="20"/>
          <w:szCs w:val="20"/>
          <w:color w:val="auto"/>
        </w:rPr>
      </w:pPr>
    </w:p>
    <w:p>
      <w:pPr>
        <w:ind w:left="1520"/>
        <w:spacing w:after="0"/>
        <w:rPr>
          <w:sz w:val="20"/>
          <w:szCs w:val="20"/>
          <w:color w:val="auto"/>
        </w:rPr>
      </w:pPr>
      <w:r>
        <w:rPr>
          <w:rFonts w:ascii="Arial" w:cs="Arial" w:eastAsia="Arial" w:hAnsi="Arial"/>
          <w:sz w:val="13"/>
          <w:szCs w:val="13"/>
          <w:color w:val="auto"/>
        </w:rPr>
        <w:t>/s/ ALAN D. FELDMAN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0</wp:posOffset>
            </wp:positionV>
            <wp:extent cx="2735580" cy="63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8">
                      <a:extLst>
                        <a:ext uri="{28A0092B-C50C-407E-A947-70E740481C1C}"/>
                      </a:extLst>
                    </a:blip>
                    <a:srcRect/>
                    <a:stretch>
                      <a:fillRect/>
                    </a:stretch>
                  </pic:blipFill>
                  <pic:spPr bwMode="auto">
                    <a:xfrm>
                      <a:off x="0" y="0"/>
                      <a:ext cx="2735580" cy="6350"/>
                    </a:xfrm>
                    <a:prstGeom prst="rect">
                      <a:avLst/>
                    </a:prstGeom>
                    <a:noFill/>
                  </pic:spPr>
                </pic:pic>
              </a:graphicData>
            </a:graphic>
          </wp:anchor>
        </w:drawing>
      </w:r>
    </w:p>
    <w:p>
      <w:pPr>
        <w:ind w:left="1700"/>
        <w:spacing w:after="0" w:line="237" w:lineRule="auto"/>
        <w:rPr>
          <w:sz w:val="20"/>
          <w:szCs w:val="20"/>
          <w:color w:val="auto"/>
        </w:rPr>
      </w:pPr>
      <w:r>
        <w:rPr>
          <w:rFonts w:ascii="Arial" w:cs="Arial" w:eastAsia="Arial" w:hAnsi="Arial"/>
          <w:sz w:val="13"/>
          <w:szCs w:val="13"/>
          <w:color w:val="auto"/>
        </w:rPr>
        <w:t>Alan D. Feldman</w:t>
      </w:r>
    </w:p>
    <w:p>
      <w:pPr>
        <w:ind w:left="1960"/>
        <w:spacing w:after="0"/>
        <w:rPr>
          <w:sz w:val="20"/>
          <w:szCs w:val="20"/>
          <w:color w:val="auto"/>
        </w:rPr>
      </w:pPr>
      <w:r>
        <w:rPr>
          <w:rFonts w:ascii="Arial" w:cs="Arial" w:eastAsia="Arial" w:hAnsi="Arial"/>
          <w:sz w:val="13"/>
          <w:szCs w:val="13"/>
          <w:i w:val="1"/>
          <w:iCs w:val="1"/>
          <w:color w:val="auto"/>
        </w:rPr>
        <w:t>Director</w:t>
      </w:r>
    </w:p>
    <w:p>
      <w:pPr>
        <w:spacing w:after="0" w:line="138" w:lineRule="exact"/>
        <w:rPr>
          <w:sz w:val="20"/>
          <w:szCs w:val="20"/>
          <w:color w:val="auto"/>
        </w:rPr>
      </w:pPr>
    </w:p>
    <w:p>
      <w:pPr>
        <w:ind w:left="1320"/>
        <w:spacing w:after="0"/>
        <w:rPr>
          <w:sz w:val="20"/>
          <w:szCs w:val="20"/>
          <w:color w:val="auto"/>
        </w:rPr>
      </w:pPr>
      <w:r>
        <w:rPr>
          <w:rFonts w:ascii="Arial" w:cs="Arial" w:eastAsia="Arial" w:hAnsi="Arial"/>
          <w:sz w:val="13"/>
          <w:szCs w:val="13"/>
          <w:color w:val="auto"/>
        </w:rPr>
        <w:t>/s/ GUILLERMO G. MARMOL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0</wp:posOffset>
            </wp:positionV>
            <wp:extent cx="2735580" cy="63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9">
                      <a:extLst>
                        <a:ext uri="{28A0092B-C50C-407E-A947-70E740481C1C}"/>
                      </a:extLst>
                    </a:blip>
                    <a:srcRect/>
                    <a:stretch>
                      <a:fillRect/>
                    </a:stretch>
                  </pic:blipFill>
                  <pic:spPr bwMode="auto">
                    <a:xfrm>
                      <a:off x="0" y="0"/>
                      <a:ext cx="2735580" cy="6350"/>
                    </a:xfrm>
                    <a:prstGeom prst="rect">
                      <a:avLst/>
                    </a:prstGeom>
                    <a:noFill/>
                  </pic:spPr>
                </pic:pic>
              </a:graphicData>
            </a:graphic>
          </wp:anchor>
        </w:drawing>
      </w:r>
    </w:p>
    <w:p>
      <w:pPr>
        <w:jc w:val="center"/>
        <w:ind w:right="860"/>
        <w:spacing w:after="0" w:line="237" w:lineRule="auto"/>
        <w:rPr>
          <w:sz w:val="20"/>
          <w:szCs w:val="20"/>
          <w:color w:val="auto"/>
        </w:rPr>
      </w:pPr>
      <w:r>
        <w:rPr>
          <w:rFonts w:ascii="Arial" w:cs="Arial" w:eastAsia="Arial" w:hAnsi="Arial"/>
          <w:sz w:val="13"/>
          <w:szCs w:val="13"/>
          <w:color w:val="auto"/>
        </w:rPr>
        <w:t>Guillermo G. Marmol</w:t>
      </w:r>
    </w:p>
    <w:p>
      <w:pPr>
        <w:jc w:val="center"/>
        <w:ind w:right="860"/>
        <w:spacing w:after="0"/>
        <w:rPr>
          <w:sz w:val="20"/>
          <w:szCs w:val="20"/>
          <w:color w:val="auto"/>
        </w:rPr>
      </w:pPr>
      <w:r>
        <w:rPr>
          <w:rFonts w:ascii="Arial" w:cs="Arial" w:eastAsia="Arial" w:hAnsi="Arial"/>
          <w:sz w:val="13"/>
          <w:szCs w:val="13"/>
          <w:i w:val="1"/>
          <w:iCs w:val="1"/>
          <w:color w:val="auto"/>
        </w:rPr>
        <w:t>Director</w:t>
      </w:r>
    </w:p>
    <w:p>
      <w:pPr>
        <w:spacing w:after="0" w:line="138" w:lineRule="exact"/>
        <w:rPr>
          <w:sz w:val="20"/>
          <w:szCs w:val="20"/>
          <w:color w:val="auto"/>
        </w:rPr>
      </w:pPr>
    </w:p>
    <w:p>
      <w:pPr>
        <w:ind w:left="1340"/>
        <w:spacing w:after="0"/>
        <w:rPr>
          <w:sz w:val="20"/>
          <w:szCs w:val="20"/>
          <w:color w:val="auto"/>
        </w:rPr>
      </w:pPr>
      <w:r>
        <w:rPr>
          <w:rFonts w:ascii="Arial" w:cs="Arial" w:eastAsia="Arial" w:hAnsi="Arial"/>
          <w:sz w:val="13"/>
          <w:szCs w:val="13"/>
          <w:color w:val="auto"/>
        </w:rPr>
        <w:t>/s/ MATTHEW M. MCKENNA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0</wp:posOffset>
            </wp:positionV>
            <wp:extent cx="2735580" cy="63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0">
                      <a:extLst>
                        <a:ext uri="{28A0092B-C50C-407E-A947-70E740481C1C}"/>
                      </a:extLst>
                    </a:blip>
                    <a:srcRect/>
                    <a:stretch>
                      <a:fillRect/>
                    </a:stretch>
                  </pic:blipFill>
                  <pic:spPr bwMode="auto">
                    <a:xfrm>
                      <a:off x="0" y="0"/>
                      <a:ext cx="2735580" cy="6350"/>
                    </a:xfrm>
                    <a:prstGeom prst="rect">
                      <a:avLst/>
                    </a:prstGeom>
                    <a:noFill/>
                  </pic:spPr>
                </pic:pic>
              </a:graphicData>
            </a:graphic>
          </wp:anchor>
        </w:drawing>
      </w:r>
    </w:p>
    <w:p>
      <w:pPr>
        <w:ind w:left="1560"/>
        <w:spacing w:after="0" w:line="237" w:lineRule="auto"/>
        <w:rPr>
          <w:sz w:val="20"/>
          <w:szCs w:val="20"/>
          <w:color w:val="auto"/>
        </w:rPr>
      </w:pPr>
      <w:r>
        <w:rPr>
          <w:rFonts w:ascii="Arial" w:cs="Arial" w:eastAsia="Arial" w:hAnsi="Arial"/>
          <w:sz w:val="13"/>
          <w:szCs w:val="13"/>
          <w:color w:val="auto"/>
        </w:rPr>
        <w:t>Matthew M. McKenna</w:t>
      </w:r>
    </w:p>
    <w:p>
      <w:pPr>
        <w:ind w:left="1960"/>
        <w:spacing w:after="0"/>
        <w:rPr>
          <w:sz w:val="20"/>
          <w:szCs w:val="20"/>
          <w:color w:val="auto"/>
        </w:rPr>
      </w:pPr>
      <w:r>
        <w:rPr>
          <w:rFonts w:ascii="Arial" w:cs="Arial" w:eastAsia="Arial" w:hAnsi="Arial"/>
          <w:sz w:val="13"/>
          <w:szCs w:val="13"/>
          <w:i w:val="1"/>
          <w:iCs w:val="1"/>
          <w:color w:val="auto"/>
        </w:rPr>
        <w:t>Director</w:t>
      </w:r>
    </w:p>
    <w:p>
      <w:pPr>
        <w:spacing w:after="0" w:line="138" w:lineRule="exact"/>
        <w:rPr>
          <w:sz w:val="20"/>
          <w:szCs w:val="20"/>
          <w:color w:val="auto"/>
        </w:rPr>
      </w:pPr>
    </w:p>
    <w:p>
      <w:pPr>
        <w:ind w:left="1520"/>
        <w:spacing w:after="0"/>
        <w:rPr>
          <w:sz w:val="20"/>
          <w:szCs w:val="20"/>
          <w:color w:val="auto"/>
        </w:rPr>
      </w:pPr>
      <w:r>
        <w:rPr>
          <w:rFonts w:ascii="Arial" w:cs="Arial" w:eastAsia="Arial" w:hAnsi="Arial"/>
          <w:sz w:val="13"/>
          <w:szCs w:val="13"/>
          <w:color w:val="auto"/>
        </w:rPr>
        <w:t>/s/ STEVEN OAKLAND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0</wp:posOffset>
            </wp:positionV>
            <wp:extent cx="2735580" cy="63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1">
                      <a:extLst>
                        <a:ext uri="{28A0092B-C50C-407E-A947-70E740481C1C}"/>
                      </a:extLst>
                    </a:blip>
                    <a:srcRect/>
                    <a:stretch>
                      <a:fillRect/>
                    </a:stretch>
                  </pic:blipFill>
                  <pic:spPr bwMode="auto">
                    <a:xfrm>
                      <a:off x="0" y="0"/>
                      <a:ext cx="2735580" cy="6350"/>
                    </a:xfrm>
                    <a:prstGeom prst="rect">
                      <a:avLst/>
                    </a:prstGeom>
                    <a:noFill/>
                  </pic:spPr>
                </pic:pic>
              </a:graphicData>
            </a:graphic>
          </wp:anchor>
        </w:drawing>
      </w:r>
    </w:p>
    <w:p>
      <w:pPr>
        <w:jc w:val="center"/>
        <w:ind w:right="860"/>
        <w:spacing w:after="0" w:line="237" w:lineRule="auto"/>
        <w:rPr>
          <w:sz w:val="20"/>
          <w:szCs w:val="20"/>
          <w:color w:val="auto"/>
        </w:rPr>
      </w:pPr>
      <w:r>
        <w:rPr>
          <w:rFonts w:ascii="Arial" w:cs="Arial" w:eastAsia="Arial" w:hAnsi="Arial"/>
          <w:sz w:val="13"/>
          <w:szCs w:val="13"/>
          <w:color w:val="auto"/>
        </w:rPr>
        <w:t>Steven Oakland</w:t>
      </w:r>
    </w:p>
    <w:p>
      <w:pPr>
        <w:jc w:val="center"/>
        <w:ind w:right="860"/>
        <w:spacing w:after="0"/>
        <w:rPr>
          <w:sz w:val="20"/>
          <w:szCs w:val="20"/>
          <w:color w:val="auto"/>
        </w:rPr>
      </w:pPr>
      <w:r>
        <w:rPr>
          <w:rFonts w:ascii="Arial" w:cs="Arial" w:eastAsia="Arial" w:hAnsi="Arial"/>
          <w:sz w:val="13"/>
          <w:szCs w:val="13"/>
          <w:i w:val="1"/>
          <w:iCs w:val="1"/>
          <w:color w:val="auto"/>
        </w:rPr>
        <w:t>Director</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left="160"/>
        <w:spacing w:after="0"/>
        <w:rPr>
          <w:sz w:val="20"/>
          <w:szCs w:val="20"/>
          <w:color w:val="auto"/>
        </w:rPr>
      </w:pPr>
      <w:r>
        <w:rPr>
          <w:rFonts w:ascii="Arial" w:cs="Arial" w:eastAsia="Arial" w:hAnsi="Arial"/>
          <w:sz w:val="13"/>
          <w:szCs w:val="13"/>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-813435</wp:posOffset>
            </wp:positionH>
            <wp:positionV relativeFrom="paragraph">
              <wp:posOffset>0</wp:posOffset>
            </wp:positionV>
            <wp:extent cx="2729230" cy="63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2">
                      <a:extLst>
                        <a:ext uri="{28A0092B-C50C-407E-A947-70E740481C1C}"/>
                      </a:extLst>
                    </a:blip>
                    <a:srcRect/>
                    <a:stretch>
                      <a:fillRect/>
                    </a:stretch>
                  </pic:blipFill>
                  <pic:spPr bwMode="auto">
                    <a:xfrm>
                      <a:off x="0" y="0"/>
                      <a:ext cx="2729230" cy="6350"/>
                    </a:xfrm>
                    <a:prstGeom prst="rect">
                      <a:avLst/>
                    </a:prstGeom>
                    <a:noFill/>
                  </pic:spPr>
                </pic:pic>
              </a:graphicData>
            </a:graphic>
          </wp:anchor>
        </w:drawing>
      </w:r>
    </w:p>
    <w:p>
      <w:pPr>
        <w:ind w:left="380"/>
        <w:spacing w:after="0" w:line="237" w:lineRule="auto"/>
        <w:rPr>
          <w:sz w:val="20"/>
          <w:szCs w:val="20"/>
          <w:color w:val="auto"/>
        </w:rPr>
      </w:pPr>
      <w:r>
        <w:rPr>
          <w:rFonts w:ascii="Arial" w:cs="Arial" w:eastAsia="Arial" w:hAnsi="Arial"/>
          <w:sz w:val="13"/>
          <w:szCs w:val="13"/>
          <w:color w:val="auto"/>
        </w:rPr>
        <w:t>Lauren B. Peters</w:t>
      </w:r>
    </w:p>
    <w:p>
      <w:pPr>
        <w:jc w:val="center"/>
        <w:ind w:right="1319"/>
        <w:spacing w:after="0" w:line="231" w:lineRule="auto"/>
        <w:rPr>
          <w:sz w:val="20"/>
          <w:szCs w:val="20"/>
          <w:color w:val="auto"/>
        </w:rPr>
      </w:pPr>
      <w:r>
        <w:rPr>
          <w:rFonts w:ascii="Arial" w:cs="Arial" w:eastAsia="Arial" w:hAnsi="Arial"/>
          <w:sz w:val="13"/>
          <w:szCs w:val="13"/>
          <w:i w:val="1"/>
          <w:iCs w:val="1"/>
          <w:color w:val="auto"/>
        </w:rPr>
        <w:t>Executive Vice President and</w:t>
      </w:r>
    </w:p>
    <w:p>
      <w:pPr>
        <w:jc w:val="center"/>
        <w:ind w:right="1319"/>
        <w:spacing w:after="0"/>
        <w:rPr>
          <w:sz w:val="20"/>
          <w:szCs w:val="20"/>
          <w:color w:val="auto"/>
        </w:rPr>
      </w:pPr>
      <w:r>
        <w:rPr>
          <w:rFonts w:ascii="Arial" w:cs="Arial" w:eastAsia="Arial" w:hAnsi="Arial"/>
          <w:sz w:val="13"/>
          <w:szCs w:val="13"/>
          <w:i w:val="1"/>
          <w:iCs w:val="1"/>
          <w:color w:val="auto"/>
        </w:rPr>
        <w:t>Chief Financial Officer</w:t>
      </w:r>
    </w:p>
    <w:p>
      <w:pPr>
        <w:spacing w:after="0" w:line="138" w:lineRule="exact"/>
        <w:rPr>
          <w:sz w:val="20"/>
          <w:szCs w:val="20"/>
          <w:color w:val="auto"/>
        </w:rPr>
      </w:pPr>
    </w:p>
    <w:p>
      <w:pPr>
        <w:ind w:left="220"/>
        <w:spacing w:after="0"/>
        <w:rPr>
          <w:sz w:val="20"/>
          <w:szCs w:val="20"/>
          <w:color w:val="auto"/>
        </w:rPr>
      </w:pPr>
      <w:r>
        <w:rPr>
          <w:rFonts w:ascii="Arial" w:cs="Arial" w:eastAsia="Arial" w:hAnsi="Arial"/>
          <w:sz w:val="13"/>
          <w:szCs w:val="13"/>
          <w:color w:val="auto"/>
        </w:rPr>
        <w:t>/s/ ULICE PAYNE,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-813435</wp:posOffset>
            </wp:positionH>
            <wp:positionV relativeFrom="paragraph">
              <wp:posOffset>0</wp:posOffset>
            </wp:positionV>
            <wp:extent cx="2729230" cy="63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3">
                      <a:extLst>
                        <a:ext uri="{28A0092B-C50C-407E-A947-70E740481C1C}"/>
                      </a:extLst>
                    </a:blip>
                    <a:srcRect/>
                    <a:stretch>
                      <a:fillRect/>
                    </a:stretch>
                  </pic:blipFill>
                  <pic:spPr bwMode="auto">
                    <a:xfrm>
                      <a:off x="0" y="0"/>
                      <a:ext cx="2729230" cy="6350"/>
                    </a:xfrm>
                    <a:prstGeom prst="rect">
                      <a:avLst/>
                    </a:prstGeom>
                    <a:noFill/>
                  </pic:spPr>
                </pic:pic>
              </a:graphicData>
            </a:graphic>
          </wp:anchor>
        </w:drawing>
      </w:r>
    </w:p>
    <w:p>
      <w:pPr>
        <w:ind w:left="420"/>
        <w:spacing w:after="0" w:line="237" w:lineRule="auto"/>
        <w:rPr>
          <w:sz w:val="20"/>
          <w:szCs w:val="20"/>
          <w:color w:val="auto"/>
        </w:rPr>
      </w:pPr>
      <w:r>
        <w:rPr>
          <w:rFonts w:ascii="Arial" w:cs="Arial" w:eastAsia="Arial" w:hAnsi="Arial"/>
          <w:sz w:val="13"/>
          <w:szCs w:val="13"/>
          <w:color w:val="auto"/>
        </w:rPr>
        <w:t>Ulice Payne, Jr.</w:t>
      </w:r>
    </w:p>
    <w:p>
      <w:pPr>
        <w:ind w:left="640"/>
        <w:spacing w:after="0"/>
        <w:rPr>
          <w:sz w:val="20"/>
          <w:szCs w:val="20"/>
          <w:color w:val="auto"/>
        </w:rPr>
      </w:pPr>
      <w:r>
        <w:rPr>
          <w:rFonts w:ascii="Arial" w:cs="Arial" w:eastAsia="Arial" w:hAnsi="Arial"/>
          <w:sz w:val="13"/>
          <w:szCs w:val="13"/>
          <w:i w:val="1"/>
          <w:iCs w:val="1"/>
          <w:color w:val="auto"/>
        </w:rPr>
        <w:t>Director</w:t>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3"/>
          <w:szCs w:val="13"/>
          <w:color w:val="auto"/>
        </w:rPr>
        <w:t>/s/ DARLENE NICOSIA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-813435</wp:posOffset>
            </wp:positionH>
            <wp:positionV relativeFrom="paragraph">
              <wp:posOffset>0</wp:posOffset>
            </wp:positionV>
            <wp:extent cx="2729230" cy="63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4">
                      <a:extLst>
                        <a:ext uri="{28A0092B-C50C-407E-A947-70E740481C1C}"/>
                      </a:extLst>
                    </a:blip>
                    <a:srcRect/>
                    <a:stretch>
                      <a:fillRect/>
                    </a:stretch>
                  </pic:blipFill>
                  <pic:spPr bwMode="auto">
                    <a:xfrm>
                      <a:off x="0" y="0"/>
                      <a:ext cx="2729230" cy="6350"/>
                    </a:xfrm>
                    <a:prstGeom prst="rect">
                      <a:avLst/>
                    </a:prstGeom>
                    <a:noFill/>
                  </pic:spPr>
                </pic:pic>
              </a:graphicData>
            </a:graphic>
          </wp:anchor>
        </w:drawing>
      </w:r>
    </w:p>
    <w:p>
      <w:pPr>
        <w:jc w:val="center"/>
        <w:ind w:right="1319"/>
        <w:spacing w:after="0" w:line="237" w:lineRule="auto"/>
        <w:rPr>
          <w:sz w:val="20"/>
          <w:szCs w:val="20"/>
          <w:color w:val="auto"/>
        </w:rPr>
      </w:pPr>
      <w:r>
        <w:rPr>
          <w:rFonts w:ascii="Arial" w:cs="Arial" w:eastAsia="Arial" w:hAnsi="Arial"/>
          <w:sz w:val="13"/>
          <w:szCs w:val="13"/>
          <w:color w:val="auto"/>
        </w:rPr>
        <w:t>Darlene Nicosia</w:t>
      </w:r>
    </w:p>
    <w:p>
      <w:pPr>
        <w:jc w:val="center"/>
        <w:ind w:right="1319"/>
        <w:spacing w:after="0"/>
        <w:rPr>
          <w:sz w:val="20"/>
          <w:szCs w:val="20"/>
          <w:color w:val="auto"/>
        </w:rPr>
      </w:pPr>
      <w:r>
        <w:rPr>
          <w:rFonts w:ascii="Arial" w:cs="Arial" w:eastAsia="Arial" w:hAnsi="Arial"/>
          <w:sz w:val="13"/>
          <w:szCs w:val="13"/>
          <w:i w:val="1"/>
          <w:iCs w:val="1"/>
          <w:color w:val="auto"/>
        </w:rPr>
        <w:t>Director</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color w:val="auto"/>
        </w:rPr>
        <w:t>/s/ KIMBERLY K. UNDERHILL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-813435</wp:posOffset>
            </wp:positionH>
            <wp:positionV relativeFrom="paragraph">
              <wp:posOffset>6350</wp:posOffset>
            </wp:positionV>
            <wp:extent cx="2729230" cy="63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5">
                      <a:extLst>
                        <a:ext uri="{28A0092B-C50C-407E-A947-70E740481C1C}"/>
                      </a:extLst>
                    </a:blip>
                    <a:srcRect/>
                    <a:stretch>
                      <a:fillRect/>
                    </a:stretch>
                  </pic:blipFill>
                  <pic:spPr bwMode="auto">
                    <a:xfrm>
                      <a:off x="0" y="0"/>
                      <a:ext cx="2729230" cy="635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3"/>
          <w:szCs w:val="13"/>
          <w:color w:val="auto"/>
        </w:rPr>
        <w:t>Kimberly K. Underhill</w:t>
      </w:r>
    </w:p>
    <w:p>
      <w:pPr>
        <w:ind w:left="640"/>
        <w:spacing w:after="0"/>
        <w:rPr>
          <w:sz w:val="20"/>
          <w:szCs w:val="20"/>
          <w:color w:val="auto"/>
        </w:rPr>
      </w:pPr>
      <w:r>
        <w:rPr>
          <w:rFonts w:ascii="Arial" w:cs="Arial" w:eastAsia="Arial" w:hAnsi="Arial"/>
          <w:sz w:val="13"/>
          <w:szCs w:val="13"/>
          <w:i w:val="1"/>
          <w:iCs w:val="1"/>
          <w:color w:val="auto"/>
        </w:rPr>
        <w:t>Director</w:t>
      </w:r>
    </w:p>
    <w:p>
      <w:pPr>
        <w:spacing w:after="0" w:line="138" w:lineRule="exact"/>
        <w:rPr>
          <w:sz w:val="20"/>
          <w:szCs w:val="20"/>
          <w:color w:val="auto"/>
        </w:rPr>
      </w:pPr>
    </w:p>
    <w:p>
      <w:pPr>
        <w:ind w:left="220"/>
        <w:spacing w:after="0"/>
        <w:rPr>
          <w:sz w:val="20"/>
          <w:szCs w:val="20"/>
          <w:color w:val="auto"/>
        </w:rPr>
      </w:pPr>
      <w:r>
        <w:rPr>
          <w:rFonts w:ascii="Arial" w:cs="Arial" w:eastAsia="Arial" w:hAnsi="Arial"/>
          <w:sz w:val="13"/>
          <w:szCs w:val="13"/>
          <w:color w:val="auto"/>
        </w:rPr>
        <w:t>/s/ TRISTAN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-813435</wp:posOffset>
            </wp:positionH>
            <wp:positionV relativeFrom="paragraph">
              <wp:posOffset>0</wp:posOffset>
            </wp:positionV>
            <wp:extent cx="2729230" cy="63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6">
                      <a:extLst>
                        <a:ext uri="{28A0092B-C50C-407E-A947-70E740481C1C}"/>
                      </a:extLst>
                    </a:blip>
                    <a:srcRect/>
                    <a:stretch>
                      <a:fillRect/>
                    </a:stretch>
                  </pic:blipFill>
                  <pic:spPr bwMode="auto">
                    <a:xfrm>
                      <a:off x="0" y="0"/>
                      <a:ext cx="2729230" cy="6350"/>
                    </a:xfrm>
                    <a:prstGeom prst="rect">
                      <a:avLst/>
                    </a:prstGeom>
                    <a:noFill/>
                  </pic:spPr>
                </pic:pic>
              </a:graphicData>
            </a:graphic>
          </wp:anchor>
        </w:drawing>
      </w:r>
    </w:p>
    <w:p>
      <w:pPr>
        <w:jc w:val="center"/>
        <w:ind w:right="1319"/>
        <w:spacing w:after="0" w:line="237" w:lineRule="auto"/>
        <w:rPr>
          <w:sz w:val="20"/>
          <w:szCs w:val="20"/>
          <w:color w:val="auto"/>
        </w:rPr>
      </w:pPr>
      <w:r>
        <w:rPr>
          <w:rFonts w:ascii="Arial" w:cs="Arial" w:eastAsia="Arial" w:hAnsi="Arial"/>
          <w:sz w:val="13"/>
          <w:szCs w:val="13"/>
          <w:color w:val="auto"/>
        </w:rPr>
        <w:t>Tristan Walker</w:t>
      </w:r>
    </w:p>
    <w:p>
      <w:pPr>
        <w:jc w:val="center"/>
        <w:ind w:right="1319"/>
        <w:spacing w:after="0"/>
        <w:rPr>
          <w:sz w:val="20"/>
          <w:szCs w:val="20"/>
          <w:color w:val="auto"/>
        </w:rPr>
      </w:pPr>
      <w:r>
        <w:rPr>
          <w:rFonts w:ascii="Arial" w:cs="Arial" w:eastAsia="Arial" w:hAnsi="Arial"/>
          <w:sz w:val="13"/>
          <w:szCs w:val="13"/>
          <w:i w:val="1"/>
          <w:iCs w:val="1"/>
          <w:color w:val="auto"/>
        </w:rPr>
        <w:t>Director</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3"/>
          <w:szCs w:val="13"/>
          <w:color w:val="auto"/>
        </w:rPr>
        <w:t>/s/ DONA D.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-813435</wp:posOffset>
            </wp:positionH>
            <wp:positionV relativeFrom="paragraph">
              <wp:posOffset>0</wp:posOffset>
            </wp:positionV>
            <wp:extent cx="2729230" cy="63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7">
                      <a:extLst>
                        <a:ext uri="{28A0092B-C50C-407E-A947-70E740481C1C}"/>
                      </a:extLst>
                    </a:blip>
                    <a:srcRect/>
                    <a:stretch>
                      <a:fillRect/>
                    </a:stretch>
                  </pic:blipFill>
                  <pic:spPr bwMode="auto">
                    <a:xfrm>
                      <a:off x="0" y="0"/>
                      <a:ext cx="2729230" cy="6350"/>
                    </a:xfrm>
                    <a:prstGeom prst="rect">
                      <a:avLst/>
                    </a:prstGeom>
                    <a:noFill/>
                  </pic:spPr>
                </pic:pic>
              </a:graphicData>
            </a:graphic>
          </wp:anchor>
        </w:drawing>
      </w:r>
    </w:p>
    <w:p>
      <w:pPr>
        <w:ind w:left="420"/>
        <w:spacing w:after="0" w:line="237" w:lineRule="auto"/>
        <w:rPr>
          <w:sz w:val="20"/>
          <w:szCs w:val="20"/>
          <w:color w:val="auto"/>
        </w:rPr>
      </w:pPr>
      <w:r>
        <w:rPr>
          <w:rFonts w:ascii="Arial" w:cs="Arial" w:eastAsia="Arial" w:hAnsi="Arial"/>
          <w:sz w:val="13"/>
          <w:szCs w:val="13"/>
          <w:color w:val="auto"/>
        </w:rPr>
        <w:t>Dona D. Young</w:t>
      </w:r>
    </w:p>
    <w:p>
      <w:pPr>
        <w:ind w:left="480"/>
        <w:spacing w:after="0"/>
        <w:rPr>
          <w:sz w:val="20"/>
          <w:szCs w:val="20"/>
          <w:color w:val="auto"/>
        </w:rPr>
      </w:pPr>
      <w:r>
        <w:rPr>
          <w:rFonts w:ascii="Arial" w:cs="Arial" w:eastAsia="Arial" w:hAnsi="Arial"/>
          <w:sz w:val="13"/>
          <w:szCs w:val="13"/>
          <w:i w:val="1"/>
          <w:iCs w:val="1"/>
          <w:color w:val="auto"/>
        </w:rPr>
        <w:t>Lead Director</w:t>
      </w:r>
    </w:p>
    <w:p>
      <w:pPr>
        <w:spacing w:after="0" w:line="784" w:lineRule="exact"/>
        <w:rPr>
          <w:sz w:val="20"/>
          <w:szCs w:val="20"/>
          <w:color w:val="auto"/>
        </w:rPr>
      </w:pPr>
    </w:p>
    <w:p>
      <w:pPr>
        <w:sectPr>
          <w:pgSz w:w="11900" w:h="16838" w:orient="portrait"/>
          <w:cols w:equalWidth="0" w:num="2">
            <w:col w:w="5240" w:space="720"/>
            <w:col w:w="3059"/>
          </w:cols>
          <w:pgMar w:left="1440" w:top="570" w:right="1440" w:bottom="1440" w:gutter="0" w:footer="0" w:header="0"/>
          <w:type w:val="continuous"/>
        </w:sectPr>
      </w:pPr>
    </w:p>
    <w:p>
      <w:pPr>
        <w:spacing w:after="0" w:line="200" w:lineRule="exact"/>
        <w:rPr>
          <w:sz w:val="20"/>
          <w:szCs w:val="20"/>
          <w:color w:val="auto"/>
        </w:rPr>
      </w:pPr>
    </w:p>
    <w:p>
      <w:pPr>
        <w:spacing w:after="0" w:line="343" w:lineRule="exact"/>
        <w:rPr>
          <w:sz w:val="20"/>
          <w:szCs w:val="20"/>
          <w:color w:val="auto"/>
        </w:rPr>
      </w:pPr>
    </w:p>
    <w:p>
      <w:pPr>
        <w:ind w:left="7520"/>
        <w:spacing w:after="0"/>
        <w:rPr>
          <w:sz w:val="20"/>
          <w:szCs w:val="20"/>
          <w:color w:val="auto"/>
        </w:rPr>
      </w:pPr>
      <w:r>
        <w:rPr>
          <w:rFonts w:ascii="Arial" w:cs="Arial" w:eastAsia="Arial" w:hAnsi="Arial"/>
          <w:sz w:val="12"/>
          <w:szCs w:val="12"/>
          <w:color w:val="auto"/>
        </w:rPr>
        <w:t>2020 Form 10-K Page 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365125</wp:posOffset>
            </wp:positionV>
            <wp:extent cx="5680075" cy="133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8">
                      <a:extLst>
                        <a:ext uri="{28A0092B-C50C-407E-A947-70E740481C1C}"/>
                      </a:extLst>
                    </a:blip>
                    <a:srcRect/>
                    <a:stretch>
                      <a:fillRect/>
                    </a:stretch>
                  </pic:blipFill>
                  <pic:spPr bwMode="auto">
                    <a:xfrm>
                      <a:off x="0" y="0"/>
                      <a:ext cx="5680075" cy="13335"/>
                    </a:xfrm>
                    <a:prstGeom prst="rect">
                      <a:avLst/>
                    </a:prstGeom>
                    <a:noFill/>
                  </pic:spPr>
                </pic:pic>
              </a:graphicData>
            </a:graphic>
          </wp:anchor>
        </w:drawing>
      </w:r>
    </w:p>
    <w:p>
      <w:pPr>
        <w:sectPr>
          <w:pgSz w:w="11900" w:h="16838" w:orient="portrait"/>
          <w:cols w:equalWidth="0" w:num="1">
            <w:col w:w="9019"/>
          </w:cols>
          <w:pgMar w:left="1440" w:top="570" w:right="1440" w:bottom="1440" w:gutter="0" w:footer="0" w:header="0"/>
          <w:type w:val="continuous"/>
        </w:sectPr>
      </w:pPr>
    </w:p>
    <w:bookmarkStart w:id="85" w:name="page86"/>
    <w:bookmarkEnd w:id="8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7520"/>
        <w:spacing w:after="0"/>
        <w:rPr>
          <w:sz w:val="20"/>
          <w:szCs w:val="20"/>
          <w:color w:val="auto"/>
        </w:rPr>
      </w:pPr>
      <w:r>
        <w:rPr>
          <w:rFonts w:ascii="Arial" w:cs="Arial" w:eastAsia="Arial" w:hAnsi="Arial"/>
          <w:sz w:val="12"/>
          <w:szCs w:val="12"/>
          <w:color w:val="auto"/>
        </w:rPr>
        <w:t>2020 Form 10-K Page 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365125</wp:posOffset>
            </wp:positionV>
            <wp:extent cx="5680075" cy="133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9">
                      <a:extLst>
                        <a:ext uri="{28A0092B-C50C-407E-A947-70E740481C1C}"/>
                      </a:extLst>
                    </a:blip>
                    <a:srcRect/>
                    <a:stretch>
                      <a:fillRect/>
                    </a:stretch>
                  </pic:blipFill>
                  <pic:spPr bwMode="auto">
                    <a:xfrm>
                      <a:off x="0" y="0"/>
                      <a:ext cx="5680075" cy="133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86" w:name="page87"/>
    <w:bookmarkEnd w:id="86"/>
    <w:p>
      <w:pPr>
        <w:jc w:val="right"/>
        <w:ind w:right="199"/>
        <w:spacing w:after="0"/>
        <w:rPr>
          <w:sz w:val="20"/>
          <w:szCs w:val="20"/>
          <w:color w:val="auto"/>
        </w:rPr>
      </w:pPr>
      <w:r>
        <w:rPr>
          <w:rFonts w:ascii="Arial" w:cs="Arial" w:eastAsia="Arial" w:hAnsi="Arial"/>
          <w:sz w:val="13"/>
          <w:szCs w:val="13"/>
          <w:b w:val="1"/>
          <w:bCs w:val="1"/>
          <w:color w:val="auto"/>
        </w:rPr>
        <w:t>Exhibit 4.3</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DESCRIPTION OF THE REGISTRANT’S SECURITIES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REGISTERED PURSUANT TO SECTION 12 OF THE SECURITIES</w:t>
      </w:r>
    </w:p>
    <w:p>
      <w:pPr>
        <w:jc w:val="center"/>
        <w:ind w:right="19"/>
        <w:spacing w:after="0"/>
        <w:rPr>
          <w:sz w:val="20"/>
          <w:szCs w:val="20"/>
          <w:color w:val="auto"/>
        </w:rPr>
      </w:pPr>
      <w:r>
        <w:rPr>
          <w:rFonts w:ascii="Arial" w:cs="Arial" w:eastAsia="Arial" w:hAnsi="Arial"/>
          <w:sz w:val="13"/>
          <w:szCs w:val="13"/>
          <w:b w:val="1"/>
          <w:bCs w:val="1"/>
          <w:color w:val="auto"/>
        </w:rPr>
        <w:t>EXCHANGE ACT OF 1934</w:t>
      </w:r>
    </w:p>
    <w:p>
      <w:pPr>
        <w:spacing w:after="0" w:line="261" w:lineRule="exact"/>
        <w:rPr>
          <w:sz w:val="20"/>
          <w:szCs w:val="20"/>
          <w:color w:val="auto"/>
        </w:rPr>
      </w:pPr>
    </w:p>
    <w:p>
      <w:pPr>
        <w:jc w:val="both"/>
        <w:ind w:left="180" w:right="199"/>
        <w:spacing w:after="0" w:line="250" w:lineRule="auto"/>
        <w:rPr>
          <w:sz w:val="20"/>
          <w:szCs w:val="20"/>
          <w:color w:val="auto"/>
        </w:rPr>
      </w:pPr>
      <w:r>
        <w:rPr>
          <w:rFonts w:ascii="Arial" w:cs="Arial" w:eastAsia="Arial" w:hAnsi="Arial"/>
          <w:sz w:val="13"/>
          <w:szCs w:val="13"/>
          <w:color w:val="auto"/>
        </w:rPr>
        <w:t>The following description of the common stock of Foot Locker, Inc. (“Foot Locker,” the “Company,” “we,” “us” and “our”) is based on our Certificate of Incorporation, as amended (our “Certificate of Incorporation”) and our Bylaws (our “Bylaws”). This description is summarized from, and qualified in its entirety by reference to the New York Business Corporation Law and the complete text of our Certificate of Incorporation and our Bylaws, which are filed as Exhibits 3.1 and 3.2, respectively, to our Annual Report on Form 10-K.</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DESCRIPTION OF COMMON STOCK</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auto"/>
        </w:rPr>
        <w:t>Authorized Shares of Capital Stock</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Our authorized capital stock consists of:</w:t>
      </w:r>
    </w:p>
    <w:p>
      <w:pPr>
        <w:spacing w:after="0" w:line="97" w:lineRule="exact"/>
        <w:rPr>
          <w:sz w:val="20"/>
          <w:szCs w:val="20"/>
          <w:color w:val="auto"/>
        </w:rPr>
      </w:pPr>
    </w:p>
    <w:p>
      <w:pPr>
        <w:ind w:left="680" w:hanging="245"/>
        <w:spacing w:after="0"/>
        <w:tabs>
          <w:tab w:leader="none" w:pos="6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500,000,000 shares of common stock, $0.01 par value per share; and</w:t>
      </w:r>
    </w:p>
    <w:p>
      <w:pPr>
        <w:spacing w:after="0" w:line="178" w:lineRule="exact"/>
        <w:rPr>
          <w:rFonts w:ascii="Arial" w:cs="Arial" w:eastAsia="Arial" w:hAnsi="Arial"/>
          <w:sz w:val="13"/>
          <w:szCs w:val="13"/>
          <w:color w:val="auto"/>
        </w:rPr>
      </w:pPr>
    </w:p>
    <w:p>
      <w:pPr>
        <w:ind w:left="680" w:hanging="245"/>
        <w:spacing w:after="0"/>
        <w:tabs>
          <w:tab w:leader="none" w:pos="680" w:val="left"/>
        </w:tabs>
        <w:numPr>
          <w:ilvl w:val="0"/>
          <w:numId w:val="39"/>
        </w:numPr>
        <w:rPr>
          <w:rFonts w:ascii="Arial" w:cs="Arial" w:eastAsia="Arial" w:hAnsi="Arial"/>
          <w:sz w:val="13"/>
          <w:szCs w:val="13"/>
          <w:color w:val="auto"/>
        </w:rPr>
      </w:pPr>
      <w:r>
        <w:rPr>
          <w:rFonts w:ascii="Arial" w:cs="Arial" w:eastAsia="Arial" w:hAnsi="Arial"/>
          <w:sz w:val="13"/>
          <w:szCs w:val="13"/>
          <w:color w:val="auto"/>
        </w:rPr>
        <w:t>7,000,000 shares of preferred stock, $1.00 par value per share.</w:t>
      </w:r>
    </w:p>
    <w:p>
      <w:pPr>
        <w:spacing w:after="0" w:line="153" w:lineRule="exact"/>
        <w:rPr>
          <w:sz w:val="20"/>
          <w:szCs w:val="20"/>
          <w:color w:val="auto"/>
        </w:rPr>
      </w:pPr>
    </w:p>
    <w:p>
      <w:pPr>
        <w:ind w:left="180"/>
        <w:spacing w:after="0"/>
        <w:rPr>
          <w:sz w:val="20"/>
          <w:szCs w:val="20"/>
          <w:color w:val="auto"/>
        </w:rPr>
      </w:pPr>
      <w:r>
        <w:rPr>
          <w:rFonts w:ascii="Arial" w:cs="Arial" w:eastAsia="Arial" w:hAnsi="Arial"/>
          <w:sz w:val="13"/>
          <w:szCs w:val="13"/>
          <w:b w:val="1"/>
          <w:bCs w:val="1"/>
          <w:i w:val="1"/>
          <w:iCs w:val="1"/>
          <w:color w:val="auto"/>
        </w:rPr>
        <w:t>Voting Rights</w:t>
      </w:r>
    </w:p>
    <w:p>
      <w:pPr>
        <w:spacing w:after="0" w:line="185" w:lineRule="exact"/>
        <w:rPr>
          <w:sz w:val="20"/>
          <w:szCs w:val="20"/>
          <w:color w:val="auto"/>
        </w:rPr>
      </w:pPr>
    </w:p>
    <w:p>
      <w:pPr>
        <w:jc w:val="both"/>
        <w:ind w:left="180" w:right="199"/>
        <w:spacing w:after="0" w:line="247" w:lineRule="auto"/>
        <w:rPr>
          <w:sz w:val="20"/>
          <w:szCs w:val="20"/>
          <w:color w:val="auto"/>
        </w:rPr>
      </w:pPr>
      <w:r>
        <w:rPr>
          <w:rFonts w:ascii="Arial" w:cs="Arial" w:eastAsia="Arial" w:hAnsi="Arial"/>
          <w:sz w:val="13"/>
          <w:szCs w:val="13"/>
          <w:color w:val="auto"/>
        </w:rPr>
        <w:t>The holders of our common stock are entitled to one vote for each share of stock held by such shareholder which has voting power upon the matter in question, including the election of directors. Except as otherwise provided by law, our Certificate of Incorporation or our Bylaws, matters will generally be decided by the holders of a majority of shares entitled to vote thereon. Our Bylaws provide that directors must be elected by a majority of the votes cast in elections for which the number of nominees for election does not exceed the number of directors to be elected. A plurality vote standard applies to contested elections where the number of nominees exceeds the number of directors to be elected. Our Corporate Governance Guidelines provide that any incumbent director who does not receive a majority of the votes cast in an uncontested election is required to tender his or her resignation for consideration by the Nominating and Corporate Governance Committee. The Nominating and Corporate Governance Committee will make a recommendation to the Board of Directors (“Board”) whether to accept or reject the resignation, or whether other action should be taken. The director who tenders his or her resignation will not participate in the Committee’s or the Board’s decision. In determining its recommendation to the Board, the Nominating and Corporate Governance Committee will consider all factors that it deems relevant. Following such determination, the Company will promptly disclose publicly the Board’s decision, including, if applicable, the reasons for rejecting the tendered resignation.</w:t>
      </w:r>
    </w:p>
    <w:p>
      <w:pPr>
        <w:spacing w:after="0" w:line="148" w:lineRule="exact"/>
        <w:rPr>
          <w:sz w:val="20"/>
          <w:szCs w:val="20"/>
          <w:color w:val="auto"/>
        </w:rPr>
      </w:pPr>
    </w:p>
    <w:p>
      <w:pPr>
        <w:ind w:left="180"/>
        <w:spacing w:after="0"/>
        <w:rPr>
          <w:sz w:val="20"/>
          <w:szCs w:val="20"/>
          <w:color w:val="auto"/>
        </w:rPr>
      </w:pPr>
      <w:r>
        <w:rPr>
          <w:rFonts w:ascii="Arial" w:cs="Arial" w:eastAsia="Arial" w:hAnsi="Arial"/>
          <w:sz w:val="13"/>
          <w:szCs w:val="13"/>
          <w:b w:val="1"/>
          <w:bCs w:val="1"/>
          <w:i w:val="1"/>
          <w:iCs w:val="1"/>
          <w:color w:val="auto"/>
        </w:rPr>
        <w:t>Dividends</w:t>
      </w:r>
    </w:p>
    <w:p>
      <w:pPr>
        <w:spacing w:after="0" w:line="185" w:lineRule="exact"/>
        <w:rPr>
          <w:sz w:val="20"/>
          <w:szCs w:val="20"/>
          <w:color w:val="auto"/>
        </w:rPr>
      </w:pPr>
    </w:p>
    <w:p>
      <w:pPr>
        <w:jc w:val="both"/>
        <w:ind w:left="180" w:right="199"/>
        <w:spacing w:after="0" w:line="256" w:lineRule="auto"/>
        <w:rPr>
          <w:sz w:val="20"/>
          <w:szCs w:val="20"/>
          <w:color w:val="auto"/>
        </w:rPr>
      </w:pPr>
      <w:r>
        <w:rPr>
          <w:rFonts w:ascii="Arial" w:cs="Arial" w:eastAsia="Arial" w:hAnsi="Arial"/>
          <w:sz w:val="13"/>
          <w:szCs w:val="13"/>
          <w:color w:val="auto"/>
        </w:rPr>
        <w:t>Subject to preferences that may apply to any preferred stock outstanding, holders of common stock are entitled to receive dividends out of assets legally available at the time and in the amounts that the Board may determine from time to time.</w:t>
      </w:r>
    </w:p>
    <w:p>
      <w:pPr>
        <w:spacing w:after="0" w:line="137" w:lineRule="exact"/>
        <w:rPr>
          <w:sz w:val="20"/>
          <w:szCs w:val="20"/>
          <w:color w:val="auto"/>
        </w:rPr>
      </w:pPr>
    </w:p>
    <w:p>
      <w:pPr>
        <w:ind w:left="180"/>
        <w:spacing w:after="0"/>
        <w:rPr>
          <w:sz w:val="20"/>
          <w:szCs w:val="20"/>
          <w:color w:val="auto"/>
        </w:rPr>
      </w:pPr>
      <w:r>
        <w:rPr>
          <w:rFonts w:ascii="Arial" w:cs="Arial" w:eastAsia="Arial" w:hAnsi="Arial"/>
          <w:sz w:val="13"/>
          <w:szCs w:val="13"/>
          <w:b w:val="1"/>
          <w:bCs w:val="1"/>
          <w:i w:val="1"/>
          <w:iCs w:val="1"/>
          <w:color w:val="auto"/>
        </w:rPr>
        <w:t>Liquidation Rights</w:t>
      </w:r>
    </w:p>
    <w:p>
      <w:pPr>
        <w:spacing w:after="0" w:line="185" w:lineRule="exact"/>
        <w:rPr>
          <w:sz w:val="20"/>
          <w:szCs w:val="20"/>
          <w:color w:val="auto"/>
        </w:rPr>
      </w:pPr>
    </w:p>
    <w:p>
      <w:pPr>
        <w:ind w:left="180" w:right="379"/>
        <w:spacing w:after="0" w:line="251" w:lineRule="auto"/>
        <w:rPr>
          <w:sz w:val="20"/>
          <w:szCs w:val="20"/>
          <w:color w:val="auto"/>
        </w:rPr>
      </w:pPr>
      <w:r>
        <w:rPr>
          <w:rFonts w:ascii="Arial" w:cs="Arial" w:eastAsia="Arial" w:hAnsi="Arial"/>
          <w:sz w:val="13"/>
          <w:szCs w:val="13"/>
          <w:color w:val="auto"/>
        </w:rPr>
        <w:t>In the event of a liquidation, dissolution or winding-up of Foot Locker, the holders of common stock are entitled to share equally and ratably in the assets of Foot Locker, if any, remaining after the payment of all debts and liabilities of Foot Locker and the liquidation preference of any outstanding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259080</wp:posOffset>
            </wp:positionV>
            <wp:extent cx="5484495" cy="196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0">
                      <a:extLst>
                        <a:ext uri="{28A0092B-C50C-407E-A947-70E740481C1C}"/>
                      </a:extLst>
                    </a:blip>
                    <a:srcRect/>
                    <a:stretch>
                      <a:fillRect/>
                    </a:stretch>
                  </pic:blipFill>
                  <pic:spPr bwMode="auto">
                    <a:xfrm>
                      <a:off x="0" y="0"/>
                      <a:ext cx="5484495" cy="1968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87" w:name="page88"/>
    <w:bookmarkEnd w:id="87"/>
    <w:p>
      <w:pPr>
        <w:ind w:left="180"/>
        <w:spacing w:after="0"/>
        <w:rPr>
          <w:sz w:val="20"/>
          <w:szCs w:val="20"/>
          <w:color w:val="auto"/>
        </w:rPr>
      </w:pPr>
      <w:r>
        <w:rPr>
          <w:rFonts w:ascii="Arial" w:cs="Arial" w:eastAsia="Arial" w:hAnsi="Arial"/>
          <w:sz w:val="13"/>
          <w:szCs w:val="13"/>
          <w:b w:val="1"/>
          <w:bCs w:val="1"/>
          <w:i w:val="1"/>
          <w:iCs w:val="1"/>
          <w:color w:val="auto"/>
        </w:rPr>
        <w:t>Other Rights and Preferences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Our common stock has no sinking fund, redemption provisions, or preemptive, conversion, or exchange rights.</w:t>
      </w:r>
    </w:p>
    <w:p>
      <w:pPr>
        <w:spacing w:after="0" w:line="153" w:lineRule="exact"/>
        <w:rPr>
          <w:sz w:val="20"/>
          <w:szCs w:val="20"/>
          <w:color w:val="auto"/>
        </w:rPr>
      </w:pPr>
    </w:p>
    <w:p>
      <w:pPr>
        <w:ind w:left="180"/>
        <w:spacing w:after="0"/>
        <w:rPr>
          <w:sz w:val="20"/>
          <w:szCs w:val="20"/>
          <w:color w:val="auto"/>
        </w:rPr>
      </w:pPr>
      <w:r>
        <w:rPr>
          <w:rFonts w:ascii="Arial" w:cs="Arial" w:eastAsia="Arial" w:hAnsi="Arial"/>
          <w:sz w:val="13"/>
          <w:szCs w:val="13"/>
          <w:b w:val="1"/>
          <w:bCs w:val="1"/>
          <w:i w:val="1"/>
          <w:iCs w:val="1"/>
          <w:color w:val="auto"/>
        </w:rPr>
        <w:t>Listing</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Our common stock is listed on The New York Stock Exchange under the trading symbol “FL.”</w:t>
      </w:r>
    </w:p>
    <w:p>
      <w:pPr>
        <w:spacing w:after="0" w:line="153" w:lineRule="exact"/>
        <w:rPr>
          <w:sz w:val="20"/>
          <w:szCs w:val="20"/>
          <w:color w:val="auto"/>
        </w:rPr>
      </w:pPr>
    </w:p>
    <w:p>
      <w:pPr>
        <w:ind w:left="180"/>
        <w:spacing w:after="0"/>
        <w:rPr>
          <w:sz w:val="20"/>
          <w:szCs w:val="20"/>
          <w:color w:val="auto"/>
        </w:rPr>
      </w:pPr>
      <w:r>
        <w:rPr>
          <w:rFonts w:ascii="Arial" w:cs="Arial" w:eastAsia="Arial" w:hAnsi="Arial"/>
          <w:sz w:val="13"/>
          <w:szCs w:val="13"/>
          <w:b w:val="1"/>
          <w:bCs w:val="1"/>
          <w:i w:val="1"/>
          <w:iCs w:val="1"/>
          <w:color w:val="auto"/>
        </w:rPr>
        <w:t>Transfer Agent and Registrar</w:t>
      </w:r>
    </w:p>
    <w:p>
      <w:pPr>
        <w:spacing w:after="0" w:line="185" w:lineRule="exact"/>
        <w:rPr>
          <w:sz w:val="20"/>
          <w:szCs w:val="20"/>
          <w:color w:val="auto"/>
        </w:rPr>
      </w:pPr>
    </w:p>
    <w:p>
      <w:pPr>
        <w:ind w:left="180"/>
        <w:spacing w:after="0"/>
        <w:rPr>
          <w:sz w:val="20"/>
          <w:szCs w:val="20"/>
          <w:color w:val="auto"/>
        </w:rPr>
      </w:pPr>
      <w:r>
        <w:rPr>
          <w:rFonts w:ascii="Arial" w:cs="Arial" w:eastAsia="Arial" w:hAnsi="Arial"/>
          <w:sz w:val="13"/>
          <w:szCs w:val="13"/>
          <w:color w:val="auto"/>
        </w:rPr>
        <w:t>The transfer agent and registrar for our common stock is Computershare Shareholder Services.</w:t>
      </w:r>
    </w:p>
    <w:p>
      <w:pPr>
        <w:spacing w:after="0" w:line="153" w:lineRule="exact"/>
        <w:rPr>
          <w:sz w:val="20"/>
          <w:szCs w:val="20"/>
          <w:color w:val="auto"/>
        </w:rPr>
      </w:pPr>
    </w:p>
    <w:p>
      <w:pPr>
        <w:ind w:left="180"/>
        <w:spacing w:after="0"/>
        <w:rPr>
          <w:sz w:val="20"/>
          <w:szCs w:val="20"/>
          <w:color w:val="auto"/>
        </w:rPr>
      </w:pPr>
      <w:r>
        <w:rPr>
          <w:rFonts w:ascii="Arial" w:cs="Arial" w:eastAsia="Arial" w:hAnsi="Arial"/>
          <w:sz w:val="13"/>
          <w:szCs w:val="13"/>
          <w:b w:val="1"/>
          <w:bCs w:val="1"/>
          <w:i w:val="1"/>
          <w:iCs w:val="1"/>
          <w:color w:val="auto"/>
        </w:rPr>
        <w:t>Preferred Stock Purchase Rights</w:t>
      </w:r>
    </w:p>
    <w:p>
      <w:pPr>
        <w:spacing w:after="0" w:line="185" w:lineRule="exact"/>
        <w:rPr>
          <w:sz w:val="20"/>
          <w:szCs w:val="20"/>
          <w:color w:val="auto"/>
        </w:rPr>
      </w:pPr>
    </w:p>
    <w:p>
      <w:pPr>
        <w:jc w:val="both"/>
        <w:ind w:left="180" w:right="199"/>
        <w:spacing w:after="0" w:line="251" w:lineRule="auto"/>
        <w:rPr>
          <w:sz w:val="20"/>
          <w:szCs w:val="20"/>
          <w:color w:val="auto"/>
        </w:rPr>
      </w:pPr>
      <w:r>
        <w:rPr>
          <w:rFonts w:ascii="Arial" w:cs="Arial" w:eastAsia="Arial" w:hAnsi="Arial"/>
          <w:sz w:val="13"/>
          <w:szCs w:val="13"/>
          <w:color w:val="auto"/>
        </w:rPr>
        <w:t>On December 7, 2020, the Board of Foot Locker, authorized and declared a dividend distribution of one right (a “Right”) for each outstanding share of common stock, par value $0.01 per share, of the Company (the “Common Stock”) to shareholders of record at the close of business on December 18, 2020 (the “Record Date”).</w:t>
      </w:r>
    </w:p>
    <w:p>
      <w:pPr>
        <w:spacing w:after="0" w:line="157" w:lineRule="exact"/>
        <w:rPr>
          <w:sz w:val="20"/>
          <w:szCs w:val="20"/>
          <w:color w:val="auto"/>
        </w:rPr>
      </w:pPr>
    </w:p>
    <w:p>
      <w:pPr>
        <w:jc w:val="both"/>
        <w:ind w:left="180" w:right="199"/>
        <w:spacing w:after="0" w:line="249" w:lineRule="auto"/>
        <w:rPr>
          <w:sz w:val="20"/>
          <w:szCs w:val="20"/>
          <w:color w:val="auto"/>
        </w:rPr>
      </w:pPr>
      <w:r>
        <w:rPr>
          <w:rFonts w:ascii="Arial" w:cs="Arial" w:eastAsia="Arial" w:hAnsi="Arial"/>
          <w:sz w:val="13"/>
          <w:szCs w:val="13"/>
          <w:color w:val="auto"/>
        </w:rPr>
        <w:t>Each Right entitles the registered holder to purchase from the Company, when exercisable and subject to adjustment, a unit consisting of one one-thousandth (1/1,000) of a share (a “Unit”) of Series C Junior Participating Preferred Stock, par value $1.00 per share, of the Company (the “Preferred Stock”), at a purchase price of $210.00 per Unit, subject to adjustment (the “Purchase Price”). The description and complete terms of the Rights are set forth in a Rights Agreement (the “Rights Agreement”), dated as of December 7, 2020, between the Company and Computershare Trust Company, N.A., as rights agent (the “Rights Agent”).</w:t>
      </w:r>
    </w:p>
    <w:p>
      <w:pPr>
        <w:spacing w:after="0" w:line="158" w:lineRule="exact"/>
        <w:rPr>
          <w:sz w:val="20"/>
          <w:szCs w:val="20"/>
          <w:color w:val="auto"/>
        </w:rPr>
      </w:pPr>
    </w:p>
    <w:p>
      <w:pPr>
        <w:jc w:val="both"/>
        <w:ind w:left="180" w:right="199"/>
        <w:spacing w:after="0" w:line="256" w:lineRule="auto"/>
        <w:rPr>
          <w:sz w:val="20"/>
          <w:szCs w:val="20"/>
          <w:color w:val="auto"/>
        </w:rPr>
      </w:pPr>
      <w:r>
        <w:rPr>
          <w:rFonts w:ascii="Arial" w:cs="Arial" w:eastAsia="Arial" w:hAnsi="Arial"/>
          <w:sz w:val="13"/>
          <w:szCs w:val="13"/>
          <w:color w:val="auto"/>
        </w:rPr>
        <w:t>The full text of the Rights Agreement is filed as Exhibit 4.1 to the Current Report on Form 8-K filed on December 8, 2020. A copy of the Rights Agreement is available free of charge from the Rights Agent. The following is a summary of the material terms of the Rights Agreement.</w:t>
      </w:r>
    </w:p>
    <w:p>
      <w:pPr>
        <w:spacing w:after="0" w:line="139" w:lineRule="exact"/>
        <w:rPr>
          <w:sz w:val="20"/>
          <w:szCs w:val="20"/>
          <w:color w:val="auto"/>
        </w:rPr>
      </w:pPr>
    </w:p>
    <w:p>
      <w:pPr>
        <w:ind w:left="180"/>
        <w:spacing w:after="0"/>
        <w:rPr>
          <w:sz w:val="20"/>
          <w:szCs w:val="20"/>
          <w:color w:val="auto"/>
        </w:rPr>
      </w:pPr>
      <w:r>
        <w:rPr>
          <w:rFonts w:ascii="Arial" w:cs="Arial" w:eastAsia="Arial" w:hAnsi="Arial"/>
          <w:sz w:val="13"/>
          <w:szCs w:val="13"/>
          <w:i w:val="1"/>
          <w:iCs w:val="1"/>
          <w:color w:val="auto"/>
        </w:rPr>
        <w:t>Rights Certificates; Exercise Period; Term</w:t>
      </w:r>
    </w:p>
    <w:p>
      <w:pPr>
        <w:spacing w:after="0" w:line="183" w:lineRule="exact"/>
        <w:rPr>
          <w:sz w:val="20"/>
          <w:szCs w:val="20"/>
          <w:color w:val="auto"/>
        </w:rPr>
      </w:pPr>
    </w:p>
    <w:p>
      <w:pPr>
        <w:jc w:val="both"/>
        <w:ind w:left="180" w:right="199"/>
        <w:spacing w:after="0" w:line="247" w:lineRule="auto"/>
        <w:rPr>
          <w:sz w:val="20"/>
          <w:szCs w:val="20"/>
          <w:color w:val="auto"/>
        </w:rPr>
      </w:pPr>
      <w:r>
        <w:rPr>
          <w:rFonts w:ascii="Arial" w:cs="Arial" w:eastAsia="Arial" w:hAnsi="Arial"/>
          <w:sz w:val="13"/>
          <w:szCs w:val="13"/>
          <w:color w:val="auto"/>
        </w:rPr>
        <w:t>Initially, the Rights will be attached to all outstanding shares of Common Stock, and no separate rights certificates (“Rights Certificates”) will be distributed. Subject to certain exceptions specified in the Rights Agreement, the Rights will separate from the Common Stock and a distribution date for the Rights (“Distribution Date”) will occur upon the earlier of (i) the tenth (10th) business day following a public announcement that a person (an “Acquiring Person”), either individually or with or through certain affiliated or associated persons, has acquired beneficial ownership of twenty percent (20%) or more of the outstanding shares of Common Stock (the “Stock Acquisition Date”), other than as a result of (a) pre-existing beneficial ownership in excess of the applicable threshold (in which case such person shall become an Acquiring Person upon acquisition of an additional one-half of one percent (0.5%) of the outstanding shares of Common Stock), (b) repurchases of stock by the Company, or (c) certain inadvertent actions by shareholders and (ii) the tenth (10th) business day (or such later date as the Board of the Company shall determine) following the commencement of a tender offer or exchange offer that would result in a person becoming an Acquiring Person. For purposes of the Rights Agreement, beneficial ownership is defined to include any securities with respect to which a person constitutes a “beneficial owner” as defined in Section 912 of the New York Business Corporation Law, subject to certain exceptions.</w:t>
      </w:r>
    </w:p>
    <w:p>
      <w:pPr>
        <w:spacing w:after="0" w:line="164" w:lineRule="exact"/>
        <w:rPr>
          <w:sz w:val="20"/>
          <w:szCs w:val="20"/>
          <w:color w:val="auto"/>
        </w:rPr>
      </w:pPr>
    </w:p>
    <w:p>
      <w:pPr>
        <w:jc w:val="both"/>
        <w:ind w:left="180" w:right="199"/>
        <w:spacing w:after="0" w:line="248" w:lineRule="auto"/>
        <w:rPr>
          <w:sz w:val="20"/>
          <w:szCs w:val="20"/>
          <w:color w:val="auto"/>
        </w:rPr>
      </w:pPr>
      <w:r>
        <w:rPr>
          <w:rFonts w:ascii="Arial" w:cs="Arial" w:eastAsia="Arial" w:hAnsi="Arial"/>
          <w:sz w:val="13"/>
          <w:szCs w:val="13"/>
          <w:color w:val="auto"/>
        </w:rPr>
        <w:t>Until the Distribution Date, (i) the Rights will be evidenced by the Common Stock certificates (or, for book entry shares, by notations in the respective accounts for the Common Stock) and will be transferred with and only with such Common Stock, (ii) new Common Stock certificates issued after the Record Date will contain a notation incorporating the Rights Agreement by reference (and for book entry shares, the account statement will contain a notation advising the holders of the Rights Agreement) and (iii) the surrender for transfer of any certificates for shares of Common Stock (or book entry shares) outstanding will also constitute the transfer of the Rights associated with the Common Stock represented by such certificates (or book entry shares). Pursuant to the Rights Agreement, the Company reserves the right to require prior to the occurrence of a Triggering Event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260985</wp:posOffset>
            </wp:positionV>
            <wp:extent cx="5484495" cy="196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1">
                      <a:extLst>
                        <a:ext uri="{28A0092B-C50C-407E-A947-70E740481C1C}"/>
                      </a:extLst>
                    </a:blip>
                    <a:srcRect/>
                    <a:stretch>
                      <a:fillRect/>
                    </a:stretch>
                  </pic:blipFill>
                  <pic:spPr bwMode="auto">
                    <a:xfrm>
                      <a:off x="0" y="0"/>
                      <a:ext cx="5484495" cy="1968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88" w:name="page89"/>
    <w:bookmarkEnd w:id="88"/>
    <w:p>
      <w:pPr>
        <w:ind w:left="180"/>
        <w:spacing w:after="0"/>
        <w:rPr>
          <w:sz w:val="20"/>
          <w:szCs w:val="20"/>
          <w:color w:val="auto"/>
        </w:rPr>
      </w:pPr>
      <w:r>
        <w:rPr>
          <w:rFonts w:ascii="Arial" w:cs="Arial" w:eastAsia="Arial" w:hAnsi="Arial"/>
          <w:sz w:val="13"/>
          <w:szCs w:val="13"/>
          <w:color w:val="auto"/>
        </w:rPr>
        <w:t>defined below) that, upon any exercise of Rights, a number of Rights be exercised so that only whole shares of Preferred Stock will be issued.</w:t>
      </w:r>
    </w:p>
    <w:p>
      <w:pPr>
        <w:spacing w:after="0" w:line="168" w:lineRule="exact"/>
        <w:rPr>
          <w:sz w:val="20"/>
          <w:szCs w:val="20"/>
          <w:color w:val="auto"/>
        </w:rPr>
      </w:pPr>
    </w:p>
    <w:p>
      <w:pPr>
        <w:jc w:val="both"/>
        <w:ind w:left="180" w:right="199"/>
        <w:spacing w:after="0" w:line="256" w:lineRule="auto"/>
        <w:rPr>
          <w:sz w:val="20"/>
          <w:szCs w:val="20"/>
          <w:color w:val="auto"/>
        </w:rPr>
      </w:pPr>
      <w:r>
        <w:rPr>
          <w:rFonts w:ascii="Arial" w:cs="Arial" w:eastAsia="Arial" w:hAnsi="Arial"/>
          <w:sz w:val="13"/>
          <w:szCs w:val="13"/>
          <w:color w:val="auto"/>
        </w:rPr>
        <w:t>The Rights are not exercisable until the Distribution Date and will expire on the first (1st) anniversary date of the Rights Agreement (the “Expiration Date”), unless the Rights are earlier redeemed, exchanged or terminated.</w:t>
      </w:r>
    </w:p>
    <w:p>
      <w:pPr>
        <w:spacing w:after="0" w:line="153" w:lineRule="exact"/>
        <w:rPr>
          <w:sz w:val="20"/>
          <w:szCs w:val="20"/>
          <w:color w:val="auto"/>
        </w:rPr>
      </w:pPr>
    </w:p>
    <w:p>
      <w:pPr>
        <w:jc w:val="both"/>
        <w:ind w:left="180" w:right="199"/>
        <w:spacing w:after="0" w:line="250" w:lineRule="auto"/>
        <w:rPr>
          <w:sz w:val="20"/>
          <w:szCs w:val="20"/>
          <w:color w:val="auto"/>
        </w:rPr>
      </w:pPr>
      <w:r>
        <w:rPr>
          <w:rFonts w:ascii="Arial" w:cs="Arial" w:eastAsia="Arial" w:hAnsi="Arial"/>
          <w:sz w:val="13"/>
          <w:szCs w:val="13"/>
          <w:color w:val="auto"/>
        </w:rPr>
        <w:t>As soon as practicable after the Distribution Date, Rights Certificates will be sent by such means as may be selected by the Company to holders of record of the Common Stock as of the close of business on the Distribution Date and, thereafter, the separate Rights Certificates alone will represent the Rights. Except as otherwise determined by the Board of the Company, only shares of Common Stock issued prior to the earlier of the Distribution Date and the Expiration Date will be issued with the Rights.</w:t>
      </w:r>
    </w:p>
    <w:p>
      <w:pPr>
        <w:spacing w:after="0" w:line="143" w:lineRule="exact"/>
        <w:rPr>
          <w:sz w:val="20"/>
          <w:szCs w:val="20"/>
          <w:color w:val="auto"/>
        </w:rPr>
      </w:pPr>
    </w:p>
    <w:p>
      <w:pPr>
        <w:ind w:left="180"/>
        <w:spacing w:after="0"/>
        <w:rPr>
          <w:sz w:val="20"/>
          <w:szCs w:val="20"/>
          <w:color w:val="auto"/>
        </w:rPr>
      </w:pPr>
      <w:r>
        <w:rPr>
          <w:rFonts w:ascii="Arial" w:cs="Arial" w:eastAsia="Arial" w:hAnsi="Arial"/>
          <w:sz w:val="13"/>
          <w:szCs w:val="13"/>
          <w:i w:val="1"/>
          <w:iCs w:val="1"/>
          <w:color w:val="auto"/>
        </w:rPr>
        <w:t>Flip-in Trigger</w:t>
      </w:r>
    </w:p>
    <w:p>
      <w:pPr>
        <w:spacing w:after="0" w:line="183" w:lineRule="exact"/>
        <w:rPr>
          <w:sz w:val="20"/>
          <w:szCs w:val="20"/>
          <w:color w:val="auto"/>
        </w:rPr>
      </w:pPr>
    </w:p>
    <w:p>
      <w:pPr>
        <w:jc w:val="both"/>
        <w:ind w:left="180" w:right="199"/>
        <w:spacing w:after="0" w:line="248" w:lineRule="auto"/>
        <w:rPr>
          <w:sz w:val="20"/>
          <w:szCs w:val="20"/>
          <w:color w:val="auto"/>
        </w:rPr>
      </w:pPr>
      <w:r>
        <w:rPr>
          <w:rFonts w:ascii="Arial" w:cs="Arial" w:eastAsia="Arial" w:hAnsi="Arial"/>
          <w:sz w:val="13"/>
          <w:szCs w:val="13"/>
          <w:color w:val="auto"/>
        </w:rPr>
        <w:t>In the event that any person becomes an Acquiring Person (unless the event causing such person to become an Acquiring Person is a transaction described under “Flip-over Trigger,” below), each holder of a Right will thereafter have the right to receive, upon exercise, Common Stock (or, in certain circumstances, cash, property or other securities of the Company) having a value equal to two times the exercise price of the Right. Notwithstanding any of the foregoing, following the occurrence of any of the events set forth in this paragraph, all Rights that are, or (under certain circumstances specified in the Rights Agreement) were, beneficially owned by any Acquiring Person will be null and void and any holder of any such Rights (including any purported transferees or subsequent holders) will be unable to exercise or transfer any such Rights. However, Rights are not exercisable following the occurrence of the event set forth above until such time as the Rights are no longer redeemable by the Board of the Company as set forth below.</w:t>
      </w:r>
    </w:p>
    <w:p>
      <w:pPr>
        <w:spacing w:after="0" w:line="145" w:lineRule="exact"/>
        <w:rPr>
          <w:sz w:val="20"/>
          <w:szCs w:val="20"/>
          <w:color w:val="auto"/>
        </w:rPr>
      </w:pPr>
    </w:p>
    <w:p>
      <w:pPr>
        <w:ind w:left="180"/>
        <w:spacing w:after="0"/>
        <w:rPr>
          <w:sz w:val="20"/>
          <w:szCs w:val="20"/>
          <w:color w:val="auto"/>
        </w:rPr>
      </w:pPr>
      <w:r>
        <w:rPr>
          <w:rFonts w:ascii="Arial" w:cs="Arial" w:eastAsia="Arial" w:hAnsi="Arial"/>
          <w:sz w:val="13"/>
          <w:szCs w:val="13"/>
          <w:i w:val="1"/>
          <w:iCs w:val="1"/>
          <w:color w:val="auto"/>
        </w:rPr>
        <w:t>Flip-over Trigger</w:t>
      </w:r>
    </w:p>
    <w:p>
      <w:pPr>
        <w:spacing w:after="0" w:line="183" w:lineRule="exact"/>
        <w:rPr>
          <w:sz w:val="20"/>
          <w:szCs w:val="20"/>
          <w:color w:val="auto"/>
        </w:rPr>
      </w:pPr>
    </w:p>
    <w:p>
      <w:pPr>
        <w:jc w:val="both"/>
        <w:ind w:left="180" w:right="199"/>
        <w:spacing w:after="0" w:line="248" w:lineRule="auto"/>
        <w:rPr>
          <w:sz w:val="20"/>
          <w:szCs w:val="20"/>
          <w:color w:val="auto"/>
        </w:rPr>
      </w:pPr>
      <w:r>
        <w:rPr>
          <w:rFonts w:ascii="Arial" w:cs="Arial" w:eastAsia="Arial" w:hAnsi="Arial"/>
          <w:sz w:val="13"/>
          <w:szCs w:val="13"/>
          <w:color w:val="auto"/>
        </w:rPr>
        <w:t>In the event that, at any time following the Stock Acquisition Date, (i) the Company engages in a merger or other business combination transaction in which the Company is not the surviving corporation, (ii) the Company engages in a merger or other business combination transaction in which the Company is the surviving corporation and the Common Stock of the Company is changed or exchanged, or (iii) fifty percent (50%) or more of the Company’s assets, cash flow or earning power is sold or transferred, each holder of a Right (except Rights which have previously been voided as set forth above) shall thereafter have the right to receive, upon exercise, in accordance with the terms of the Rights Agreement, common stock of the acquiring company having a value equal to two times the exercise price of the Right. The events set forth in this paragraph and in the preceding paragraph are referred to as the “Triggering Events.”</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3"/>
          <w:szCs w:val="13"/>
          <w:i w:val="1"/>
          <w:iCs w:val="1"/>
          <w:color w:val="auto"/>
        </w:rPr>
        <w:t>Exchange Feature</w:t>
      </w:r>
    </w:p>
    <w:p>
      <w:pPr>
        <w:spacing w:after="0" w:line="183" w:lineRule="exact"/>
        <w:rPr>
          <w:sz w:val="20"/>
          <w:szCs w:val="20"/>
          <w:color w:val="auto"/>
        </w:rPr>
      </w:pPr>
    </w:p>
    <w:p>
      <w:pPr>
        <w:jc w:val="both"/>
        <w:ind w:left="180" w:right="199"/>
        <w:spacing w:after="0" w:line="249" w:lineRule="auto"/>
        <w:rPr>
          <w:sz w:val="20"/>
          <w:szCs w:val="20"/>
          <w:color w:val="auto"/>
        </w:rPr>
      </w:pPr>
      <w:r>
        <w:rPr>
          <w:rFonts w:ascii="Arial" w:cs="Arial" w:eastAsia="Arial" w:hAnsi="Arial"/>
          <w:sz w:val="13"/>
          <w:szCs w:val="13"/>
          <w:color w:val="auto"/>
        </w:rPr>
        <w:t>At any time after any person becomes an Acquiring Person and prior to the acquisition by such person of fifty percent (50%) or more of the outstanding shares of Common Stock, the Board of the Company may exchange the Rights (other than Rights beneficially owned by such Acquiring Person, which will have become null and void), in whole or in part, at an exchange ratio of one share of Common Stock, or one one-thousandth (1/1,000) of a share of Preferred Stock (or of a share of a class or series of the Company’s preferred stock having equivalent rights, preferences and privileges), per Right (subject to adjustment).</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3"/>
          <w:szCs w:val="13"/>
          <w:i w:val="1"/>
          <w:iCs w:val="1"/>
          <w:color w:val="auto"/>
        </w:rPr>
        <w:t>Equitable Adjustments</w:t>
      </w:r>
    </w:p>
    <w:p>
      <w:pPr>
        <w:spacing w:after="0" w:line="183" w:lineRule="exact"/>
        <w:rPr>
          <w:sz w:val="20"/>
          <w:szCs w:val="20"/>
          <w:color w:val="auto"/>
        </w:rPr>
      </w:pPr>
    </w:p>
    <w:p>
      <w:pPr>
        <w:jc w:val="both"/>
        <w:ind w:left="180" w:right="199"/>
        <w:spacing w:after="0" w:line="249" w:lineRule="auto"/>
        <w:rPr>
          <w:sz w:val="20"/>
          <w:szCs w:val="20"/>
          <w:color w:val="auto"/>
        </w:rPr>
      </w:pPr>
      <w:r>
        <w:rPr>
          <w:rFonts w:ascii="Arial" w:cs="Arial" w:eastAsia="Arial" w:hAnsi="Arial"/>
          <w:sz w:val="13"/>
          <w:szCs w:val="13"/>
          <w:color w:val="auto"/>
        </w:rPr>
        <w:t>The Purchase Price payable, and the number of Units of Preferred Stock or other securities or property issuable, upon exercise of the Rights are subject to adjustment from time to time to prevent dilution (i) in the event of a stock dividend on, or a subdivision, combination, consolidation or reclassification of, the Preferred Stock, (ii) if holders of the Preferred Stock are granted certain rights or warrants to subscribe for Preferred Stock or convertible securities at less than the then-current market price of the Preferred Stock, or (iii) upon the distribution to holders of the Preferred Stock of evidences of indebtedness, assets or cash (excluding regular quarterly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259715</wp:posOffset>
            </wp:positionV>
            <wp:extent cx="5484495" cy="196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2">
                      <a:extLst>
                        <a:ext uri="{28A0092B-C50C-407E-A947-70E740481C1C}"/>
                      </a:extLst>
                    </a:blip>
                    <a:srcRect/>
                    <a:stretch>
                      <a:fillRect/>
                    </a:stretch>
                  </pic:blipFill>
                  <pic:spPr bwMode="auto">
                    <a:xfrm>
                      <a:off x="0" y="0"/>
                      <a:ext cx="5484495" cy="19685"/>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89" w:name="page90"/>
    <w:bookmarkEnd w:id="89"/>
    <w:p>
      <w:pPr>
        <w:ind w:left="180"/>
        <w:spacing w:after="0"/>
        <w:rPr>
          <w:sz w:val="20"/>
          <w:szCs w:val="20"/>
          <w:color w:val="auto"/>
        </w:rPr>
      </w:pPr>
      <w:r>
        <w:rPr>
          <w:rFonts w:ascii="Arial" w:cs="Arial" w:eastAsia="Arial" w:hAnsi="Arial"/>
          <w:sz w:val="13"/>
          <w:szCs w:val="13"/>
          <w:color w:val="auto"/>
        </w:rPr>
        <w:t>dividends or dividends payable in Preferred Stock) or of subscription rights or warrants (other than those referred to above).</w:t>
      </w:r>
    </w:p>
    <w:p>
      <w:pPr>
        <w:spacing w:after="0" w:line="168" w:lineRule="exact"/>
        <w:rPr>
          <w:sz w:val="20"/>
          <w:szCs w:val="20"/>
          <w:color w:val="auto"/>
        </w:rPr>
      </w:pPr>
    </w:p>
    <w:p>
      <w:pPr>
        <w:jc w:val="both"/>
        <w:ind w:left="180" w:right="199"/>
        <w:spacing w:after="0" w:line="256" w:lineRule="auto"/>
        <w:rPr>
          <w:sz w:val="20"/>
          <w:szCs w:val="20"/>
          <w:color w:val="auto"/>
        </w:rPr>
      </w:pPr>
      <w:r>
        <w:rPr>
          <w:rFonts w:ascii="Arial" w:cs="Arial" w:eastAsia="Arial" w:hAnsi="Arial"/>
          <w:sz w:val="13"/>
          <w:szCs w:val="13"/>
          <w:color w:val="auto"/>
        </w:rPr>
        <w:t>The number of outstanding Rights is subject to adjustment in the event of a stock dividend on outstanding Common Stock payable in shares of Common Stock or subdivisions, consolidations or combinations of the Common Stock occurring, in any such case, prior to the Distribution Date.</w:t>
      </w:r>
    </w:p>
    <w:p>
      <w:pPr>
        <w:spacing w:after="0" w:line="153" w:lineRule="exact"/>
        <w:rPr>
          <w:sz w:val="20"/>
          <w:szCs w:val="20"/>
          <w:color w:val="auto"/>
        </w:rPr>
      </w:pPr>
    </w:p>
    <w:p>
      <w:pPr>
        <w:jc w:val="both"/>
        <w:ind w:left="180" w:right="199"/>
        <w:spacing w:after="0" w:line="251" w:lineRule="auto"/>
        <w:rPr>
          <w:sz w:val="20"/>
          <w:szCs w:val="20"/>
          <w:color w:val="auto"/>
        </w:rPr>
      </w:pPr>
      <w:r>
        <w:rPr>
          <w:rFonts w:ascii="Arial" w:cs="Arial" w:eastAsia="Arial" w:hAnsi="Arial"/>
          <w:sz w:val="13"/>
          <w:szCs w:val="13"/>
          <w:color w:val="auto"/>
        </w:rPr>
        <w:t>With certain exceptions, no adjustment in the Purchase Price will be required until cumulative adjustments amount to at least one percent (1%) of the Purchase Price. No fractional Units will be issued and, in lieu thereof, an adjustment in cash will be made based on the market price of the Preferred Stock on the last trading day prior to the date of exercise.</w:t>
      </w:r>
    </w:p>
    <w:p>
      <w:pPr>
        <w:spacing w:after="0" w:line="143" w:lineRule="exact"/>
        <w:rPr>
          <w:sz w:val="20"/>
          <w:szCs w:val="20"/>
          <w:color w:val="auto"/>
        </w:rPr>
      </w:pPr>
    </w:p>
    <w:p>
      <w:pPr>
        <w:ind w:left="180"/>
        <w:spacing w:after="0"/>
        <w:rPr>
          <w:sz w:val="20"/>
          <w:szCs w:val="20"/>
          <w:color w:val="auto"/>
        </w:rPr>
      </w:pPr>
      <w:r>
        <w:rPr>
          <w:rFonts w:ascii="Arial" w:cs="Arial" w:eastAsia="Arial" w:hAnsi="Arial"/>
          <w:sz w:val="13"/>
          <w:szCs w:val="13"/>
          <w:i w:val="1"/>
          <w:iCs w:val="1"/>
          <w:color w:val="auto"/>
        </w:rPr>
        <w:t>Redemption Rights</w:t>
      </w:r>
    </w:p>
    <w:p>
      <w:pPr>
        <w:spacing w:after="0" w:line="183" w:lineRule="exact"/>
        <w:rPr>
          <w:sz w:val="20"/>
          <w:szCs w:val="20"/>
          <w:color w:val="auto"/>
        </w:rPr>
      </w:pPr>
    </w:p>
    <w:p>
      <w:pPr>
        <w:jc w:val="both"/>
        <w:ind w:left="180" w:right="199"/>
        <w:spacing w:after="0" w:line="248" w:lineRule="auto"/>
        <w:rPr>
          <w:sz w:val="20"/>
          <w:szCs w:val="20"/>
          <w:color w:val="auto"/>
        </w:rPr>
      </w:pPr>
      <w:r>
        <w:rPr>
          <w:rFonts w:ascii="Arial" w:cs="Arial" w:eastAsia="Arial" w:hAnsi="Arial"/>
          <w:sz w:val="13"/>
          <w:szCs w:val="13"/>
          <w:color w:val="auto"/>
        </w:rPr>
        <w:t>At any time prior to the earlier to occur of (i) ten (10) business days following the Stock Acquisition Date and (ii) the Expiration Date, the Board of the Company may redeem the Rights in whole, but not in part, at a price of $0.001 per Right (as such amount may be adjusted pursuant to the Rights Agreement), payable in cash, Common Stock or other consideration deemed appropriate by the Board of the Company. Immediately upon the action of the Board of the Company ordering redemption of the Rights (or if such action states that the redemption will not be effective until the occurrence of a specified future time or event, upon the occurrence of such future time or event), the Rights will terminate and the only right of the holders of Rights will be to receive the $0.001 redemption price.</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3"/>
          <w:szCs w:val="13"/>
          <w:i w:val="1"/>
          <w:iCs w:val="1"/>
          <w:color w:val="auto"/>
        </w:rPr>
        <w:t>Amendment of Rights</w:t>
      </w:r>
    </w:p>
    <w:p>
      <w:pPr>
        <w:spacing w:after="0" w:line="183" w:lineRule="exact"/>
        <w:rPr>
          <w:sz w:val="20"/>
          <w:szCs w:val="20"/>
          <w:color w:val="auto"/>
        </w:rPr>
      </w:pPr>
    </w:p>
    <w:p>
      <w:pPr>
        <w:jc w:val="both"/>
        <w:ind w:left="180" w:right="199"/>
        <w:spacing w:after="0" w:line="248" w:lineRule="auto"/>
        <w:rPr>
          <w:sz w:val="20"/>
          <w:szCs w:val="20"/>
          <w:color w:val="auto"/>
        </w:rPr>
      </w:pPr>
      <w:r>
        <w:rPr>
          <w:rFonts w:ascii="Arial" w:cs="Arial" w:eastAsia="Arial" w:hAnsi="Arial"/>
          <w:sz w:val="13"/>
          <w:szCs w:val="13"/>
          <w:color w:val="auto"/>
        </w:rPr>
        <w:t>Any of the provisions of the Rights Agreement may be amended by the Board of the Company so long as the Rights are then redeemable. At any time when the Rights are no longer redeemable, the provisions of the Rights Agreement may be amended by the Board of the Company for any reason, including to shorten or lengthen any time period under the Rights Agreement, except that no amendment may be made at such time as the Rights are not redeemable that may (a) adversely affect the interests of the holders of the Rights as such, (b) cause the Rights Agreement to become amendable other than as already provided in the Rights Agreement and (c) cause the Rights to again become redeemable. Notwithstanding the foregoing, no supplement or amendment may be made that changes the redemption price.</w:t>
      </w:r>
    </w:p>
    <w:p>
      <w:pPr>
        <w:spacing w:after="0" w:line="146" w:lineRule="exact"/>
        <w:rPr>
          <w:sz w:val="20"/>
          <w:szCs w:val="20"/>
          <w:color w:val="auto"/>
        </w:rPr>
      </w:pPr>
    </w:p>
    <w:p>
      <w:pPr>
        <w:ind w:left="180"/>
        <w:spacing w:after="0"/>
        <w:rPr>
          <w:sz w:val="20"/>
          <w:szCs w:val="20"/>
          <w:color w:val="auto"/>
        </w:rPr>
      </w:pPr>
      <w:r>
        <w:rPr>
          <w:rFonts w:ascii="Arial" w:cs="Arial" w:eastAsia="Arial" w:hAnsi="Arial"/>
          <w:sz w:val="13"/>
          <w:szCs w:val="13"/>
          <w:i w:val="1"/>
          <w:iCs w:val="1"/>
          <w:color w:val="auto"/>
        </w:rPr>
        <w:t>Anti-Takeover Effects</w:t>
      </w:r>
    </w:p>
    <w:p>
      <w:pPr>
        <w:spacing w:after="0" w:line="183" w:lineRule="exact"/>
        <w:rPr>
          <w:sz w:val="20"/>
          <w:szCs w:val="20"/>
          <w:color w:val="auto"/>
        </w:rPr>
      </w:pPr>
    </w:p>
    <w:p>
      <w:pPr>
        <w:jc w:val="both"/>
        <w:ind w:left="180" w:right="199"/>
        <w:spacing w:after="0" w:line="251" w:lineRule="auto"/>
        <w:rPr>
          <w:sz w:val="20"/>
          <w:szCs w:val="20"/>
          <w:color w:val="auto"/>
        </w:rPr>
      </w:pPr>
      <w:r>
        <w:rPr>
          <w:rFonts w:ascii="Arial" w:cs="Arial" w:eastAsia="Arial" w:hAnsi="Arial"/>
          <w:sz w:val="13"/>
          <w:szCs w:val="13"/>
          <w:color w:val="auto"/>
        </w:rPr>
        <w:t>The Rights may have certain anti-takeover effects. The Rights may cause substantial dilution to any person or group that attempts to acquire the Company without the approval of its Board. As a result, the overall effect of the Rights may be to render more difficult or discourage a merger, tender offer or other business combination involving the Company that is not supported by its Board.</w:t>
      </w:r>
    </w:p>
    <w:p>
      <w:pPr>
        <w:spacing w:after="0" w:line="143" w:lineRule="exact"/>
        <w:rPr>
          <w:sz w:val="20"/>
          <w:szCs w:val="20"/>
          <w:color w:val="auto"/>
        </w:rPr>
      </w:pPr>
    </w:p>
    <w:p>
      <w:pPr>
        <w:ind w:left="180"/>
        <w:spacing w:after="0"/>
        <w:rPr>
          <w:sz w:val="20"/>
          <w:szCs w:val="20"/>
          <w:color w:val="auto"/>
        </w:rPr>
      </w:pPr>
      <w:r>
        <w:rPr>
          <w:rFonts w:ascii="Arial" w:cs="Arial" w:eastAsia="Arial" w:hAnsi="Arial"/>
          <w:sz w:val="13"/>
          <w:szCs w:val="13"/>
          <w:i w:val="1"/>
          <w:iCs w:val="1"/>
          <w:color w:val="auto"/>
        </w:rPr>
        <w:t>Miscellaneous</w:t>
      </w:r>
    </w:p>
    <w:p>
      <w:pPr>
        <w:spacing w:after="0" w:line="183" w:lineRule="exact"/>
        <w:rPr>
          <w:sz w:val="20"/>
          <w:szCs w:val="20"/>
          <w:color w:val="auto"/>
        </w:rPr>
      </w:pPr>
    </w:p>
    <w:p>
      <w:pPr>
        <w:jc w:val="both"/>
        <w:ind w:left="180" w:right="199"/>
        <w:spacing w:after="0" w:line="249" w:lineRule="auto"/>
        <w:rPr>
          <w:sz w:val="20"/>
          <w:szCs w:val="20"/>
          <w:color w:val="auto"/>
        </w:rPr>
      </w:pPr>
      <w:r>
        <w:rPr>
          <w:rFonts w:ascii="Arial" w:cs="Arial" w:eastAsia="Arial" w:hAnsi="Arial"/>
          <w:sz w:val="13"/>
          <w:szCs w:val="13"/>
          <w:color w:val="auto"/>
        </w:rPr>
        <w:t>Until a Right is exercised or exchanged, the holder thereof, as such, will have no separate rights as a shareholder of the Company, including the right to vote or to receive dividends in respect of the Rights. While the distribution of the Rights will not be taxable to shareholders or to the Company, shareholders may, depending upon the circumstances, recognize taxable income in the event that the Rights become exercisable for Common Stock (or such other consideration as the Board of the Company may elect) or for common stock of an acquiring company or in the event of the redemption of the Rights as set forth above.</w:t>
      </w:r>
    </w:p>
    <w:p>
      <w:pPr>
        <w:spacing w:after="0" w:line="158" w:lineRule="exact"/>
        <w:rPr>
          <w:sz w:val="20"/>
          <w:szCs w:val="20"/>
          <w:color w:val="auto"/>
        </w:rPr>
      </w:pPr>
    </w:p>
    <w:p>
      <w:pPr>
        <w:jc w:val="both"/>
        <w:ind w:left="180" w:right="199"/>
        <w:spacing w:after="0" w:line="251" w:lineRule="auto"/>
        <w:rPr>
          <w:sz w:val="20"/>
          <w:szCs w:val="20"/>
          <w:color w:val="auto"/>
        </w:rPr>
      </w:pPr>
      <w:r>
        <w:rPr>
          <w:rFonts w:ascii="Arial" w:cs="Arial" w:eastAsia="Arial" w:hAnsi="Arial"/>
          <w:sz w:val="13"/>
          <w:szCs w:val="13"/>
          <w:color w:val="auto"/>
        </w:rPr>
        <w:t>The foregoing description of the Rights Agreement and the Rights does not purport to be complete and is qualified in its entirety by reference to the Certificate of Amendment of the Certificate of Incorporation of the Company and the Rights Agreement, copies of which were filed as Exhibits 3.1 and 4.1, respectively, to the Current Report on Form 8-K filed by the Company on December 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259080</wp:posOffset>
            </wp:positionV>
            <wp:extent cx="5484495" cy="196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3">
                      <a:extLst>
                        <a:ext uri="{28A0092B-C50C-407E-A947-70E740481C1C}"/>
                      </a:extLst>
                    </a:blip>
                    <a:srcRect/>
                    <a:stretch>
                      <a:fillRect/>
                    </a:stretch>
                  </pic:blipFill>
                  <pic:spPr bwMode="auto">
                    <a:xfrm>
                      <a:off x="0" y="0"/>
                      <a:ext cx="5484495" cy="19685"/>
                    </a:xfrm>
                    <a:prstGeom prst="rect">
                      <a:avLst/>
                    </a:prstGeom>
                    <a:noFill/>
                  </pic:spPr>
                </pic:pic>
              </a:graphicData>
            </a:graphic>
          </wp:anchor>
        </w:drawing>
      </w:r>
    </w:p>
    <w:p>
      <w:pPr>
        <w:sectPr>
          <w:pgSz w:w="11900" w:h="16838" w:orient="portrait"/>
          <w:cols w:equalWidth="0" w:num="1">
            <w:col w:w="9019"/>
          </w:cols>
          <w:pgMar w:left="1440" w:top="135" w:right="1440" w:bottom="1440" w:gutter="0" w:footer="0" w:header="0"/>
        </w:sectPr>
      </w:pPr>
    </w:p>
    <w:bookmarkStart w:id="90" w:name="page91"/>
    <w:bookmarkEnd w:id="90"/>
    <w:p>
      <w:pPr>
        <w:ind w:left="560"/>
        <w:spacing w:after="0"/>
        <w:rPr>
          <w:sz w:val="20"/>
          <w:szCs w:val="20"/>
          <w:color w:val="auto"/>
        </w:rPr>
      </w:pPr>
      <w:r>
        <w:rPr>
          <w:rFonts w:ascii="Arial" w:cs="Arial" w:eastAsia="Arial" w:hAnsi="Arial"/>
          <w:sz w:val="13"/>
          <w:szCs w:val="13"/>
          <w:b w:val="1"/>
          <w:bCs w:val="1"/>
          <w:color w:val="auto"/>
        </w:rPr>
        <w:t>ANTI-TAKEOVER EFFECTS OF CERTAIN PROVISIONS</w:t>
      </w:r>
    </w:p>
    <w:p>
      <w:pPr>
        <w:spacing w:after="0" w:line="20" w:lineRule="exact"/>
        <w:rPr>
          <w:sz w:val="20"/>
          <w:szCs w:val="20"/>
          <w:color w:val="auto"/>
        </w:rPr>
      </w:pPr>
    </w:p>
    <w:p>
      <w:pPr>
        <w:ind w:left="3500"/>
        <w:spacing w:after="0"/>
        <w:rPr>
          <w:sz w:val="20"/>
          <w:szCs w:val="20"/>
          <w:color w:val="auto"/>
        </w:rPr>
      </w:pPr>
      <w:r>
        <w:rPr>
          <w:rFonts w:ascii="Arial" w:cs="Arial" w:eastAsia="Arial" w:hAnsi="Arial"/>
          <w:sz w:val="12"/>
          <w:szCs w:val="12"/>
          <w:b w:val="1"/>
          <w:bCs w:val="1"/>
          <w:color w:val="auto"/>
        </w:rPr>
        <w:t>INCORPORATION AND BYLAWS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OF OUR CERTIFICATE OF</w:t>
      </w:r>
    </w:p>
    <w:p>
      <w:pPr>
        <w:spacing w:after="0" w:line="333" w:lineRule="exact"/>
        <w:rPr>
          <w:sz w:val="20"/>
          <w:szCs w:val="20"/>
          <w:color w:val="auto"/>
        </w:rPr>
      </w:pPr>
    </w:p>
    <w:p>
      <w:pPr>
        <w:sectPr>
          <w:pgSz w:w="11900" w:h="16838" w:orient="portrait"/>
          <w:cols w:equalWidth="0" w:num="2">
            <w:col w:w="6080" w:space="720"/>
            <w:col w:w="2219"/>
          </w:cols>
          <w:pgMar w:left="1440" w:top="447" w:right="1440" w:bottom="1440" w:gutter="0" w:footer="0" w:header="0"/>
        </w:sectPr>
      </w:pPr>
    </w:p>
    <w:p>
      <w:pPr>
        <w:ind w:left="180"/>
        <w:spacing w:after="0"/>
        <w:rPr>
          <w:sz w:val="20"/>
          <w:szCs w:val="20"/>
          <w:color w:val="auto"/>
        </w:rPr>
      </w:pPr>
      <w:r>
        <w:rPr>
          <w:rFonts w:ascii="Arial" w:cs="Arial" w:eastAsia="Arial" w:hAnsi="Arial"/>
          <w:sz w:val="13"/>
          <w:szCs w:val="13"/>
          <w:b w:val="1"/>
          <w:bCs w:val="1"/>
          <w:i w:val="1"/>
          <w:iCs w:val="1"/>
          <w:color w:val="auto"/>
        </w:rPr>
        <w:t>Certain Effects of Authorized but Unissued Stock</w:t>
      </w:r>
    </w:p>
    <w:p>
      <w:pPr>
        <w:spacing w:after="0" w:line="185" w:lineRule="exact"/>
        <w:rPr>
          <w:sz w:val="20"/>
          <w:szCs w:val="20"/>
          <w:color w:val="auto"/>
        </w:rPr>
      </w:pPr>
    </w:p>
    <w:p>
      <w:pPr>
        <w:jc w:val="both"/>
        <w:ind w:left="180" w:right="199"/>
        <w:spacing w:after="0" w:line="249" w:lineRule="auto"/>
        <w:rPr>
          <w:sz w:val="20"/>
          <w:szCs w:val="20"/>
          <w:color w:val="auto"/>
        </w:rPr>
      </w:pPr>
      <w:r>
        <w:rPr>
          <w:rFonts w:ascii="Arial" w:cs="Arial" w:eastAsia="Arial" w:hAnsi="Arial"/>
          <w:sz w:val="13"/>
          <w:szCs w:val="13"/>
          <w:color w:val="auto"/>
        </w:rPr>
        <w:t>Our Board may create and issue series of preferred stock with rights, privileges or restrictions, having the effect of discriminating against an existing or prospective holder of such securities as a result of such security holder beneficially owning or commencing a tender offer for a substantial amount of common stock. One of the effects of authorized but unissued and unreserved shares of capital stock may be to render more difficult or discourage an attempt by a potential acquiror to obtain control of Foot Locker by means of a merger, tender offer, proxy contest or otherwise, and thereby protect the continuity of Foot Locker’s management.</w:t>
      </w:r>
    </w:p>
    <w:p>
      <w:pPr>
        <w:spacing w:after="0" w:line="142" w:lineRule="exact"/>
        <w:rPr>
          <w:sz w:val="20"/>
          <w:szCs w:val="20"/>
          <w:color w:val="auto"/>
        </w:rPr>
      </w:pPr>
    </w:p>
    <w:p>
      <w:pPr>
        <w:ind w:left="180"/>
        <w:spacing w:after="0"/>
        <w:rPr>
          <w:sz w:val="20"/>
          <w:szCs w:val="20"/>
          <w:color w:val="auto"/>
        </w:rPr>
      </w:pPr>
      <w:r>
        <w:rPr>
          <w:rFonts w:ascii="Arial" w:cs="Arial" w:eastAsia="Arial" w:hAnsi="Arial"/>
          <w:sz w:val="13"/>
          <w:szCs w:val="13"/>
          <w:b w:val="1"/>
          <w:bCs w:val="1"/>
          <w:i w:val="1"/>
          <w:iCs w:val="1"/>
          <w:color w:val="auto"/>
        </w:rPr>
        <w:t>Advance Notice for Shareholder Proposals and Nominations</w:t>
      </w:r>
    </w:p>
    <w:p>
      <w:pPr>
        <w:spacing w:after="0" w:line="185" w:lineRule="exact"/>
        <w:rPr>
          <w:sz w:val="20"/>
          <w:szCs w:val="20"/>
          <w:color w:val="auto"/>
        </w:rPr>
      </w:pPr>
    </w:p>
    <w:p>
      <w:pPr>
        <w:jc w:val="both"/>
        <w:ind w:left="180" w:right="199"/>
        <w:spacing w:after="0" w:line="256" w:lineRule="auto"/>
        <w:rPr>
          <w:sz w:val="20"/>
          <w:szCs w:val="20"/>
          <w:color w:val="auto"/>
        </w:rPr>
      </w:pPr>
      <w:r>
        <w:rPr>
          <w:rFonts w:ascii="Arial" w:cs="Arial" w:eastAsia="Arial" w:hAnsi="Arial"/>
          <w:sz w:val="13"/>
          <w:szCs w:val="13"/>
          <w:color w:val="auto"/>
        </w:rPr>
        <w:t>Our Bylaws contain advance notice provisions with respect to shareholder nominations of candidates for election as directors and any other business that the shareholder intends to bring at a meeting of shareholders.</w:t>
      </w:r>
    </w:p>
    <w:p>
      <w:pPr>
        <w:spacing w:after="0" w:line="137" w:lineRule="exact"/>
        <w:rPr>
          <w:sz w:val="20"/>
          <w:szCs w:val="20"/>
          <w:color w:val="auto"/>
        </w:rPr>
      </w:pPr>
    </w:p>
    <w:p>
      <w:pPr>
        <w:ind w:left="180"/>
        <w:spacing w:after="0"/>
        <w:rPr>
          <w:sz w:val="20"/>
          <w:szCs w:val="20"/>
          <w:color w:val="auto"/>
        </w:rPr>
      </w:pPr>
      <w:r>
        <w:rPr>
          <w:rFonts w:ascii="Arial" w:cs="Arial" w:eastAsia="Arial" w:hAnsi="Arial"/>
          <w:sz w:val="13"/>
          <w:szCs w:val="13"/>
          <w:b w:val="1"/>
          <w:bCs w:val="1"/>
          <w:i w:val="1"/>
          <w:iCs w:val="1"/>
          <w:color w:val="auto"/>
        </w:rPr>
        <w:t>No Cumulative Voting</w:t>
      </w:r>
    </w:p>
    <w:p>
      <w:pPr>
        <w:spacing w:after="0" w:line="185" w:lineRule="exact"/>
        <w:rPr>
          <w:sz w:val="20"/>
          <w:szCs w:val="20"/>
          <w:color w:val="auto"/>
        </w:rPr>
      </w:pPr>
    </w:p>
    <w:p>
      <w:pPr>
        <w:jc w:val="both"/>
        <w:ind w:left="180" w:right="219"/>
        <w:spacing w:after="0" w:line="256" w:lineRule="auto"/>
        <w:rPr>
          <w:sz w:val="20"/>
          <w:szCs w:val="20"/>
          <w:color w:val="auto"/>
        </w:rPr>
      </w:pPr>
      <w:r>
        <w:rPr>
          <w:rFonts w:ascii="Arial" w:cs="Arial" w:eastAsia="Arial" w:hAnsi="Arial"/>
          <w:sz w:val="13"/>
          <w:szCs w:val="13"/>
          <w:color w:val="auto"/>
        </w:rPr>
        <w:t>Our Bylaws do not provide for cumulative voting in the election of directors. The absence of cumulative voting may make it more difficult for shareholders owning less than a majority of our common stock to elect any directors to our Board.</w:t>
      </w:r>
    </w:p>
    <w:p>
      <w:pPr>
        <w:spacing w:after="0" w:line="137" w:lineRule="exact"/>
        <w:rPr>
          <w:sz w:val="20"/>
          <w:szCs w:val="20"/>
          <w:color w:val="auto"/>
        </w:rPr>
      </w:pPr>
    </w:p>
    <w:p>
      <w:pPr>
        <w:ind w:left="180"/>
        <w:spacing w:after="0"/>
        <w:rPr>
          <w:sz w:val="20"/>
          <w:szCs w:val="20"/>
          <w:color w:val="auto"/>
        </w:rPr>
      </w:pPr>
      <w:r>
        <w:rPr>
          <w:rFonts w:ascii="Arial" w:cs="Arial" w:eastAsia="Arial" w:hAnsi="Arial"/>
          <w:sz w:val="13"/>
          <w:szCs w:val="13"/>
          <w:b w:val="1"/>
          <w:bCs w:val="1"/>
          <w:i w:val="1"/>
          <w:iCs w:val="1"/>
          <w:color w:val="auto"/>
        </w:rPr>
        <w:t>Power of Shareholders to Call Special Shareholders Meeting</w:t>
      </w:r>
    </w:p>
    <w:p>
      <w:pPr>
        <w:spacing w:after="0" w:line="185" w:lineRule="exact"/>
        <w:rPr>
          <w:sz w:val="20"/>
          <w:szCs w:val="20"/>
          <w:color w:val="auto"/>
        </w:rPr>
      </w:pPr>
    </w:p>
    <w:p>
      <w:pPr>
        <w:jc w:val="both"/>
        <w:ind w:left="180" w:right="199"/>
        <w:spacing w:after="0" w:line="256" w:lineRule="auto"/>
        <w:rPr>
          <w:sz w:val="20"/>
          <w:szCs w:val="20"/>
          <w:color w:val="auto"/>
        </w:rPr>
      </w:pPr>
      <w:r>
        <w:rPr>
          <w:rFonts w:ascii="Arial" w:cs="Arial" w:eastAsia="Arial" w:hAnsi="Arial"/>
          <w:sz w:val="13"/>
          <w:szCs w:val="13"/>
          <w:color w:val="auto"/>
        </w:rPr>
        <w:t>Our Bylaws provide that special meetings of shareholders may be called only by the Chairman of our Board, the Chief Executive Officer, a Vice Chairman of the Board, the President or our Board pursuant to a resolution adopted by a majority of the total number of authorized directors.</w:t>
      </w:r>
    </w:p>
    <w:p>
      <w:pPr>
        <w:spacing w:after="0" w:line="137" w:lineRule="exact"/>
        <w:rPr>
          <w:sz w:val="20"/>
          <w:szCs w:val="20"/>
          <w:color w:val="auto"/>
        </w:rPr>
      </w:pPr>
    </w:p>
    <w:p>
      <w:pPr>
        <w:ind w:left="180"/>
        <w:spacing w:after="0"/>
        <w:rPr>
          <w:sz w:val="20"/>
          <w:szCs w:val="20"/>
          <w:color w:val="auto"/>
        </w:rPr>
      </w:pPr>
      <w:r>
        <w:rPr>
          <w:rFonts w:ascii="Arial" w:cs="Arial" w:eastAsia="Arial" w:hAnsi="Arial"/>
          <w:sz w:val="13"/>
          <w:szCs w:val="13"/>
          <w:b w:val="1"/>
          <w:bCs w:val="1"/>
          <w:i w:val="1"/>
          <w:iCs w:val="1"/>
          <w:color w:val="auto"/>
        </w:rPr>
        <w:t>Anti-Greenmail Provision</w:t>
      </w:r>
    </w:p>
    <w:p>
      <w:pPr>
        <w:spacing w:after="0" w:line="185" w:lineRule="exact"/>
        <w:rPr>
          <w:sz w:val="20"/>
          <w:szCs w:val="20"/>
          <w:color w:val="auto"/>
        </w:rPr>
      </w:pPr>
    </w:p>
    <w:p>
      <w:pPr>
        <w:jc w:val="both"/>
        <w:ind w:left="180" w:right="199"/>
        <w:spacing w:after="0" w:line="249" w:lineRule="auto"/>
        <w:rPr>
          <w:sz w:val="20"/>
          <w:szCs w:val="20"/>
          <w:color w:val="auto"/>
        </w:rPr>
      </w:pPr>
      <w:r>
        <w:rPr>
          <w:rFonts w:ascii="Arial" w:cs="Arial" w:eastAsia="Arial" w:hAnsi="Arial"/>
          <w:sz w:val="13"/>
          <w:szCs w:val="13"/>
          <w:color w:val="auto"/>
        </w:rPr>
        <w:t>Our Certificate of Incorporation includes an “anti-greenmail” provision that prohibits us from repurchasing any shares of our capital stock at a price above the fair market value of such shares at the time of such repurchase from an Interested Shareholder (defined as any person, with certain exceptions, who is, or who has announced or publicly disclosed a plan or intention to become, a beneficial owner of five percent or more of our voting stock) or certain related parties who have not beneficially owned all of their shares for at least two years, unless such repurchase is approved by a majority vote of shareholders other than such Interested Shareholder and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117475</wp:posOffset>
            </wp:positionH>
            <wp:positionV relativeFrom="paragraph">
              <wp:posOffset>259715</wp:posOffset>
            </wp:positionV>
            <wp:extent cx="5484495" cy="196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4">
                      <a:extLst>
                        <a:ext uri="{28A0092B-C50C-407E-A947-70E740481C1C}"/>
                      </a:extLst>
                    </a:blip>
                    <a:srcRect/>
                    <a:stretch>
                      <a:fillRect/>
                    </a:stretch>
                  </pic:blipFill>
                  <pic:spPr bwMode="auto">
                    <a:xfrm>
                      <a:off x="0" y="0"/>
                      <a:ext cx="5484495" cy="19685"/>
                    </a:xfrm>
                    <a:prstGeom prst="rect">
                      <a:avLst/>
                    </a:prstGeom>
                    <a:noFill/>
                  </pic:spPr>
                </pic:pic>
              </a:graphicData>
            </a:graphic>
          </wp:anchor>
        </w:drawing>
      </w:r>
    </w:p>
    <w:p>
      <w:pPr>
        <w:sectPr>
          <w:pgSz w:w="11900" w:h="16838" w:orient="portrait"/>
          <w:cols w:equalWidth="0" w:num="1">
            <w:col w:w="9019"/>
          </w:cols>
          <w:pgMar w:left="1440" w:top="447" w:right="1440" w:bottom="1440" w:gutter="0" w:footer="0" w:header="0"/>
          <w:type w:val="continuous"/>
        </w:sectPr>
      </w:pPr>
    </w:p>
    <w:bookmarkStart w:id="91" w:name="page92"/>
    <w:bookmarkEnd w:id="91"/>
    <w:p>
      <w:pPr>
        <w:jc w:val="right"/>
        <w:spacing w:after="0"/>
        <w:rPr>
          <w:sz w:val="20"/>
          <w:szCs w:val="20"/>
          <w:color w:val="auto"/>
        </w:rPr>
      </w:pPr>
      <w:r>
        <w:rPr>
          <w:rFonts w:ascii="Arial" w:cs="Arial" w:eastAsia="Arial" w:hAnsi="Arial"/>
          <w:sz w:val="14"/>
          <w:szCs w:val="14"/>
          <w:b w:val="1"/>
          <w:bCs w:val="1"/>
          <w:color w:val="auto"/>
        </w:rPr>
        <w:t>Exhibit 31.1</w:t>
      </w:r>
    </w:p>
    <w:p>
      <w:pPr>
        <w:spacing w:after="0" w:line="158" w:lineRule="exact"/>
        <w:rPr>
          <w:sz w:val="20"/>
          <w:szCs w:val="20"/>
          <w:color w:val="auto"/>
        </w:rPr>
      </w:pPr>
    </w:p>
    <w:p>
      <w:pPr>
        <w:ind w:left="3980"/>
        <w:spacing w:after="0"/>
        <w:rPr>
          <w:sz w:val="20"/>
          <w:szCs w:val="20"/>
          <w:color w:val="auto"/>
        </w:rPr>
      </w:pPr>
      <w:r>
        <w:rPr>
          <w:rFonts w:ascii="Arial" w:cs="Arial" w:eastAsia="Arial" w:hAnsi="Arial"/>
          <w:sz w:val="14"/>
          <w:szCs w:val="14"/>
          <w:b w:val="1"/>
          <w:bCs w:val="1"/>
          <w:color w:val="auto"/>
        </w:rPr>
        <w:t>CERTIFICATION</w:t>
      </w:r>
    </w:p>
    <w:p>
      <w:pPr>
        <w:spacing w:after="0" w:line="16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I, Richard A. Johnson, certify that:</w:t>
      </w:r>
    </w:p>
    <w:p>
      <w:pPr>
        <w:spacing w:after="0" w:line="312" w:lineRule="exact"/>
        <w:rPr>
          <w:sz w:val="20"/>
          <w:szCs w:val="20"/>
          <w:color w:val="auto"/>
        </w:rPr>
      </w:pPr>
    </w:p>
    <w:p>
      <w:pPr>
        <w:ind w:left="1080" w:hanging="556"/>
        <w:spacing w:after="0"/>
        <w:tabs>
          <w:tab w:leader="none" w:pos="10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Foot Locker, Inc. (the “Registrant”);</w:t>
      </w:r>
    </w:p>
    <w:p>
      <w:pPr>
        <w:spacing w:after="0" w:line="137" w:lineRule="exact"/>
        <w:rPr>
          <w:rFonts w:ascii="Arial" w:cs="Arial" w:eastAsia="Arial" w:hAnsi="Arial"/>
          <w:sz w:val="13"/>
          <w:szCs w:val="13"/>
          <w:color w:val="auto"/>
        </w:rPr>
      </w:pPr>
    </w:p>
    <w:p>
      <w:pPr>
        <w:jc w:val="both"/>
        <w:ind w:left="1080" w:right="1000" w:hanging="556"/>
        <w:spacing w:after="0" w:line="236" w:lineRule="auto"/>
        <w:tabs>
          <w:tab w:leader="none" w:pos="10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3"/>
          <w:szCs w:val="13"/>
          <w:color w:val="auto"/>
        </w:rPr>
      </w:pPr>
    </w:p>
    <w:p>
      <w:pPr>
        <w:jc w:val="both"/>
        <w:ind w:left="1080" w:right="1000" w:hanging="556"/>
        <w:spacing w:after="0" w:line="236" w:lineRule="auto"/>
        <w:tabs>
          <w:tab w:leader="none" w:pos="10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3"/>
          <w:szCs w:val="13"/>
          <w:color w:val="auto"/>
        </w:rPr>
      </w:pPr>
    </w:p>
    <w:p>
      <w:pPr>
        <w:jc w:val="both"/>
        <w:ind w:left="1080" w:right="1000" w:hanging="556"/>
        <w:spacing w:after="0" w:line="236" w:lineRule="auto"/>
        <w:tabs>
          <w:tab w:leader="none" w:pos="10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3" w:lineRule="exact"/>
        <w:rPr>
          <w:rFonts w:ascii="Arial" w:cs="Arial" w:eastAsia="Arial" w:hAnsi="Arial"/>
          <w:sz w:val="13"/>
          <w:szCs w:val="13"/>
          <w:color w:val="auto"/>
        </w:rPr>
      </w:pPr>
    </w:p>
    <w:p>
      <w:pPr>
        <w:jc w:val="both"/>
        <w:ind w:left="1740" w:right="1000" w:hanging="662"/>
        <w:spacing w:after="0" w:line="235" w:lineRule="auto"/>
        <w:tabs>
          <w:tab w:leader="none" w:pos="1740" w:val="left"/>
        </w:tabs>
        <w:numPr>
          <w:ilvl w:val="1"/>
          <w:numId w:val="40"/>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3"/>
          <w:szCs w:val="13"/>
          <w:color w:val="auto"/>
        </w:rPr>
      </w:pPr>
    </w:p>
    <w:p>
      <w:pPr>
        <w:jc w:val="both"/>
        <w:ind w:left="1740" w:right="1000" w:hanging="662"/>
        <w:spacing w:after="0" w:line="235" w:lineRule="auto"/>
        <w:tabs>
          <w:tab w:leader="none" w:pos="1740" w:val="left"/>
        </w:tabs>
        <w:numPr>
          <w:ilvl w:val="1"/>
          <w:numId w:val="40"/>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2" w:lineRule="exact"/>
        <w:rPr>
          <w:rFonts w:ascii="Arial" w:cs="Arial" w:eastAsia="Arial" w:hAnsi="Arial"/>
          <w:sz w:val="13"/>
          <w:szCs w:val="13"/>
          <w:color w:val="auto"/>
        </w:rPr>
      </w:pPr>
    </w:p>
    <w:p>
      <w:pPr>
        <w:jc w:val="both"/>
        <w:ind w:left="1740" w:right="1000" w:hanging="662"/>
        <w:spacing w:after="0" w:line="236" w:lineRule="auto"/>
        <w:tabs>
          <w:tab w:leader="none" w:pos="1740" w:val="left"/>
        </w:tabs>
        <w:numPr>
          <w:ilvl w:val="1"/>
          <w:numId w:val="40"/>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3" w:lineRule="exact"/>
        <w:rPr>
          <w:rFonts w:ascii="Arial" w:cs="Arial" w:eastAsia="Arial" w:hAnsi="Arial"/>
          <w:sz w:val="13"/>
          <w:szCs w:val="13"/>
          <w:color w:val="auto"/>
        </w:rPr>
      </w:pPr>
    </w:p>
    <w:p>
      <w:pPr>
        <w:jc w:val="both"/>
        <w:ind w:left="1740" w:right="1000" w:hanging="662"/>
        <w:spacing w:after="0" w:line="235" w:lineRule="auto"/>
        <w:tabs>
          <w:tab w:leader="none" w:pos="1740" w:val="left"/>
        </w:tabs>
        <w:numPr>
          <w:ilvl w:val="1"/>
          <w:numId w:val="40"/>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3"/>
          <w:szCs w:val="13"/>
          <w:color w:val="auto"/>
        </w:rPr>
      </w:pPr>
    </w:p>
    <w:p>
      <w:pPr>
        <w:ind w:left="1080" w:right="1000" w:hanging="556"/>
        <w:spacing w:after="0"/>
        <w:tabs>
          <w:tab w:leader="none" w:pos="108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31" w:lineRule="exact"/>
        <w:rPr>
          <w:rFonts w:ascii="Arial" w:cs="Arial" w:eastAsia="Arial" w:hAnsi="Arial"/>
          <w:sz w:val="13"/>
          <w:szCs w:val="13"/>
          <w:color w:val="auto"/>
        </w:rPr>
      </w:pPr>
    </w:p>
    <w:p>
      <w:pPr>
        <w:jc w:val="both"/>
        <w:ind w:left="1740" w:right="1000" w:hanging="662"/>
        <w:spacing w:after="0" w:line="236" w:lineRule="auto"/>
        <w:tabs>
          <w:tab w:leader="none" w:pos="1740" w:val="left"/>
        </w:tabs>
        <w:numPr>
          <w:ilvl w:val="1"/>
          <w:numId w:val="40"/>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3" w:lineRule="exact"/>
        <w:rPr>
          <w:rFonts w:ascii="Arial" w:cs="Arial" w:eastAsia="Arial" w:hAnsi="Arial"/>
          <w:sz w:val="13"/>
          <w:szCs w:val="13"/>
          <w:color w:val="auto"/>
        </w:rPr>
      </w:pPr>
    </w:p>
    <w:p>
      <w:pPr>
        <w:ind w:left="1740" w:right="1000" w:hanging="662"/>
        <w:spacing w:after="0"/>
        <w:tabs>
          <w:tab w:leader="none" w:pos="1740" w:val="left"/>
        </w:tabs>
        <w:numPr>
          <w:ilvl w:val="1"/>
          <w:numId w:val="40"/>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260"/>
        <w:spacing w:after="0"/>
        <w:rPr>
          <w:sz w:val="20"/>
          <w:szCs w:val="20"/>
          <w:color w:val="auto"/>
        </w:rPr>
      </w:pPr>
      <w:r>
        <w:rPr>
          <w:rFonts w:ascii="Arial" w:cs="Arial" w:eastAsia="Arial" w:hAnsi="Arial"/>
          <w:sz w:val="13"/>
          <w:szCs w:val="13"/>
          <w:color w:val="auto"/>
        </w:rPr>
        <w:t>March 25, 2021</w:t>
      </w:r>
    </w:p>
    <w:p>
      <w:pPr>
        <w:spacing w:after="0" w:line="169"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0</wp:posOffset>
            </wp:positionV>
            <wp:extent cx="2527300" cy="63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5">
                      <a:extLst>
                        <a:ext uri="{28A0092B-C50C-407E-A947-70E740481C1C}"/>
                      </a:extLst>
                    </a:blip>
                    <a:srcRect/>
                    <a:stretch>
                      <a:fillRect/>
                    </a:stretch>
                  </pic:blipFill>
                  <pic:spPr bwMode="auto">
                    <a:xfrm>
                      <a:off x="0" y="0"/>
                      <a:ext cx="2527300" cy="6350"/>
                    </a:xfrm>
                    <a:prstGeom prst="rect">
                      <a:avLst/>
                    </a:prstGeom>
                    <a:noFill/>
                  </pic:spPr>
                </pic:pic>
              </a:graphicData>
            </a:graphic>
          </wp:anchor>
        </w:drawing>
      </w:r>
    </w:p>
    <w:p>
      <w:pPr>
        <w:ind w:left="4600"/>
        <w:spacing w:after="0"/>
        <w:rPr>
          <w:sz w:val="20"/>
          <w:szCs w:val="20"/>
          <w:color w:val="auto"/>
        </w:rPr>
      </w:pPr>
      <w:r>
        <w:rPr>
          <w:rFonts w:ascii="Arial" w:cs="Arial" w:eastAsia="Arial" w:hAnsi="Arial"/>
          <w:sz w:val="13"/>
          <w:szCs w:val="13"/>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357505</wp:posOffset>
            </wp:positionV>
            <wp:extent cx="6318250" cy="196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6">
                      <a:extLst>
                        <a:ext uri="{28A0092B-C50C-407E-A947-70E740481C1C}"/>
                      </a:extLst>
                    </a:blip>
                    <a:srcRect/>
                    <a:stretch>
                      <a:fillRect/>
                    </a:stretch>
                  </pic:blipFill>
                  <pic:spPr bwMode="auto">
                    <a:xfrm>
                      <a:off x="0" y="0"/>
                      <a:ext cx="6318250" cy="19685"/>
                    </a:xfrm>
                    <a:prstGeom prst="rect">
                      <a:avLst/>
                    </a:prstGeom>
                    <a:noFill/>
                  </pic:spPr>
                </pic:pic>
              </a:graphicData>
            </a:graphic>
          </wp:anchor>
        </w:drawing>
      </w:r>
    </w:p>
    <w:p>
      <w:pPr>
        <w:sectPr>
          <w:pgSz w:w="11900" w:h="16838" w:orient="portrait"/>
          <w:cols w:equalWidth="0" w:num="1">
            <w:col w:w="9480"/>
          </w:cols>
          <w:pgMar w:left="1440" w:top="121" w:right="979" w:bottom="1440" w:gutter="0" w:footer="0" w:header="0"/>
        </w:sectPr>
      </w:pPr>
    </w:p>
    <w:bookmarkStart w:id="92" w:name="page93"/>
    <w:bookmarkEnd w:id="92"/>
    <w:p>
      <w:pPr>
        <w:jc w:val="right"/>
        <w:spacing w:after="0"/>
        <w:rPr>
          <w:sz w:val="20"/>
          <w:szCs w:val="20"/>
          <w:color w:val="auto"/>
        </w:rPr>
      </w:pPr>
      <w:r>
        <w:rPr>
          <w:rFonts w:ascii="Arial" w:cs="Arial" w:eastAsia="Arial" w:hAnsi="Arial"/>
          <w:sz w:val="14"/>
          <w:szCs w:val="14"/>
          <w:b w:val="1"/>
          <w:bCs w:val="1"/>
          <w:color w:val="auto"/>
        </w:rPr>
        <w:t>Exhibit 31.2</w:t>
      </w:r>
    </w:p>
    <w:p>
      <w:pPr>
        <w:spacing w:after="0" w:line="154" w:lineRule="exact"/>
        <w:rPr>
          <w:sz w:val="20"/>
          <w:szCs w:val="20"/>
          <w:color w:val="auto"/>
        </w:rPr>
      </w:pPr>
    </w:p>
    <w:p>
      <w:pPr>
        <w:ind w:left="4000"/>
        <w:spacing w:after="0"/>
        <w:rPr>
          <w:sz w:val="20"/>
          <w:szCs w:val="20"/>
          <w:color w:val="auto"/>
        </w:rPr>
      </w:pPr>
      <w:r>
        <w:rPr>
          <w:rFonts w:ascii="Arial" w:cs="Arial" w:eastAsia="Arial" w:hAnsi="Arial"/>
          <w:sz w:val="13"/>
          <w:szCs w:val="13"/>
          <w:b w:val="1"/>
          <w:bCs w:val="1"/>
          <w:color w:val="auto"/>
        </w:rPr>
        <w:t>CERTIFICATION</w:t>
      </w:r>
    </w:p>
    <w:p>
      <w:pPr>
        <w:spacing w:after="0" w:line="174" w:lineRule="exact"/>
        <w:rPr>
          <w:sz w:val="20"/>
          <w:szCs w:val="20"/>
          <w:color w:val="auto"/>
        </w:rPr>
      </w:pPr>
    </w:p>
    <w:p>
      <w:pPr>
        <w:ind w:left="260"/>
        <w:spacing w:after="0"/>
        <w:rPr>
          <w:sz w:val="20"/>
          <w:szCs w:val="20"/>
          <w:color w:val="auto"/>
        </w:rPr>
      </w:pPr>
      <w:r>
        <w:rPr>
          <w:rFonts w:ascii="Arial" w:cs="Arial" w:eastAsia="Arial" w:hAnsi="Arial"/>
          <w:sz w:val="13"/>
          <w:szCs w:val="13"/>
          <w:color w:val="auto"/>
        </w:rPr>
        <w:t>I, Lauren B. Peters, certify that:</w:t>
      </w:r>
    </w:p>
    <w:p>
      <w:pPr>
        <w:spacing w:after="0" w:line="312" w:lineRule="exact"/>
        <w:rPr>
          <w:sz w:val="20"/>
          <w:szCs w:val="20"/>
          <w:color w:val="auto"/>
        </w:rPr>
      </w:pPr>
    </w:p>
    <w:p>
      <w:pPr>
        <w:ind w:left="1020" w:hanging="496"/>
        <w:spacing w:after="0"/>
        <w:tabs>
          <w:tab w:leader="none" w:pos="1020" w:val="left"/>
        </w:tabs>
        <w:numPr>
          <w:ilvl w:val="0"/>
          <w:numId w:val="41"/>
        </w:numPr>
        <w:rPr>
          <w:rFonts w:ascii="Arial" w:cs="Arial" w:eastAsia="Arial" w:hAnsi="Arial"/>
          <w:sz w:val="13"/>
          <w:szCs w:val="13"/>
          <w:color w:val="auto"/>
        </w:rPr>
      </w:pPr>
      <w:r>
        <w:rPr>
          <w:rFonts w:ascii="Arial" w:cs="Arial" w:eastAsia="Arial" w:hAnsi="Arial"/>
          <w:sz w:val="13"/>
          <w:szCs w:val="13"/>
          <w:color w:val="auto"/>
        </w:rPr>
        <w:t>I have reviewed this Annual Report on Form 10-K of Foot Locker, Inc. (the “Registrant”);</w:t>
      </w:r>
    </w:p>
    <w:p>
      <w:pPr>
        <w:spacing w:after="0" w:line="137" w:lineRule="exact"/>
        <w:rPr>
          <w:rFonts w:ascii="Arial" w:cs="Arial" w:eastAsia="Arial" w:hAnsi="Arial"/>
          <w:sz w:val="13"/>
          <w:szCs w:val="13"/>
          <w:color w:val="auto"/>
        </w:rPr>
      </w:pPr>
    </w:p>
    <w:p>
      <w:pPr>
        <w:jc w:val="both"/>
        <w:ind w:left="1020" w:right="1000" w:hanging="496"/>
        <w:spacing w:after="0" w:line="236" w:lineRule="auto"/>
        <w:tabs>
          <w:tab w:leader="none" w:pos="1020" w:val="left"/>
        </w:tabs>
        <w:numPr>
          <w:ilvl w:val="0"/>
          <w:numId w:val="41"/>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3"/>
          <w:szCs w:val="13"/>
          <w:color w:val="auto"/>
        </w:rPr>
      </w:pPr>
    </w:p>
    <w:p>
      <w:pPr>
        <w:jc w:val="both"/>
        <w:ind w:left="1020" w:right="1000" w:hanging="496"/>
        <w:spacing w:after="0" w:line="236" w:lineRule="auto"/>
        <w:tabs>
          <w:tab w:leader="none" w:pos="1020" w:val="left"/>
        </w:tabs>
        <w:numPr>
          <w:ilvl w:val="0"/>
          <w:numId w:val="41"/>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3"/>
          <w:szCs w:val="13"/>
          <w:color w:val="auto"/>
        </w:rPr>
      </w:pPr>
    </w:p>
    <w:p>
      <w:pPr>
        <w:jc w:val="both"/>
        <w:ind w:left="1020" w:right="1000" w:hanging="496"/>
        <w:spacing w:after="0" w:line="236" w:lineRule="auto"/>
        <w:tabs>
          <w:tab w:leader="none" w:pos="102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3" w:lineRule="exact"/>
        <w:rPr>
          <w:rFonts w:ascii="Arial" w:cs="Arial" w:eastAsia="Arial" w:hAnsi="Arial"/>
          <w:sz w:val="13"/>
          <w:szCs w:val="13"/>
          <w:color w:val="auto"/>
        </w:rPr>
      </w:pPr>
    </w:p>
    <w:p>
      <w:pPr>
        <w:jc w:val="both"/>
        <w:ind w:left="1600" w:right="1000" w:hanging="584"/>
        <w:spacing w:after="0" w:line="235" w:lineRule="auto"/>
        <w:tabs>
          <w:tab w:leader="none" w:pos="1600" w:val="left"/>
        </w:tabs>
        <w:numPr>
          <w:ilvl w:val="1"/>
          <w:numId w:val="41"/>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2" w:lineRule="exact"/>
        <w:rPr>
          <w:rFonts w:ascii="Arial" w:cs="Arial" w:eastAsia="Arial" w:hAnsi="Arial"/>
          <w:sz w:val="13"/>
          <w:szCs w:val="13"/>
          <w:color w:val="auto"/>
        </w:rPr>
      </w:pPr>
    </w:p>
    <w:p>
      <w:pPr>
        <w:jc w:val="both"/>
        <w:ind w:left="1600" w:right="1000" w:hanging="584"/>
        <w:spacing w:after="0" w:line="236" w:lineRule="auto"/>
        <w:tabs>
          <w:tab w:leader="none" w:pos="1600" w:val="left"/>
        </w:tabs>
        <w:numPr>
          <w:ilvl w:val="1"/>
          <w:numId w:val="41"/>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3" w:lineRule="exact"/>
        <w:rPr>
          <w:rFonts w:ascii="Arial" w:cs="Arial" w:eastAsia="Arial" w:hAnsi="Arial"/>
          <w:sz w:val="13"/>
          <w:szCs w:val="13"/>
          <w:color w:val="auto"/>
        </w:rPr>
      </w:pPr>
    </w:p>
    <w:p>
      <w:pPr>
        <w:jc w:val="both"/>
        <w:ind w:left="1600" w:right="1000" w:hanging="584"/>
        <w:spacing w:after="0" w:line="236" w:lineRule="auto"/>
        <w:tabs>
          <w:tab w:leader="none" w:pos="1600" w:val="left"/>
        </w:tabs>
        <w:numPr>
          <w:ilvl w:val="1"/>
          <w:numId w:val="41"/>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3" w:lineRule="exact"/>
        <w:rPr>
          <w:rFonts w:ascii="Arial" w:cs="Arial" w:eastAsia="Arial" w:hAnsi="Arial"/>
          <w:sz w:val="13"/>
          <w:szCs w:val="13"/>
          <w:color w:val="auto"/>
        </w:rPr>
      </w:pPr>
    </w:p>
    <w:p>
      <w:pPr>
        <w:jc w:val="both"/>
        <w:ind w:left="1600" w:right="1000" w:hanging="584"/>
        <w:spacing w:after="0" w:line="235" w:lineRule="auto"/>
        <w:tabs>
          <w:tab w:leader="none" w:pos="1600" w:val="left"/>
        </w:tabs>
        <w:numPr>
          <w:ilvl w:val="1"/>
          <w:numId w:val="41"/>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2" w:lineRule="exact"/>
        <w:rPr>
          <w:rFonts w:ascii="Arial" w:cs="Arial" w:eastAsia="Arial" w:hAnsi="Arial"/>
          <w:sz w:val="13"/>
          <w:szCs w:val="13"/>
          <w:color w:val="auto"/>
        </w:rPr>
      </w:pPr>
    </w:p>
    <w:p>
      <w:pPr>
        <w:ind w:left="1020" w:right="1000" w:hanging="496"/>
        <w:spacing w:after="0"/>
        <w:tabs>
          <w:tab w:leader="none" w:pos="1020" w:val="left"/>
        </w:tabs>
        <w:numPr>
          <w:ilvl w:val="0"/>
          <w:numId w:val="41"/>
        </w:numPr>
        <w:rPr>
          <w:rFonts w:ascii="Arial" w:cs="Arial" w:eastAsia="Arial" w:hAnsi="Arial"/>
          <w:sz w:val="13"/>
          <w:szCs w:val="13"/>
          <w:color w:val="auto"/>
        </w:rPr>
      </w:pPr>
      <w:r>
        <w:rPr>
          <w:rFonts w:ascii="Arial" w:cs="Arial" w:eastAsia="Arial" w:hAnsi="Arial"/>
          <w:sz w:val="13"/>
          <w:szCs w:val="13"/>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131" w:lineRule="exact"/>
        <w:rPr>
          <w:rFonts w:ascii="Arial" w:cs="Arial" w:eastAsia="Arial" w:hAnsi="Arial"/>
          <w:sz w:val="13"/>
          <w:szCs w:val="13"/>
          <w:color w:val="auto"/>
        </w:rPr>
      </w:pPr>
    </w:p>
    <w:p>
      <w:pPr>
        <w:jc w:val="both"/>
        <w:ind w:left="1600" w:right="1000" w:hanging="584"/>
        <w:spacing w:after="0" w:line="236" w:lineRule="auto"/>
        <w:tabs>
          <w:tab w:leader="none" w:pos="1600" w:val="left"/>
        </w:tabs>
        <w:numPr>
          <w:ilvl w:val="1"/>
          <w:numId w:val="41"/>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3" w:lineRule="exact"/>
        <w:rPr>
          <w:rFonts w:ascii="Arial" w:cs="Arial" w:eastAsia="Arial" w:hAnsi="Arial"/>
          <w:sz w:val="13"/>
          <w:szCs w:val="13"/>
          <w:color w:val="auto"/>
        </w:rPr>
      </w:pPr>
    </w:p>
    <w:p>
      <w:pPr>
        <w:ind w:left="1600" w:right="1000" w:hanging="584"/>
        <w:spacing w:after="0"/>
        <w:tabs>
          <w:tab w:leader="none" w:pos="1600" w:val="left"/>
        </w:tabs>
        <w:numPr>
          <w:ilvl w:val="1"/>
          <w:numId w:val="41"/>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260"/>
        <w:spacing w:after="0"/>
        <w:rPr>
          <w:sz w:val="20"/>
          <w:szCs w:val="20"/>
          <w:color w:val="auto"/>
        </w:rPr>
      </w:pPr>
      <w:r>
        <w:rPr>
          <w:rFonts w:ascii="Arial" w:cs="Arial" w:eastAsia="Arial" w:hAnsi="Arial"/>
          <w:sz w:val="13"/>
          <w:szCs w:val="13"/>
          <w:color w:val="auto"/>
        </w:rPr>
        <w:t>March 25, 2021</w:t>
      </w:r>
    </w:p>
    <w:p>
      <w:pPr>
        <w:spacing w:after="0" w:line="158" w:lineRule="exact"/>
        <w:rPr>
          <w:sz w:val="20"/>
          <w:szCs w:val="20"/>
          <w:color w:val="auto"/>
        </w:rPr>
      </w:pPr>
    </w:p>
    <w:p>
      <w:pPr>
        <w:ind w:left="4500"/>
        <w:spacing w:after="0"/>
        <w:rPr>
          <w:sz w:val="20"/>
          <w:szCs w:val="20"/>
          <w:color w:val="auto"/>
        </w:rPr>
      </w:pPr>
      <w:r>
        <w:rPr>
          <w:rFonts w:ascii="Arial" w:cs="Arial" w:eastAsia="Arial" w:hAnsi="Arial"/>
          <w:sz w:val="13"/>
          <w:szCs w:val="13"/>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0</wp:posOffset>
            </wp:positionV>
            <wp:extent cx="2527300" cy="6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7">
                      <a:extLst>
                        <a:ext uri="{28A0092B-C50C-407E-A947-70E740481C1C}"/>
                      </a:extLst>
                    </a:blip>
                    <a:srcRect/>
                    <a:stretch>
                      <a:fillRect/>
                    </a:stretch>
                  </pic:blipFill>
                  <pic:spPr bwMode="auto">
                    <a:xfrm>
                      <a:off x="0" y="0"/>
                      <a:ext cx="2527300" cy="6350"/>
                    </a:xfrm>
                    <a:prstGeom prst="rect">
                      <a:avLst/>
                    </a:prstGeom>
                    <a:noFill/>
                  </pic:spPr>
                </pic:pic>
              </a:graphicData>
            </a:graphic>
          </wp:anchor>
        </w:drawing>
      </w:r>
    </w:p>
    <w:p>
      <w:pPr>
        <w:ind w:left="4500"/>
        <w:spacing w:after="0"/>
        <w:rPr>
          <w:sz w:val="20"/>
          <w:szCs w:val="20"/>
          <w:color w:val="auto"/>
        </w:rPr>
      </w:pPr>
      <w:r>
        <w:rPr>
          <w:rFonts w:ascii="Arial" w:cs="Arial" w:eastAsia="Arial" w:hAnsi="Arial"/>
          <w:sz w:val="13"/>
          <w:szCs w:val="13"/>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357505</wp:posOffset>
            </wp:positionV>
            <wp:extent cx="6318250" cy="196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8">
                      <a:extLst>
                        <a:ext uri="{28A0092B-C50C-407E-A947-70E740481C1C}"/>
                      </a:extLst>
                    </a:blip>
                    <a:srcRect/>
                    <a:stretch>
                      <a:fillRect/>
                    </a:stretch>
                  </pic:blipFill>
                  <pic:spPr bwMode="auto">
                    <a:xfrm>
                      <a:off x="0" y="0"/>
                      <a:ext cx="6318250" cy="19685"/>
                    </a:xfrm>
                    <a:prstGeom prst="rect">
                      <a:avLst/>
                    </a:prstGeom>
                    <a:noFill/>
                  </pic:spPr>
                </pic:pic>
              </a:graphicData>
            </a:graphic>
          </wp:anchor>
        </w:drawing>
      </w:r>
    </w:p>
    <w:p>
      <w:pPr>
        <w:sectPr>
          <w:pgSz w:w="11900" w:h="16838" w:orient="portrait"/>
          <w:cols w:equalWidth="0" w:num="1">
            <w:col w:w="9480"/>
          </w:cols>
          <w:pgMar w:left="1440" w:top="121" w:right="979" w:bottom="1440" w:gutter="0" w:footer="0" w:header="0"/>
        </w:sectPr>
      </w:pPr>
    </w:p>
    <w:bookmarkStart w:id="93" w:name="page94"/>
    <w:bookmarkEnd w:id="93"/>
    <w:p>
      <w:pPr>
        <w:jc w:val="right"/>
        <w:spacing w:after="0"/>
        <w:rPr>
          <w:sz w:val="20"/>
          <w:szCs w:val="20"/>
          <w:color w:val="auto"/>
        </w:rPr>
      </w:pPr>
      <w:r>
        <w:rPr>
          <w:rFonts w:ascii="Arial" w:cs="Arial" w:eastAsia="Arial" w:hAnsi="Arial"/>
          <w:sz w:val="14"/>
          <w:szCs w:val="14"/>
          <w:b w:val="1"/>
          <w:bCs w:val="1"/>
          <w:color w:val="auto"/>
        </w:rPr>
        <w:t>Exhibit 32</w:t>
      </w:r>
    </w:p>
    <w:p>
      <w:pPr>
        <w:spacing w:after="0" w:line="158" w:lineRule="exact"/>
        <w:rPr>
          <w:sz w:val="20"/>
          <w:szCs w:val="20"/>
          <w:color w:val="auto"/>
        </w:rPr>
      </w:pPr>
    </w:p>
    <w:p>
      <w:pPr>
        <w:jc w:val="center"/>
        <w:ind w:right="480"/>
        <w:spacing w:after="0"/>
        <w:rPr>
          <w:sz w:val="20"/>
          <w:szCs w:val="20"/>
          <w:color w:val="auto"/>
        </w:rPr>
      </w:pPr>
      <w:r>
        <w:rPr>
          <w:rFonts w:ascii="Arial" w:cs="Arial" w:eastAsia="Arial" w:hAnsi="Arial"/>
          <w:sz w:val="14"/>
          <w:szCs w:val="14"/>
          <w:b w:val="1"/>
          <w:bCs w:val="1"/>
          <w:color w:val="auto"/>
        </w:rPr>
        <w:t>FOOT LOCKER, INC.</w:t>
      </w:r>
    </w:p>
    <w:p>
      <w:pPr>
        <w:spacing w:after="0" w:line="157" w:lineRule="exact"/>
        <w:rPr>
          <w:sz w:val="20"/>
          <w:szCs w:val="20"/>
          <w:color w:val="auto"/>
        </w:rPr>
      </w:pPr>
    </w:p>
    <w:p>
      <w:pPr>
        <w:jc w:val="center"/>
        <w:ind w:right="480"/>
        <w:spacing w:after="0"/>
        <w:rPr>
          <w:sz w:val="20"/>
          <w:szCs w:val="20"/>
          <w:color w:val="auto"/>
        </w:rPr>
      </w:pPr>
      <w:r>
        <w:rPr>
          <w:rFonts w:ascii="Arial" w:cs="Arial" w:eastAsia="Arial" w:hAnsi="Arial"/>
          <w:sz w:val="14"/>
          <w:szCs w:val="14"/>
          <w:b w:val="1"/>
          <w:bCs w:val="1"/>
          <w:color w:val="auto"/>
        </w:rPr>
        <w:t>CERTIFICATION PURSUANT TO</w:t>
      </w:r>
    </w:p>
    <w:p>
      <w:pPr>
        <w:spacing w:after="0" w:line="2" w:lineRule="exact"/>
        <w:rPr>
          <w:sz w:val="20"/>
          <w:szCs w:val="20"/>
          <w:color w:val="auto"/>
        </w:rPr>
      </w:pPr>
    </w:p>
    <w:p>
      <w:pPr>
        <w:jc w:val="center"/>
        <w:ind w:right="480"/>
        <w:spacing w:after="0"/>
        <w:rPr>
          <w:sz w:val="20"/>
          <w:szCs w:val="20"/>
          <w:color w:val="auto"/>
        </w:rPr>
      </w:pPr>
      <w:r>
        <w:rPr>
          <w:rFonts w:ascii="Arial" w:cs="Arial" w:eastAsia="Arial" w:hAnsi="Arial"/>
          <w:sz w:val="14"/>
          <w:szCs w:val="14"/>
          <w:b w:val="1"/>
          <w:bCs w:val="1"/>
          <w:color w:val="auto"/>
        </w:rPr>
        <w:t>18 U.S.C. SECTION 1350</w:t>
      </w:r>
    </w:p>
    <w:p>
      <w:pPr>
        <w:jc w:val="center"/>
        <w:ind w:right="480"/>
        <w:spacing w:after="0" w:line="229" w:lineRule="auto"/>
        <w:rPr>
          <w:sz w:val="20"/>
          <w:szCs w:val="20"/>
          <w:color w:val="auto"/>
        </w:rPr>
      </w:pPr>
      <w:r>
        <w:rPr>
          <w:rFonts w:ascii="Arial" w:cs="Arial" w:eastAsia="Arial" w:hAnsi="Arial"/>
          <w:sz w:val="14"/>
          <w:szCs w:val="14"/>
          <w:b w:val="1"/>
          <w:bCs w:val="1"/>
          <w:color w:val="auto"/>
        </w:rPr>
        <w:t>AS ADOPTED PURSUANT TO</w:t>
      </w:r>
    </w:p>
    <w:p>
      <w:pPr>
        <w:jc w:val="center"/>
        <w:ind w:right="480"/>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63" w:lineRule="exact"/>
        <w:rPr>
          <w:sz w:val="20"/>
          <w:szCs w:val="20"/>
          <w:color w:val="auto"/>
        </w:rPr>
      </w:pPr>
    </w:p>
    <w:p>
      <w:pPr>
        <w:jc w:val="both"/>
        <w:ind w:left="260" w:right="740"/>
        <w:spacing w:after="0" w:line="236" w:lineRule="auto"/>
        <w:rPr>
          <w:sz w:val="20"/>
          <w:szCs w:val="20"/>
          <w:color w:val="auto"/>
        </w:rPr>
      </w:pPr>
      <w:r>
        <w:rPr>
          <w:rFonts w:ascii="Arial" w:cs="Arial" w:eastAsia="Arial" w:hAnsi="Arial"/>
          <w:sz w:val="13"/>
          <w:szCs w:val="13"/>
          <w:color w:val="auto"/>
        </w:rPr>
        <w:t>In connection with the Annual Report on Form 10-K of Foot Locker, Inc. (the “Registrant”) for the period ended January 30, 2021, as filed with the Securities and Exchange Commission on the date hereof (the “Report”), Richard A. Johnson, as Chief Executive Officer of the Registrant and Lauren B. Peters, as Chief Financial Officer of the Registrant, each hereby certify, pursuant to 18 U.S.C. Section 1350, that:</w:t>
      </w:r>
    </w:p>
    <w:p>
      <w:pPr>
        <w:spacing w:after="0" w:line="308" w:lineRule="exact"/>
        <w:rPr>
          <w:sz w:val="20"/>
          <w:szCs w:val="20"/>
          <w:color w:val="auto"/>
        </w:rPr>
      </w:pPr>
    </w:p>
    <w:p>
      <w:pPr>
        <w:ind w:left="1180" w:hanging="420"/>
        <w:spacing w:after="0"/>
        <w:tabs>
          <w:tab w:leader="none" w:pos="11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and</w:t>
      </w:r>
    </w:p>
    <w:p>
      <w:pPr>
        <w:spacing w:after="0" w:line="137" w:lineRule="exact"/>
        <w:rPr>
          <w:rFonts w:ascii="Arial" w:cs="Arial" w:eastAsia="Arial" w:hAnsi="Arial"/>
          <w:sz w:val="13"/>
          <w:szCs w:val="13"/>
          <w:color w:val="auto"/>
        </w:rPr>
      </w:pPr>
    </w:p>
    <w:p>
      <w:pPr>
        <w:ind w:left="1180" w:right="1000" w:hanging="420"/>
        <w:spacing w:after="0"/>
        <w:tabs>
          <w:tab w:leader="none" w:pos="11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Registrant.</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3"/>
          <w:szCs w:val="13"/>
          <w:color w:val="auto"/>
        </w:rPr>
        <w:t>Dated: March 25, 2021</w:t>
      </w:r>
    </w:p>
    <w:p>
      <w:pPr>
        <w:spacing w:after="0" w:line="312" w:lineRule="exact"/>
        <w:rPr>
          <w:sz w:val="20"/>
          <w:szCs w:val="20"/>
          <w:color w:val="auto"/>
        </w:rPr>
      </w:pPr>
    </w:p>
    <w:p>
      <w:pPr>
        <w:ind w:left="4500"/>
        <w:spacing w:after="0"/>
        <w:rPr>
          <w:sz w:val="20"/>
          <w:szCs w:val="20"/>
          <w:color w:val="auto"/>
        </w:rPr>
      </w:pPr>
      <w:r>
        <w:rPr>
          <w:rFonts w:ascii="Arial" w:cs="Arial" w:eastAsia="Arial" w:hAnsi="Arial"/>
          <w:sz w:val="13"/>
          <w:szCs w:val="13"/>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0</wp:posOffset>
            </wp:positionV>
            <wp:extent cx="2527300" cy="63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9">
                      <a:extLst>
                        <a:ext uri="{28A0092B-C50C-407E-A947-70E740481C1C}"/>
                      </a:extLst>
                    </a:blip>
                    <a:srcRect/>
                    <a:stretch>
                      <a:fillRect/>
                    </a:stretch>
                  </pic:blipFill>
                  <pic:spPr bwMode="auto">
                    <a:xfrm>
                      <a:off x="0" y="0"/>
                      <a:ext cx="2527300" cy="6350"/>
                    </a:xfrm>
                    <a:prstGeom prst="rect">
                      <a:avLst/>
                    </a:prstGeom>
                    <a:noFill/>
                  </pic:spPr>
                </pic:pic>
              </a:graphicData>
            </a:graphic>
          </wp:anchor>
        </w:drawing>
      </w:r>
    </w:p>
    <w:p>
      <w:pPr>
        <w:ind w:left="4500"/>
        <w:spacing w:after="0" w:line="237" w:lineRule="auto"/>
        <w:rPr>
          <w:sz w:val="20"/>
          <w:szCs w:val="20"/>
          <w:color w:val="auto"/>
        </w:rPr>
      </w:pPr>
      <w:r>
        <w:rPr>
          <w:rFonts w:ascii="Arial" w:cs="Arial" w:eastAsia="Arial" w:hAnsi="Arial"/>
          <w:sz w:val="13"/>
          <w:szCs w:val="13"/>
          <w:color w:val="auto"/>
        </w:rPr>
        <w:t>Richard A. Johnson</w:t>
      </w:r>
    </w:p>
    <w:p>
      <w:pPr>
        <w:ind w:left="4500"/>
        <w:spacing w:after="0"/>
        <w:rPr>
          <w:sz w:val="20"/>
          <w:szCs w:val="20"/>
          <w:color w:val="auto"/>
        </w:rPr>
      </w:pPr>
      <w:r>
        <w:rPr>
          <w:rFonts w:ascii="Arial" w:cs="Arial" w:eastAsia="Arial" w:hAnsi="Arial"/>
          <w:sz w:val="13"/>
          <w:szCs w:val="13"/>
          <w:i w:val="1"/>
          <w:iCs w:val="1"/>
          <w:color w:val="auto"/>
        </w:rPr>
        <w:t>Chief Executive Officer</w:t>
      </w:r>
    </w:p>
    <w:p>
      <w:pPr>
        <w:spacing w:after="0" w:line="138" w:lineRule="exact"/>
        <w:rPr>
          <w:sz w:val="20"/>
          <w:szCs w:val="20"/>
          <w:color w:val="auto"/>
        </w:rPr>
      </w:pPr>
    </w:p>
    <w:p>
      <w:pPr>
        <w:ind w:left="4500"/>
        <w:spacing w:after="0"/>
        <w:rPr>
          <w:sz w:val="20"/>
          <w:szCs w:val="20"/>
          <w:color w:val="auto"/>
        </w:rPr>
      </w:pPr>
      <w:r>
        <w:rPr>
          <w:rFonts w:ascii="Arial" w:cs="Arial" w:eastAsia="Arial" w:hAnsi="Arial"/>
          <w:sz w:val="13"/>
          <w:szCs w:val="13"/>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0</wp:posOffset>
            </wp:positionV>
            <wp:extent cx="2527300" cy="63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0">
                      <a:extLst>
                        <a:ext uri="{28A0092B-C50C-407E-A947-70E740481C1C}"/>
                      </a:extLst>
                    </a:blip>
                    <a:srcRect/>
                    <a:stretch>
                      <a:fillRect/>
                    </a:stretch>
                  </pic:blipFill>
                  <pic:spPr bwMode="auto">
                    <a:xfrm>
                      <a:off x="0" y="0"/>
                      <a:ext cx="2527300" cy="6350"/>
                    </a:xfrm>
                    <a:prstGeom prst="rect">
                      <a:avLst/>
                    </a:prstGeom>
                    <a:noFill/>
                  </pic:spPr>
                </pic:pic>
              </a:graphicData>
            </a:graphic>
          </wp:anchor>
        </w:drawing>
      </w:r>
    </w:p>
    <w:p>
      <w:pPr>
        <w:ind w:left="4500"/>
        <w:spacing w:after="0" w:line="237" w:lineRule="auto"/>
        <w:rPr>
          <w:sz w:val="20"/>
          <w:szCs w:val="20"/>
          <w:color w:val="auto"/>
        </w:rPr>
      </w:pPr>
      <w:r>
        <w:rPr>
          <w:rFonts w:ascii="Arial" w:cs="Arial" w:eastAsia="Arial" w:hAnsi="Arial"/>
          <w:sz w:val="13"/>
          <w:szCs w:val="13"/>
          <w:color w:val="auto"/>
        </w:rPr>
        <w:t>Lauren B. Peters</w:t>
      </w:r>
    </w:p>
    <w:p>
      <w:pPr>
        <w:ind w:left="4500"/>
        <w:spacing w:after="0"/>
        <w:rPr>
          <w:sz w:val="20"/>
          <w:szCs w:val="20"/>
          <w:color w:val="auto"/>
        </w:rPr>
      </w:pPr>
      <w:r>
        <w:rPr>
          <w:rFonts w:ascii="Arial" w:cs="Arial" w:eastAsia="Arial" w:hAnsi="Arial"/>
          <w:sz w:val="13"/>
          <w:szCs w:val="13"/>
          <w:i w:val="1"/>
          <w:iCs w:val="1"/>
          <w:color w:val="auto"/>
        </w:rPr>
        <w:t>Chief Financial Officer</w:t>
      </w:r>
    </w:p>
    <w:p>
      <w:pPr>
        <w:spacing w:after="0" w:line="158" w:lineRule="exact"/>
        <w:rPr>
          <w:sz w:val="20"/>
          <w:szCs w:val="20"/>
          <w:color w:val="auto"/>
        </w:rPr>
      </w:pPr>
    </w:p>
    <w:p>
      <w:pPr>
        <w:jc w:val="both"/>
        <w:ind w:left="260" w:right="740"/>
        <w:spacing w:after="0" w:line="236" w:lineRule="auto"/>
        <w:rPr>
          <w:sz w:val="20"/>
          <w:szCs w:val="20"/>
          <w:color w:val="auto"/>
        </w:rPr>
      </w:pPr>
      <w:r>
        <w:rPr>
          <w:rFonts w:ascii="Arial" w:cs="Arial" w:eastAsia="Arial" w:hAnsi="Arial"/>
          <w:sz w:val="13"/>
          <w:szCs w:val="13"/>
          <w:color w:val="auto"/>
        </w:rPr>
        <w:t>The foregoing certification is being furnished solely pursuant to 18 U.S.C. § 1350 and is not being filed as part of the Report or as a separate disclosure document. Such certification will not be deemed to be incorporated by reference into any filing under the Securities Act of 1933, as amended, or the Securities Exchange Act of 1934, as amended,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257175</wp:posOffset>
            </wp:positionV>
            <wp:extent cx="6318250" cy="196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1">
                      <a:extLst>
                        <a:ext uri="{28A0092B-C50C-407E-A947-70E740481C1C}"/>
                      </a:extLst>
                    </a:blip>
                    <a:srcRect/>
                    <a:stretch>
                      <a:fillRect/>
                    </a:stretch>
                  </pic:blipFill>
                  <pic:spPr bwMode="auto">
                    <a:xfrm>
                      <a:off x="0" y="0"/>
                      <a:ext cx="6318250" cy="19685"/>
                    </a:xfrm>
                    <a:prstGeom prst="rect">
                      <a:avLst/>
                    </a:prstGeom>
                    <a:noFill/>
                  </pic:spPr>
                </pic:pic>
              </a:graphicData>
            </a:graphic>
          </wp:anchor>
        </w:drawing>
      </w:r>
    </w:p>
    <w:p>
      <w:pPr>
        <w:sectPr>
          <w:pgSz w:w="11900" w:h="16838" w:orient="portrait"/>
          <w:cols w:equalWidth="0" w:num="1">
            <w:col w:w="9480"/>
          </w:cols>
          <w:pgMar w:left="1440" w:top="121" w:right="979" w:bottom="1440" w:gutter="0" w:footer="0" w:header="0"/>
        </w:sectPr>
      </w:pPr>
    </w:p>
    <w:bookmarkStart w:id="94" w:name="page95"/>
    <w:bookmarkEnd w:id="94"/>
    <w:p>
      <w:pPr>
        <w:jc w:val="right"/>
        <w:spacing w:after="0"/>
        <w:rPr>
          <w:sz w:val="20"/>
          <w:szCs w:val="20"/>
          <w:color w:val="auto"/>
        </w:rPr>
      </w:pPr>
      <w:r>
        <w:rPr>
          <w:rFonts w:ascii="Arial" w:cs="Arial" w:eastAsia="Arial" w:hAnsi="Arial"/>
          <w:sz w:val="14"/>
          <w:szCs w:val="14"/>
          <w:b w:val="1"/>
          <w:bCs w:val="1"/>
          <w:color w:val="auto"/>
        </w:rPr>
        <w:t>Exhibit 23</w:t>
      </w:r>
    </w:p>
    <w:p>
      <w:pPr>
        <w:spacing w:after="0" w:line="158" w:lineRule="exact"/>
        <w:rPr>
          <w:sz w:val="20"/>
          <w:szCs w:val="20"/>
          <w:color w:val="auto"/>
        </w:rPr>
      </w:pPr>
    </w:p>
    <w:p>
      <w:pPr>
        <w:ind w:left="2140"/>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163"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Board of Directors</w:t>
      </w:r>
    </w:p>
    <w:p>
      <w:pPr>
        <w:ind w:left="260"/>
        <w:spacing w:after="0"/>
        <w:rPr>
          <w:sz w:val="20"/>
          <w:szCs w:val="20"/>
          <w:color w:val="auto"/>
        </w:rPr>
      </w:pPr>
      <w:r>
        <w:rPr>
          <w:rFonts w:ascii="Arial" w:cs="Arial" w:eastAsia="Arial" w:hAnsi="Arial"/>
          <w:sz w:val="13"/>
          <w:szCs w:val="13"/>
          <w:color w:val="auto"/>
        </w:rPr>
        <w:t>Foot Locker, Inc.:</w:t>
      </w:r>
    </w:p>
    <w:p>
      <w:pPr>
        <w:spacing w:after="0" w:line="158" w:lineRule="exact"/>
        <w:rPr>
          <w:sz w:val="20"/>
          <w:szCs w:val="20"/>
          <w:color w:val="auto"/>
        </w:rPr>
      </w:pPr>
    </w:p>
    <w:p>
      <w:pPr>
        <w:jc w:val="both"/>
        <w:ind w:left="260" w:right="740"/>
        <w:spacing w:after="0" w:line="146" w:lineRule="exact"/>
        <w:rPr>
          <w:sz w:val="20"/>
          <w:szCs w:val="20"/>
          <w:color w:val="auto"/>
        </w:rPr>
      </w:pPr>
      <w:r>
        <w:rPr>
          <w:rFonts w:ascii="Arial" w:cs="Arial" w:eastAsia="Arial" w:hAnsi="Arial"/>
          <w:sz w:val="13"/>
          <w:szCs w:val="13"/>
          <w:color w:val="auto"/>
        </w:rPr>
        <w:t>We consent to the incorporation by reference in the following registration statements of Foot Locker, Inc. and subsidiaries of our reports dated March 25, 2021, with respect to the consolidated balance sheets of Foot Locker, Inc. and subsidiaries as of January 30, 2021 and February 1, 2020, and the related consolidated statements of operations, comprehensive income, changes in shareholders’ equity, and cash flows for each of the years in the three-year period ended January 30, 2021, and the related notes, and the effectiveness of internal control over financial reporting as of January 30, 2021, which reports appear in the January 30, 2021 annual report on Form 10</w:t>
      </w:r>
      <w:r>
        <w:rPr>
          <w:rFonts w:ascii="MS PGothic" w:cs="MS PGothic" w:eastAsia="MS PGothic" w:hAnsi="MS PGothic"/>
          <w:sz w:val="13"/>
          <w:szCs w:val="13"/>
          <w:color w:val="auto"/>
        </w:rPr>
        <w:t>‑</w:t>
      </w:r>
      <w:r>
        <w:rPr>
          <w:rFonts w:ascii="Arial" w:cs="Arial" w:eastAsia="Arial" w:hAnsi="Arial"/>
          <w:sz w:val="13"/>
          <w:szCs w:val="13"/>
          <w:color w:val="auto"/>
        </w:rPr>
        <w:t>K of Foot Locker, Inc.</w:t>
      </w:r>
    </w:p>
    <w:p>
      <w:pPr>
        <w:spacing w:after="0" w:line="161" w:lineRule="exact"/>
        <w:rPr>
          <w:sz w:val="20"/>
          <w:szCs w:val="20"/>
          <w:color w:val="auto"/>
        </w:rPr>
      </w:pPr>
    </w:p>
    <w:p>
      <w:pPr>
        <w:ind w:left="640"/>
        <w:spacing w:after="0"/>
        <w:rPr>
          <w:sz w:val="20"/>
          <w:szCs w:val="20"/>
          <w:color w:val="auto"/>
        </w:rPr>
      </w:pPr>
      <w:r>
        <w:rPr>
          <w:rFonts w:ascii="Arial" w:cs="Arial" w:eastAsia="Arial" w:hAnsi="Arial"/>
          <w:sz w:val="14"/>
          <w:szCs w:val="14"/>
          <w:color w:val="auto"/>
        </w:rPr>
        <w:t>Form S-8 No. 33-10783</w:t>
      </w:r>
    </w:p>
    <w:p>
      <w:pPr>
        <w:ind w:left="640"/>
        <w:spacing w:after="0" w:line="229" w:lineRule="auto"/>
        <w:rPr>
          <w:sz w:val="20"/>
          <w:szCs w:val="20"/>
          <w:color w:val="auto"/>
        </w:rPr>
      </w:pPr>
      <w:r>
        <w:rPr>
          <w:rFonts w:ascii="Arial" w:cs="Arial" w:eastAsia="Arial" w:hAnsi="Arial"/>
          <w:sz w:val="14"/>
          <w:szCs w:val="14"/>
          <w:color w:val="auto"/>
        </w:rPr>
        <w:t>Form S-8 No. 33-91888</w:t>
      </w:r>
    </w:p>
    <w:p>
      <w:pPr>
        <w:ind w:left="640"/>
        <w:spacing w:after="0" w:line="229" w:lineRule="auto"/>
        <w:rPr>
          <w:sz w:val="20"/>
          <w:szCs w:val="20"/>
          <w:color w:val="auto"/>
        </w:rPr>
      </w:pPr>
      <w:r>
        <w:rPr>
          <w:rFonts w:ascii="Arial" w:cs="Arial" w:eastAsia="Arial" w:hAnsi="Arial"/>
          <w:sz w:val="14"/>
          <w:szCs w:val="14"/>
          <w:color w:val="auto"/>
        </w:rPr>
        <w:t>Form S-8 No. 33-91886</w:t>
      </w:r>
    </w:p>
    <w:p>
      <w:pPr>
        <w:ind w:left="640"/>
        <w:spacing w:after="0" w:line="230" w:lineRule="auto"/>
        <w:rPr>
          <w:sz w:val="20"/>
          <w:szCs w:val="20"/>
          <w:color w:val="auto"/>
        </w:rPr>
      </w:pPr>
      <w:r>
        <w:rPr>
          <w:rFonts w:ascii="Arial" w:cs="Arial" w:eastAsia="Arial" w:hAnsi="Arial"/>
          <w:sz w:val="14"/>
          <w:szCs w:val="14"/>
          <w:color w:val="auto"/>
        </w:rPr>
        <w:t>Form S-8 No. 33-97832</w:t>
      </w:r>
    </w:p>
    <w:p>
      <w:pPr>
        <w:ind w:left="640"/>
        <w:spacing w:after="0" w:line="229" w:lineRule="auto"/>
        <w:rPr>
          <w:sz w:val="20"/>
          <w:szCs w:val="20"/>
          <w:color w:val="auto"/>
        </w:rPr>
      </w:pPr>
      <w:r>
        <w:rPr>
          <w:rFonts w:ascii="Arial" w:cs="Arial" w:eastAsia="Arial" w:hAnsi="Arial"/>
          <w:sz w:val="14"/>
          <w:szCs w:val="14"/>
          <w:color w:val="auto"/>
        </w:rPr>
        <w:t>Form S-8 No. 333-07215</w:t>
      </w:r>
    </w:p>
    <w:p>
      <w:pPr>
        <w:ind w:left="640"/>
        <w:spacing w:after="0" w:line="229" w:lineRule="auto"/>
        <w:rPr>
          <w:sz w:val="20"/>
          <w:szCs w:val="20"/>
          <w:color w:val="auto"/>
        </w:rPr>
      </w:pPr>
      <w:r>
        <w:rPr>
          <w:rFonts w:ascii="Arial" w:cs="Arial" w:eastAsia="Arial" w:hAnsi="Arial"/>
          <w:sz w:val="14"/>
          <w:szCs w:val="14"/>
          <w:color w:val="auto"/>
        </w:rPr>
        <w:t>Form S-8 No. 333-21131</w:t>
      </w:r>
    </w:p>
    <w:p>
      <w:pPr>
        <w:ind w:left="640"/>
        <w:spacing w:after="0" w:line="230" w:lineRule="auto"/>
        <w:rPr>
          <w:sz w:val="20"/>
          <w:szCs w:val="20"/>
          <w:color w:val="auto"/>
        </w:rPr>
      </w:pPr>
      <w:r>
        <w:rPr>
          <w:rFonts w:ascii="Arial" w:cs="Arial" w:eastAsia="Arial" w:hAnsi="Arial"/>
          <w:sz w:val="14"/>
          <w:szCs w:val="14"/>
          <w:color w:val="auto"/>
        </w:rPr>
        <w:t>Form S-8 No. 333-62425</w:t>
      </w:r>
    </w:p>
    <w:p>
      <w:pPr>
        <w:ind w:left="640"/>
        <w:spacing w:after="0" w:line="229" w:lineRule="auto"/>
        <w:rPr>
          <w:sz w:val="20"/>
          <w:szCs w:val="20"/>
          <w:color w:val="auto"/>
        </w:rPr>
      </w:pPr>
      <w:r>
        <w:rPr>
          <w:rFonts w:ascii="Arial" w:cs="Arial" w:eastAsia="Arial" w:hAnsi="Arial"/>
          <w:sz w:val="14"/>
          <w:szCs w:val="14"/>
          <w:color w:val="auto"/>
        </w:rPr>
        <w:t>Form S-8 No. 333-33120</w:t>
      </w:r>
    </w:p>
    <w:p>
      <w:pPr>
        <w:ind w:left="640"/>
        <w:spacing w:after="0" w:line="230" w:lineRule="auto"/>
        <w:rPr>
          <w:sz w:val="20"/>
          <w:szCs w:val="20"/>
          <w:color w:val="auto"/>
        </w:rPr>
      </w:pPr>
      <w:r>
        <w:rPr>
          <w:rFonts w:ascii="Arial" w:cs="Arial" w:eastAsia="Arial" w:hAnsi="Arial"/>
          <w:sz w:val="14"/>
          <w:szCs w:val="14"/>
          <w:color w:val="auto"/>
        </w:rPr>
        <w:t>Form S-8 No. 333-41056</w:t>
      </w:r>
    </w:p>
    <w:p>
      <w:pPr>
        <w:ind w:left="640"/>
        <w:spacing w:after="0" w:line="229" w:lineRule="auto"/>
        <w:rPr>
          <w:sz w:val="20"/>
          <w:szCs w:val="20"/>
          <w:color w:val="auto"/>
        </w:rPr>
      </w:pPr>
      <w:r>
        <w:rPr>
          <w:rFonts w:ascii="Arial" w:cs="Arial" w:eastAsia="Arial" w:hAnsi="Arial"/>
          <w:sz w:val="14"/>
          <w:szCs w:val="14"/>
          <w:color w:val="auto"/>
        </w:rPr>
        <w:t>Form S-8 No. 333-41058</w:t>
      </w:r>
    </w:p>
    <w:p>
      <w:pPr>
        <w:ind w:left="640"/>
        <w:spacing w:after="0" w:line="229" w:lineRule="auto"/>
        <w:rPr>
          <w:sz w:val="20"/>
          <w:szCs w:val="20"/>
          <w:color w:val="auto"/>
        </w:rPr>
      </w:pPr>
      <w:r>
        <w:rPr>
          <w:rFonts w:ascii="Arial" w:cs="Arial" w:eastAsia="Arial" w:hAnsi="Arial"/>
          <w:sz w:val="14"/>
          <w:szCs w:val="14"/>
          <w:color w:val="auto"/>
        </w:rPr>
        <w:t>Form S-8 No. 333-74688</w:t>
      </w:r>
    </w:p>
    <w:p>
      <w:pPr>
        <w:ind w:left="640"/>
        <w:spacing w:after="0" w:line="230" w:lineRule="auto"/>
        <w:rPr>
          <w:sz w:val="20"/>
          <w:szCs w:val="20"/>
          <w:color w:val="auto"/>
        </w:rPr>
      </w:pPr>
      <w:r>
        <w:rPr>
          <w:rFonts w:ascii="Arial" w:cs="Arial" w:eastAsia="Arial" w:hAnsi="Arial"/>
          <w:sz w:val="14"/>
          <w:szCs w:val="14"/>
          <w:color w:val="auto"/>
        </w:rPr>
        <w:t>Form S-8 No. 333-99829</w:t>
      </w:r>
    </w:p>
    <w:p>
      <w:pPr>
        <w:ind w:left="640"/>
        <w:spacing w:after="0" w:line="229" w:lineRule="auto"/>
        <w:rPr>
          <w:sz w:val="20"/>
          <w:szCs w:val="20"/>
          <w:color w:val="auto"/>
        </w:rPr>
      </w:pPr>
      <w:r>
        <w:rPr>
          <w:rFonts w:ascii="Arial" w:cs="Arial" w:eastAsia="Arial" w:hAnsi="Arial"/>
          <w:sz w:val="14"/>
          <w:szCs w:val="14"/>
          <w:color w:val="auto"/>
        </w:rPr>
        <w:t>Form S-8 No. 333-111222</w:t>
      </w:r>
    </w:p>
    <w:p>
      <w:pPr>
        <w:ind w:left="640"/>
        <w:spacing w:after="0" w:line="229" w:lineRule="auto"/>
        <w:rPr>
          <w:sz w:val="20"/>
          <w:szCs w:val="20"/>
          <w:color w:val="auto"/>
        </w:rPr>
      </w:pPr>
      <w:r>
        <w:rPr>
          <w:rFonts w:ascii="Arial" w:cs="Arial" w:eastAsia="Arial" w:hAnsi="Arial"/>
          <w:sz w:val="14"/>
          <w:szCs w:val="14"/>
          <w:color w:val="auto"/>
        </w:rPr>
        <w:t>Form S-8 No. 333-121515</w:t>
      </w:r>
    </w:p>
    <w:p>
      <w:pPr>
        <w:ind w:left="640"/>
        <w:spacing w:after="0" w:line="230" w:lineRule="auto"/>
        <w:rPr>
          <w:sz w:val="20"/>
          <w:szCs w:val="20"/>
          <w:color w:val="auto"/>
        </w:rPr>
      </w:pPr>
      <w:r>
        <w:rPr>
          <w:rFonts w:ascii="Arial" w:cs="Arial" w:eastAsia="Arial" w:hAnsi="Arial"/>
          <w:sz w:val="14"/>
          <w:szCs w:val="14"/>
          <w:color w:val="auto"/>
        </w:rPr>
        <w:t>Form S-8 No. 333-144044</w:t>
      </w:r>
    </w:p>
    <w:p>
      <w:pPr>
        <w:ind w:left="640"/>
        <w:spacing w:after="0" w:line="229" w:lineRule="auto"/>
        <w:rPr>
          <w:sz w:val="20"/>
          <w:szCs w:val="20"/>
          <w:color w:val="auto"/>
        </w:rPr>
      </w:pPr>
      <w:r>
        <w:rPr>
          <w:rFonts w:ascii="Arial" w:cs="Arial" w:eastAsia="Arial" w:hAnsi="Arial"/>
          <w:sz w:val="14"/>
          <w:szCs w:val="14"/>
          <w:color w:val="auto"/>
        </w:rPr>
        <w:t>Form S-8 No. 333-149803</w:t>
      </w:r>
    </w:p>
    <w:p>
      <w:pPr>
        <w:ind w:left="640"/>
        <w:spacing w:after="0" w:line="230" w:lineRule="auto"/>
        <w:rPr>
          <w:sz w:val="20"/>
          <w:szCs w:val="20"/>
          <w:color w:val="auto"/>
        </w:rPr>
      </w:pPr>
      <w:r>
        <w:rPr>
          <w:rFonts w:ascii="Arial" w:cs="Arial" w:eastAsia="Arial" w:hAnsi="Arial"/>
          <w:sz w:val="14"/>
          <w:szCs w:val="14"/>
          <w:color w:val="auto"/>
        </w:rPr>
        <w:t>Form S-3 No. 33-43334</w:t>
      </w:r>
    </w:p>
    <w:p>
      <w:pPr>
        <w:ind w:left="640"/>
        <w:spacing w:after="0" w:line="229" w:lineRule="auto"/>
        <w:rPr>
          <w:sz w:val="20"/>
          <w:szCs w:val="20"/>
          <w:color w:val="auto"/>
        </w:rPr>
      </w:pPr>
      <w:r>
        <w:rPr>
          <w:rFonts w:ascii="Arial" w:cs="Arial" w:eastAsia="Arial" w:hAnsi="Arial"/>
          <w:sz w:val="14"/>
          <w:szCs w:val="14"/>
          <w:color w:val="auto"/>
        </w:rPr>
        <w:t>Form S-3 No. 33-86300</w:t>
      </w:r>
    </w:p>
    <w:p>
      <w:pPr>
        <w:ind w:left="640"/>
        <w:spacing w:after="0" w:line="229" w:lineRule="auto"/>
        <w:rPr>
          <w:sz w:val="20"/>
          <w:szCs w:val="20"/>
          <w:color w:val="auto"/>
        </w:rPr>
      </w:pPr>
      <w:r>
        <w:rPr>
          <w:rFonts w:ascii="Arial" w:cs="Arial" w:eastAsia="Arial" w:hAnsi="Arial"/>
          <w:sz w:val="14"/>
          <w:szCs w:val="14"/>
          <w:color w:val="auto"/>
        </w:rPr>
        <w:t>Form S-3 No. 333-64930</w:t>
      </w:r>
    </w:p>
    <w:p>
      <w:pPr>
        <w:ind w:left="640"/>
        <w:spacing w:after="0" w:line="230" w:lineRule="auto"/>
        <w:rPr>
          <w:sz w:val="20"/>
          <w:szCs w:val="20"/>
          <w:color w:val="auto"/>
        </w:rPr>
      </w:pPr>
      <w:r>
        <w:rPr>
          <w:rFonts w:ascii="Arial" w:cs="Arial" w:eastAsia="Arial" w:hAnsi="Arial"/>
          <w:sz w:val="14"/>
          <w:szCs w:val="14"/>
          <w:color w:val="auto"/>
        </w:rPr>
        <w:t>Form S-8 No. 333-167066</w:t>
      </w:r>
    </w:p>
    <w:p>
      <w:pPr>
        <w:ind w:left="640"/>
        <w:spacing w:after="0" w:line="229" w:lineRule="auto"/>
        <w:rPr>
          <w:sz w:val="20"/>
          <w:szCs w:val="20"/>
          <w:color w:val="auto"/>
        </w:rPr>
      </w:pPr>
      <w:r>
        <w:rPr>
          <w:rFonts w:ascii="Arial" w:cs="Arial" w:eastAsia="Arial" w:hAnsi="Arial"/>
          <w:sz w:val="14"/>
          <w:szCs w:val="14"/>
          <w:color w:val="auto"/>
        </w:rPr>
        <w:t>Form S-8 No. 333-171523</w:t>
      </w:r>
    </w:p>
    <w:p>
      <w:pPr>
        <w:ind w:left="640"/>
        <w:spacing w:after="0" w:line="230" w:lineRule="auto"/>
        <w:rPr>
          <w:sz w:val="20"/>
          <w:szCs w:val="20"/>
          <w:color w:val="auto"/>
        </w:rPr>
      </w:pPr>
      <w:r>
        <w:rPr>
          <w:rFonts w:ascii="Arial" w:cs="Arial" w:eastAsia="Arial" w:hAnsi="Arial"/>
          <w:sz w:val="14"/>
          <w:szCs w:val="14"/>
          <w:color w:val="auto"/>
        </w:rPr>
        <w:t>Form S-8 No. 333-190680</w:t>
      </w:r>
    </w:p>
    <w:p>
      <w:pPr>
        <w:ind w:left="640"/>
        <w:spacing w:after="0"/>
        <w:rPr>
          <w:sz w:val="20"/>
          <w:szCs w:val="20"/>
          <w:color w:val="auto"/>
        </w:rPr>
      </w:pPr>
      <w:r>
        <w:rPr>
          <w:rFonts w:ascii="Arial" w:cs="Arial" w:eastAsia="Arial" w:hAnsi="Arial"/>
          <w:sz w:val="14"/>
          <w:szCs w:val="14"/>
          <w:color w:val="auto"/>
        </w:rPr>
        <w:t>Form S-8 No. 333-196899</w:t>
      </w:r>
    </w:p>
    <w:p>
      <w:pPr>
        <w:spacing w:after="0" w:line="157" w:lineRule="exact"/>
        <w:rPr>
          <w:sz w:val="20"/>
          <w:szCs w:val="20"/>
          <w:color w:val="auto"/>
        </w:rPr>
      </w:pPr>
    </w:p>
    <w:p>
      <w:pPr>
        <w:jc w:val="both"/>
        <w:ind w:left="260" w:right="740"/>
        <w:spacing w:after="0" w:line="236" w:lineRule="auto"/>
        <w:rPr>
          <w:sz w:val="20"/>
          <w:szCs w:val="20"/>
          <w:color w:val="auto"/>
        </w:rPr>
      </w:pPr>
      <w:r>
        <w:rPr>
          <w:rFonts w:ascii="Arial" w:cs="Arial" w:eastAsia="Arial" w:hAnsi="Arial"/>
          <w:sz w:val="14"/>
          <w:szCs w:val="14"/>
          <w:color w:val="auto"/>
        </w:rPr>
        <w:t xml:space="preserve">Our report on the consolidated financial statements refers to a change in the Company’s method of accounting for leases due to the adoption of Financial Accounting Standards Board Accounting Standards Codification Topic 842, </w:t>
      </w:r>
      <w:r>
        <w:rPr>
          <w:rFonts w:ascii="Arial" w:cs="Arial" w:eastAsia="Arial" w:hAnsi="Arial"/>
          <w:sz w:val="14"/>
          <w:szCs w:val="14"/>
          <w:i w:val="1"/>
          <w:iCs w:val="1"/>
          <w:color w:val="auto"/>
        </w:rPr>
        <w:t>Leases</w:t>
      </w:r>
      <w:r>
        <w:rPr>
          <w:rFonts w:ascii="Arial" w:cs="Arial" w:eastAsia="Arial" w:hAnsi="Arial"/>
          <w:sz w:val="14"/>
          <w:szCs w:val="14"/>
          <w:color w:val="auto"/>
        </w:rPr>
        <w:t>.</w:t>
      </w:r>
    </w:p>
    <w:p>
      <w:pPr>
        <w:spacing w:after="0" w:line="200" w:lineRule="exact"/>
        <w:rPr>
          <w:sz w:val="20"/>
          <w:szCs w:val="20"/>
          <w:color w:val="auto"/>
        </w:rPr>
      </w:pPr>
    </w:p>
    <w:p>
      <w:pPr>
        <w:spacing w:after="0" w:line="228" w:lineRule="exact"/>
        <w:rPr>
          <w:sz w:val="20"/>
          <w:szCs w:val="20"/>
          <w:color w:val="auto"/>
        </w:rPr>
      </w:pPr>
    </w:p>
    <w:p>
      <w:pPr>
        <w:ind w:left="260"/>
        <w:spacing w:after="0"/>
        <w:rPr>
          <w:sz w:val="20"/>
          <w:szCs w:val="20"/>
          <w:color w:val="auto"/>
        </w:rPr>
      </w:pPr>
      <w:r>
        <w:rPr>
          <w:rFonts w:ascii="Arial" w:cs="Arial" w:eastAsia="Arial" w:hAnsi="Arial"/>
          <w:sz w:val="13"/>
          <w:szCs w:val="13"/>
          <w:color w:val="auto"/>
        </w:rPr>
        <w:t>/s/ KPMG LLP</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3"/>
          <w:szCs w:val="13"/>
          <w:color w:val="auto"/>
        </w:rPr>
        <w:t>New York, New York</w:t>
      </w:r>
    </w:p>
    <w:p>
      <w:pPr>
        <w:ind w:left="260"/>
        <w:spacing w:after="0"/>
        <w:rPr>
          <w:sz w:val="20"/>
          <w:szCs w:val="20"/>
          <w:color w:val="auto"/>
        </w:rPr>
      </w:pPr>
      <w:r>
        <w:rPr>
          <w:rFonts w:ascii="Arial" w:cs="Arial" w:eastAsia="Arial" w:hAnsi="Arial"/>
          <w:sz w:val="13"/>
          <w:szCs w:val="13"/>
          <w:color w:val="auto"/>
        </w:rPr>
        <w:t>March 25,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259715</wp:posOffset>
            </wp:positionV>
            <wp:extent cx="6318250" cy="196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2">
                      <a:extLst>
                        <a:ext uri="{28A0092B-C50C-407E-A947-70E740481C1C}"/>
                      </a:extLst>
                    </a:blip>
                    <a:srcRect/>
                    <a:stretch>
                      <a:fillRect/>
                    </a:stretch>
                  </pic:blipFill>
                  <pic:spPr bwMode="auto">
                    <a:xfrm>
                      <a:off x="0" y="0"/>
                      <a:ext cx="6318250" cy="19685"/>
                    </a:xfrm>
                    <a:prstGeom prst="rect">
                      <a:avLst/>
                    </a:prstGeom>
                    <a:noFill/>
                  </pic:spPr>
                </pic:pic>
              </a:graphicData>
            </a:graphic>
          </wp:anchor>
        </w:drawing>
      </w:r>
    </w:p>
    <w:p>
      <w:pPr>
        <w:sectPr>
          <w:pgSz w:w="11900" w:h="16838" w:orient="portrait"/>
          <w:cols w:equalWidth="0" w:num="1">
            <w:col w:w="9480"/>
          </w:cols>
          <w:pgMar w:left="1440" w:top="121" w:right="979" w:bottom="1440" w:gutter="0" w:footer="0" w:header="0"/>
        </w:sectPr>
      </w:pPr>
    </w:p>
    <w:bookmarkStart w:id="95" w:name="page96"/>
    <w:bookmarkEnd w:id="95"/>
    <w:p>
      <w:pPr>
        <w:jc w:val="right"/>
        <w:ind w:right="459"/>
        <w:spacing w:after="0"/>
        <w:rPr>
          <w:sz w:val="20"/>
          <w:szCs w:val="20"/>
          <w:color w:val="auto"/>
        </w:rPr>
      </w:pPr>
      <w:r>
        <w:rPr>
          <w:rFonts w:ascii="Arial" w:cs="Arial" w:eastAsia="Arial" w:hAnsi="Arial"/>
          <w:sz w:val="14"/>
          <w:szCs w:val="14"/>
          <w:b w:val="1"/>
          <w:bCs w:val="1"/>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480"/>
        <w:spacing w:after="0"/>
        <w:rPr>
          <w:sz w:val="20"/>
          <w:szCs w:val="20"/>
          <w:color w:val="auto"/>
        </w:rPr>
      </w:pPr>
      <w:r>
        <w:rPr>
          <w:rFonts w:ascii="Arial" w:cs="Arial" w:eastAsia="Arial" w:hAnsi="Arial"/>
          <w:sz w:val="13"/>
          <w:szCs w:val="13"/>
          <w:b w:val="1"/>
          <w:bCs w:val="1"/>
          <w:color w:val="auto"/>
        </w:rPr>
        <w:t>FOOT LOCKER EXCESS SAVINGS PLAN</w:t>
      </w:r>
    </w:p>
    <w:p>
      <w:pPr>
        <w:spacing w:after="0" w:line="246" w:lineRule="exact"/>
        <w:rPr>
          <w:sz w:val="20"/>
          <w:szCs w:val="20"/>
          <w:color w:val="auto"/>
        </w:rPr>
      </w:pPr>
    </w:p>
    <w:p>
      <w:pPr>
        <w:ind w:left="4940"/>
        <w:spacing w:after="0"/>
        <w:rPr>
          <w:sz w:val="20"/>
          <w:szCs w:val="20"/>
          <w:color w:val="auto"/>
        </w:rPr>
      </w:pPr>
      <w:r>
        <w:rPr>
          <w:rFonts w:ascii="Arial" w:cs="Arial" w:eastAsia="Arial" w:hAnsi="Arial"/>
          <w:sz w:val="13"/>
          <w:szCs w:val="13"/>
          <w:color w:val="auto"/>
        </w:rPr>
        <w:t>(Effective January 1, 2020)</w:t>
      </w:r>
    </w:p>
    <w:p>
      <w:pPr>
        <w:spacing w:after="0" w:line="200" w:lineRule="exact"/>
        <w:rPr>
          <w:sz w:val="20"/>
          <w:szCs w:val="20"/>
          <w:color w:val="auto"/>
        </w:rPr>
      </w:pPr>
    </w:p>
    <w:p>
      <w:pPr>
        <w:spacing w:after="0" w:line="353" w:lineRule="exact"/>
        <w:rPr>
          <w:sz w:val="20"/>
          <w:szCs w:val="20"/>
          <w:color w:val="auto"/>
        </w:rPr>
      </w:pPr>
    </w:p>
    <w:p>
      <w:pPr>
        <w:ind w:left="2160" w:hanging="485"/>
        <w:spacing w:after="0"/>
        <w:tabs>
          <w:tab w:leader="none" w:pos="2160" w:val="left"/>
        </w:tabs>
        <w:numPr>
          <w:ilvl w:val="0"/>
          <w:numId w:val="43"/>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Purpose</w:t>
      </w:r>
      <w:r>
        <w:rPr>
          <w:rFonts w:ascii="Arial" w:cs="Arial" w:eastAsia="Arial" w:hAnsi="Arial"/>
          <w:sz w:val="13"/>
          <w:szCs w:val="13"/>
          <w:b w:val="1"/>
          <w:bCs w:val="1"/>
          <w:color w:val="auto"/>
        </w:rPr>
        <w:t>.</w:t>
      </w:r>
    </w:p>
    <w:p>
      <w:pPr>
        <w:spacing w:after="0" w:line="195" w:lineRule="exact"/>
        <w:rPr>
          <w:sz w:val="20"/>
          <w:szCs w:val="20"/>
          <w:color w:val="auto"/>
        </w:rPr>
      </w:pPr>
    </w:p>
    <w:p>
      <w:pPr>
        <w:ind w:left="1680" w:right="559" w:firstLine="492"/>
        <w:spacing w:after="0" w:line="298" w:lineRule="auto"/>
        <w:rPr>
          <w:sz w:val="20"/>
          <w:szCs w:val="20"/>
          <w:color w:val="auto"/>
        </w:rPr>
      </w:pPr>
      <w:r>
        <w:rPr>
          <w:rFonts w:ascii="Arial" w:cs="Arial" w:eastAsia="Arial" w:hAnsi="Arial"/>
          <w:sz w:val="13"/>
          <w:szCs w:val="13"/>
          <w:color w:val="auto"/>
        </w:rPr>
        <w:t>The purpose of this Plan is to provide supplemental benefits for a select group of management and key employees of the Employer who contribute to the Qualified Plan and whose compensation for purposes of the Qualified Plan is limited by the Compensation Limit. It is intended that the Plan shall at all times be maintained on an unfunded basis for federal income tax purposes under the Code, and administered as a “top hat” plan exempt from the substantive requirements of ERISA. The Plan is intended to comply with the requirements of Section 409A of the Code. The Plan as set forth below is effective January 1, 2020.</w:t>
      </w:r>
    </w:p>
    <w:p>
      <w:pPr>
        <w:spacing w:after="0" w:line="112" w:lineRule="exact"/>
        <w:rPr>
          <w:sz w:val="20"/>
          <w:szCs w:val="20"/>
          <w:color w:val="auto"/>
        </w:rPr>
      </w:pPr>
    </w:p>
    <w:p>
      <w:pPr>
        <w:ind w:left="2160" w:hanging="485"/>
        <w:spacing w:after="0"/>
        <w:tabs>
          <w:tab w:leader="none" w:pos="2160" w:val="left"/>
        </w:tabs>
        <w:numPr>
          <w:ilvl w:val="0"/>
          <w:numId w:val="44"/>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Definitions</w:t>
      </w:r>
      <w:r>
        <w:rPr>
          <w:rFonts w:ascii="Arial" w:cs="Arial" w:eastAsia="Arial" w:hAnsi="Arial"/>
          <w:sz w:val="13"/>
          <w:szCs w:val="13"/>
          <w:b w:val="1"/>
          <w:bCs w:val="1"/>
          <w:color w:val="auto"/>
        </w:rPr>
        <w:t>.</w:t>
      </w:r>
    </w:p>
    <w:p>
      <w:pPr>
        <w:spacing w:after="0" w:line="194" w:lineRule="exact"/>
        <w:rPr>
          <w:rFonts w:ascii="Arial" w:cs="Arial" w:eastAsia="Arial" w:hAnsi="Arial"/>
          <w:sz w:val="13"/>
          <w:szCs w:val="13"/>
          <w:b w:val="1"/>
          <w:bCs w:val="1"/>
          <w:color w:val="auto"/>
        </w:rPr>
      </w:pPr>
    </w:p>
    <w:p>
      <w:pPr>
        <w:ind w:left="2160"/>
        <w:spacing w:after="0"/>
        <w:rPr>
          <w:rFonts w:ascii="Arial" w:cs="Arial" w:eastAsia="Arial" w:hAnsi="Arial"/>
          <w:sz w:val="13"/>
          <w:szCs w:val="13"/>
          <w:b w:val="1"/>
          <w:bCs w:val="1"/>
          <w:color w:val="auto"/>
        </w:rPr>
      </w:pPr>
      <w:r>
        <w:rPr>
          <w:rFonts w:ascii="Arial" w:cs="Arial" w:eastAsia="Arial" w:hAnsi="Arial"/>
          <w:sz w:val="13"/>
          <w:szCs w:val="13"/>
          <w:color w:val="auto"/>
        </w:rPr>
        <w:t>Unless the context requires otherwise, the following words as used in the Plan shall have the meanings ascribed to each below:</w:t>
      </w:r>
    </w:p>
    <w:p>
      <w:pPr>
        <w:spacing w:after="0" w:line="244" w:lineRule="exact"/>
        <w:rPr>
          <w:rFonts w:ascii="Arial" w:cs="Arial" w:eastAsia="Arial" w:hAnsi="Arial"/>
          <w:sz w:val="13"/>
          <w:szCs w:val="13"/>
          <w:b w:val="1"/>
          <w:bCs w:val="1"/>
          <w:color w:val="auto"/>
        </w:rPr>
      </w:pPr>
    </w:p>
    <w:p>
      <w:pPr>
        <w:ind w:left="2660" w:right="519" w:hanging="492"/>
        <w:spacing w:after="0" w:line="314" w:lineRule="auto"/>
        <w:tabs>
          <w:tab w:leader="none" w:pos="2660" w:val="left"/>
        </w:tabs>
        <w:numPr>
          <w:ilvl w:val="1"/>
          <w:numId w:val="44"/>
        </w:numPr>
        <w:rPr>
          <w:rFonts w:ascii="Arial" w:cs="Arial" w:eastAsia="Arial" w:hAnsi="Arial"/>
          <w:sz w:val="13"/>
          <w:szCs w:val="13"/>
          <w:color w:val="auto"/>
        </w:rPr>
      </w:pPr>
      <w:r>
        <w:rPr>
          <w:rFonts w:ascii="Arial" w:cs="Arial" w:eastAsia="Arial" w:hAnsi="Arial"/>
          <w:sz w:val="13"/>
          <w:szCs w:val="13"/>
          <w:b w:val="1"/>
          <w:bCs w:val="1"/>
          <w:color w:val="auto"/>
        </w:rPr>
        <w:t xml:space="preserve">“Account” </w:t>
      </w:r>
      <w:r>
        <w:rPr>
          <w:rFonts w:ascii="Arial" w:cs="Arial" w:eastAsia="Arial" w:hAnsi="Arial"/>
          <w:sz w:val="13"/>
          <w:szCs w:val="13"/>
          <w:color w:val="auto"/>
        </w:rPr>
        <w:t>shall mean the separate recordkeeping account maintained for each Participant, which consists of the Excess</w:t>
      </w:r>
      <w:r>
        <w:rPr>
          <w:rFonts w:ascii="Arial" w:cs="Arial" w:eastAsia="Arial" w:hAnsi="Arial"/>
          <w:sz w:val="13"/>
          <w:szCs w:val="13"/>
          <w:b w:val="1"/>
          <w:bCs w:val="1"/>
          <w:color w:val="auto"/>
        </w:rPr>
        <w:t xml:space="preserve"> </w:t>
      </w:r>
      <w:r>
        <w:rPr>
          <w:rFonts w:ascii="Arial" w:cs="Arial" w:eastAsia="Arial" w:hAnsi="Arial"/>
          <w:sz w:val="13"/>
          <w:szCs w:val="13"/>
          <w:color w:val="auto"/>
        </w:rPr>
        <w:t>Savings Credit credited to the Participant’s Account, plus interest credited in accordance with Section 3 of the Plan, in each case, as of any Accounting Date.</w:t>
      </w:r>
    </w:p>
    <w:p>
      <w:pPr>
        <w:spacing w:after="0" w:line="151" w:lineRule="exact"/>
        <w:rPr>
          <w:rFonts w:ascii="Arial" w:cs="Arial" w:eastAsia="Arial" w:hAnsi="Arial"/>
          <w:sz w:val="13"/>
          <w:szCs w:val="13"/>
          <w:color w:val="auto"/>
        </w:rPr>
      </w:pPr>
    </w:p>
    <w:p>
      <w:pPr>
        <w:ind w:left="2660" w:right="699" w:hanging="492"/>
        <w:spacing w:after="0" w:line="331" w:lineRule="auto"/>
        <w:tabs>
          <w:tab w:leader="none" w:pos="2660" w:val="left"/>
        </w:tabs>
        <w:numPr>
          <w:ilvl w:val="1"/>
          <w:numId w:val="44"/>
        </w:numPr>
        <w:rPr>
          <w:rFonts w:ascii="Arial" w:cs="Arial" w:eastAsia="Arial" w:hAnsi="Arial"/>
          <w:sz w:val="13"/>
          <w:szCs w:val="13"/>
          <w:color w:val="auto"/>
        </w:rPr>
      </w:pPr>
      <w:r>
        <w:rPr>
          <w:rFonts w:ascii="Arial" w:cs="Arial" w:eastAsia="Arial" w:hAnsi="Arial"/>
          <w:sz w:val="13"/>
          <w:szCs w:val="13"/>
          <w:b w:val="1"/>
          <w:bCs w:val="1"/>
          <w:color w:val="auto"/>
        </w:rPr>
        <w:t xml:space="preserve">“Accounting Date” </w:t>
      </w:r>
      <w:r>
        <w:rPr>
          <w:rFonts w:ascii="Arial" w:cs="Arial" w:eastAsia="Arial" w:hAnsi="Arial"/>
          <w:sz w:val="13"/>
          <w:szCs w:val="13"/>
          <w:color w:val="auto"/>
        </w:rPr>
        <w:t>shall mean each business day or such other dates as the Committee may determine in accordance</w:t>
      </w:r>
      <w:r>
        <w:rPr>
          <w:rFonts w:ascii="Arial" w:cs="Arial" w:eastAsia="Arial" w:hAnsi="Arial"/>
          <w:sz w:val="13"/>
          <w:szCs w:val="13"/>
          <w:b w:val="1"/>
          <w:bCs w:val="1"/>
          <w:color w:val="auto"/>
        </w:rPr>
        <w:t xml:space="preserve"> </w:t>
      </w:r>
      <w:r>
        <w:rPr>
          <w:rFonts w:ascii="Arial" w:cs="Arial" w:eastAsia="Arial" w:hAnsi="Arial"/>
          <w:sz w:val="13"/>
          <w:szCs w:val="13"/>
          <w:color w:val="auto"/>
        </w:rPr>
        <w:t>with its rules and procedures.</w:t>
      </w:r>
    </w:p>
    <w:p>
      <w:pPr>
        <w:spacing w:after="0" w:line="141" w:lineRule="exact"/>
        <w:rPr>
          <w:rFonts w:ascii="Arial" w:cs="Arial" w:eastAsia="Arial" w:hAnsi="Arial"/>
          <w:sz w:val="13"/>
          <w:szCs w:val="13"/>
          <w:color w:val="auto"/>
        </w:rPr>
      </w:pPr>
    </w:p>
    <w:p>
      <w:pPr>
        <w:ind w:left="2660" w:right="499" w:hanging="492"/>
        <w:spacing w:after="0" w:line="303" w:lineRule="auto"/>
        <w:tabs>
          <w:tab w:leader="none" w:pos="2660" w:val="left"/>
        </w:tabs>
        <w:numPr>
          <w:ilvl w:val="1"/>
          <w:numId w:val="44"/>
        </w:numPr>
        <w:rPr>
          <w:rFonts w:ascii="Arial" w:cs="Arial" w:eastAsia="Arial" w:hAnsi="Arial"/>
          <w:sz w:val="13"/>
          <w:szCs w:val="13"/>
          <w:color w:val="auto"/>
        </w:rPr>
      </w:pPr>
      <w:r>
        <w:rPr>
          <w:rFonts w:ascii="Arial" w:cs="Arial" w:eastAsia="Arial" w:hAnsi="Arial"/>
          <w:sz w:val="13"/>
          <w:szCs w:val="13"/>
          <w:b w:val="1"/>
          <w:bCs w:val="1"/>
          <w:color w:val="auto"/>
        </w:rPr>
        <w:t xml:space="preserve">“Affiliate” </w:t>
      </w:r>
      <w:r>
        <w:rPr>
          <w:rFonts w:ascii="Arial" w:cs="Arial" w:eastAsia="Arial" w:hAnsi="Arial"/>
          <w:sz w:val="13"/>
          <w:szCs w:val="13"/>
          <w:color w:val="auto"/>
        </w:rPr>
        <w:t>shall mean the Company and any entity affiliated with the Company within the meaning of Code Section 414(b)</w:t>
      </w:r>
      <w:r>
        <w:rPr>
          <w:rFonts w:ascii="Arial" w:cs="Arial" w:eastAsia="Arial" w:hAnsi="Arial"/>
          <w:sz w:val="13"/>
          <w:szCs w:val="13"/>
          <w:b w:val="1"/>
          <w:bCs w:val="1"/>
          <w:color w:val="auto"/>
        </w:rPr>
        <w:t xml:space="preserve"> </w:t>
      </w:r>
      <w:r>
        <w:rPr>
          <w:rFonts w:ascii="Arial" w:cs="Arial" w:eastAsia="Arial" w:hAnsi="Arial"/>
          <w:sz w:val="13"/>
          <w:szCs w:val="13"/>
          <w:color w:val="auto"/>
        </w:rPr>
        <w:t>with respect to controlled group of corporations, Code Section 414(c) with respect to trades or businesses under common control with the Company, Code Section 414(m) with respect to affiliated service groups, and any other entity required to be aggregated with the Company under Code Section 414(o). No entity shall be treated as an Affiliate for any period during which it is not part of the controlled group, under common control or otherwise required to be aggregated under Code Section 414, except as may otherwise be determined by the Board and set forth in resolutions of the Board.</w:t>
      </w:r>
    </w:p>
    <w:p>
      <w:pPr>
        <w:spacing w:after="0" w:line="201" w:lineRule="exact"/>
        <w:rPr>
          <w:rFonts w:ascii="Arial" w:cs="Arial" w:eastAsia="Arial" w:hAnsi="Arial"/>
          <w:sz w:val="13"/>
          <w:szCs w:val="13"/>
          <w:color w:val="auto"/>
        </w:rPr>
      </w:pPr>
    </w:p>
    <w:p>
      <w:pPr>
        <w:ind w:left="2660" w:right="759" w:hanging="492"/>
        <w:spacing w:after="0" w:line="331" w:lineRule="auto"/>
        <w:tabs>
          <w:tab w:leader="none" w:pos="2660" w:val="left"/>
        </w:tabs>
        <w:numPr>
          <w:ilvl w:val="1"/>
          <w:numId w:val="44"/>
        </w:numPr>
        <w:rPr>
          <w:rFonts w:ascii="Arial" w:cs="Arial" w:eastAsia="Arial" w:hAnsi="Arial"/>
          <w:sz w:val="13"/>
          <w:szCs w:val="13"/>
          <w:color w:val="auto"/>
        </w:rPr>
      </w:pPr>
      <w:r>
        <w:rPr>
          <w:rFonts w:ascii="Arial" w:cs="Arial" w:eastAsia="Arial" w:hAnsi="Arial"/>
          <w:sz w:val="13"/>
          <w:szCs w:val="13"/>
          <w:b w:val="1"/>
          <w:bCs w:val="1"/>
          <w:color w:val="auto"/>
        </w:rPr>
        <w:t xml:space="preserve">“Beneficiary” </w:t>
      </w:r>
      <w:r>
        <w:rPr>
          <w:rFonts w:ascii="Arial" w:cs="Arial" w:eastAsia="Arial" w:hAnsi="Arial"/>
          <w:sz w:val="13"/>
          <w:szCs w:val="13"/>
          <w:color w:val="auto"/>
        </w:rPr>
        <w:t>shall mean the Participant’s beneficiary under the Qualified Plan and determined in accordance with the</w:t>
      </w:r>
      <w:r>
        <w:rPr>
          <w:rFonts w:ascii="Arial" w:cs="Arial" w:eastAsia="Arial" w:hAnsi="Arial"/>
          <w:sz w:val="13"/>
          <w:szCs w:val="13"/>
          <w:b w:val="1"/>
          <w:bCs w:val="1"/>
          <w:color w:val="auto"/>
        </w:rPr>
        <w:t xml:space="preserve"> </w:t>
      </w:r>
      <w:r>
        <w:rPr>
          <w:rFonts w:ascii="Arial" w:cs="Arial" w:eastAsia="Arial" w:hAnsi="Arial"/>
          <w:sz w:val="13"/>
          <w:szCs w:val="13"/>
          <w:color w:val="auto"/>
        </w:rPr>
        <w:t>Qualified Plan and any rules or procedures established thereunder.</w:t>
      </w:r>
    </w:p>
    <w:p>
      <w:pPr>
        <w:spacing w:after="0" w:line="182" w:lineRule="exact"/>
        <w:rPr>
          <w:rFonts w:ascii="Arial" w:cs="Arial" w:eastAsia="Arial" w:hAnsi="Arial"/>
          <w:sz w:val="13"/>
          <w:szCs w:val="13"/>
          <w:color w:val="auto"/>
        </w:rPr>
      </w:pPr>
    </w:p>
    <w:p>
      <w:pPr>
        <w:ind w:left="2660" w:hanging="492"/>
        <w:spacing w:after="0"/>
        <w:tabs>
          <w:tab w:leader="none" w:pos="2660" w:val="left"/>
        </w:tabs>
        <w:numPr>
          <w:ilvl w:val="1"/>
          <w:numId w:val="44"/>
        </w:numPr>
        <w:rPr>
          <w:rFonts w:ascii="Arial" w:cs="Arial" w:eastAsia="Arial" w:hAnsi="Arial"/>
          <w:sz w:val="13"/>
          <w:szCs w:val="13"/>
          <w:color w:val="auto"/>
        </w:rPr>
      </w:pPr>
      <w:r>
        <w:rPr>
          <w:rFonts w:ascii="Arial" w:cs="Arial" w:eastAsia="Arial" w:hAnsi="Arial"/>
          <w:sz w:val="13"/>
          <w:szCs w:val="13"/>
          <w:b w:val="1"/>
          <w:bCs w:val="1"/>
          <w:color w:val="auto"/>
        </w:rPr>
        <w:t xml:space="preserve">“Board” </w:t>
      </w:r>
      <w:r>
        <w:rPr>
          <w:rFonts w:ascii="Arial" w:cs="Arial" w:eastAsia="Arial" w:hAnsi="Arial"/>
          <w:sz w:val="13"/>
          <w:szCs w:val="13"/>
          <w:color w:val="auto"/>
        </w:rPr>
        <w:t>shall mean the Board of Directors of the Company.</w:t>
      </w:r>
    </w:p>
    <w:p>
      <w:pPr>
        <w:spacing w:after="0" w:line="260" w:lineRule="exact"/>
        <w:rPr>
          <w:rFonts w:ascii="Arial" w:cs="Arial" w:eastAsia="Arial" w:hAnsi="Arial"/>
          <w:sz w:val="13"/>
          <w:szCs w:val="13"/>
          <w:color w:val="auto"/>
        </w:rPr>
      </w:pPr>
    </w:p>
    <w:p>
      <w:pPr>
        <w:ind w:left="2660" w:hanging="492"/>
        <w:spacing w:after="0"/>
        <w:tabs>
          <w:tab w:leader="none" w:pos="2660" w:val="left"/>
        </w:tabs>
        <w:numPr>
          <w:ilvl w:val="1"/>
          <w:numId w:val="44"/>
        </w:numPr>
        <w:rPr>
          <w:rFonts w:ascii="Arial" w:cs="Arial" w:eastAsia="Arial" w:hAnsi="Arial"/>
          <w:sz w:val="13"/>
          <w:szCs w:val="13"/>
          <w:color w:val="auto"/>
        </w:rPr>
      </w:pPr>
      <w:r>
        <w:rPr>
          <w:rFonts w:ascii="Arial" w:cs="Arial" w:eastAsia="Arial" w:hAnsi="Arial"/>
          <w:sz w:val="13"/>
          <w:szCs w:val="13"/>
          <w:b w:val="1"/>
          <w:bCs w:val="1"/>
          <w:color w:val="auto"/>
        </w:rPr>
        <w:t xml:space="preserve">“Code” </w:t>
      </w:r>
      <w:r>
        <w:rPr>
          <w:rFonts w:ascii="Arial" w:cs="Arial" w:eastAsia="Arial" w:hAnsi="Arial"/>
          <w:sz w:val="13"/>
          <w:szCs w:val="13"/>
          <w:color w:val="auto"/>
        </w:rPr>
        <w:t>shall mean the Internal Revenue Code of 1986, as amended. All references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1061720</wp:posOffset>
            </wp:positionH>
            <wp:positionV relativeFrom="paragraph">
              <wp:posOffset>595630</wp:posOffset>
            </wp:positionV>
            <wp:extent cx="5146040" cy="196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3">
                      <a:extLst>
                        <a:ext uri="{28A0092B-C50C-407E-A947-70E740481C1C}"/>
                      </a:extLst>
                    </a:blip>
                    <a:srcRect/>
                    <a:stretch>
                      <a:fillRect/>
                    </a:stretch>
                  </pic:blipFill>
                  <pic:spPr bwMode="auto">
                    <a:xfrm>
                      <a:off x="0" y="0"/>
                      <a:ext cx="5146040" cy="19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FF0000"/>
        </w:rPr>
        <w:t>ernal Use Only</w:t>
      </w:r>
    </w:p>
    <w:p>
      <w:pPr>
        <w:sectPr>
          <w:pgSz w:w="11900" w:h="16838" w:orient="portrait"/>
          <w:cols w:equalWidth="0" w:num="1">
            <w:col w:w="10239"/>
          </w:cols>
          <w:pgMar w:left="220" w:top="121" w:right="1440" w:bottom="1440" w:gutter="0" w:footer="0" w:header="0"/>
        </w:sectPr>
      </w:pPr>
    </w:p>
    <w:bookmarkStart w:id="96" w:name="page97"/>
    <w:bookmarkEnd w:id="96"/>
    <w:p>
      <w:pPr>
        <w:ind w:left="1440" w:right="699"/>
        <w:spacing w:after="0" w:line="306" w:lineRule="auto"/>
        <w:rPr>
          <w:sz w:val="20"/>
          <w:szCs w:val="20"/>
          <w:color w:val="auto"/>
        </w:rPr>
      </w:pPr>
      <w:r>
        <w:rPr>
          <w:rFonts w:ascii="Arial" w:cs="Arial" w:eastAsia="Arial" w:hAnsi="Arial"/>
          <w:sz w:val="13"/>
          <w:szCs w:val="13"/>
          <w:color w:val="auto"/>
        </w:rPr>
        <w:t>any section of the Code shall be deemed to refer not only to such section, but also to (i) any amendment thereto, (ii) any successor statutory provision, and (iii) any regulations issued thereunder.</w:t>
      </w:r>
    </w:p>
    <w:p>
      <w:pPr>
        <w:spacing w:after="0" w:line="198" w:lineRule="exact"/>
        <w:rPr>
          <w:sz w:val="20"/>
          <w:szCs w:val="20"/>
          <w:color w:val="auto"/>
        </w:rPr>
      </w:pPr>
    </w:p>
    <w:p>
      <w:pPr>
        <w:ind w:left="1440" w:right="719" w:hanging="492"/>
        <w:spacing w:after="0" w:line="331" w:lineRule="auto"/>
        <w:tabs>
          <w:tab w:leader="none" w:pos="1440" w:val="left"/>
        </w:tabs>
        <w:numPr>
          <w:ilvl w:val="0"/>
          <w:numId w:val="45"/>
        </w:numPr>
        <w:rPr>
          <w:rFonts w:ascii="Arial" w:cs="Arial" w:eastAsia="Arial" w:hAnsi="Arial"/>
          <w:sz w:val="13"/>
          <w:szCs w:val="13"/>
          <w:color w:val="auto"/>
        </w:rPr>
      </w:pPr>
      <w:r>
        <w:rPr>
          <w:rFonts w:ascii="Arial" w:cs="Arial" w:eastAsia="Arial" w:hAnsi="Arial"/>
          <w:sz w:val="13"/>
          <w:szCs w:val="13"/>
          <w:b w:val="1"/>
          <w:bCs w:val="1"/>
          <w:color w:val="auto"/>
        </w:rPr>
        <w:t xml:space="preserve">“Committee” </w:t>
      </w:r>
      <w:r>
        <w:rPr>
          <w:rFonts w:ascii="Arial" w:cs="Arial" w:eastAsia="Arial" w:hAnsi="Arial"/>
          <w:sz w:val="13"/>
          <w:szCs w:val="13"/>
          <w:color w:val="auto"/>
        </w:rPr>
        <w:t>shall mean the Retirement Plan Committee of the Company (including any successor committee) or such</w:t>
      </w:r>
      <w:r>
        <w:rPr>
          <w:rFonts w:ascii="Arial" w:cs="Arial" w:eastAsia="Arial" w:hAnsi="Arial"/>
          <w:sz w:val="13"/>
          <w:szCs w:val="13"/>
          <w:b w:val="1"/>
          <w:bCs w:val="1"/>
          <w:color w:val="auto"/>
        </w:rPr>
        <w:t xml:space="preserve"> </w:t>
      </w:r>
      <w:r>
        <w:rPr>
          <w:rFonts w:ascii="Arial" w:cs="Arial" w:eastAsia="Arial" w:hAnsi="Arial"/>
          <w:sz w:val="13"/>
          <w:szCs w:val="13"/>
          <w:color w:val="auto"/>
        </w:rPr>
        <w:t>other committee as designated by the Board.</w:t>
      </w:r>
    </w:p>
    <w:p>
      <w:pPr>
        <w:spacing w:after="0" w:line="182" w:lineRule="exact"/>
        <w:rPr>
          <w:rFonts w:ascii="Arial" w:cs="Arial" w:eastAsia="Arial" w:hAnsi="Arial"/>
          <w:sz w:val="13"/>
          <w:szCs w:val="13"/>
          <w:color w:val="auto"/>
        </w:rPr>
      </w:pPr>
    </w:p>
    <w:p>
      <w:pPr>
        <w:ind w:left="1440" w:right="559" w:hanging="492"/>
        <w:spacing w:after="0" w:line="331" w:lineRule="auto"/>
        <w:tabs>
          <w:tab w:leader="none" w:pos="1440" w:val="left"/>
        </w:tabs>
        <w:numPr>
          <w:ilvl w:val="0"/>
          <w:numId w:val="45"/>
        </w:numPr>
        <w:rPr>
          <w:rFonts w:ascii="Arial" w:cs="Arial" w:eastAsia="Arial" w:hAnsi="Arial"/>
          <w:sz w:val="13"/>
          <w:szCs w:val="13"/>
          <w:color w:val="auto"/>
        </w:rPr>
      </w:pPr>
      <w:r>
        <w:rPr>
          <w:rFonts w:ascii="Arial" w:cs="Arial" w:eastAsia="Arial" w:hAnsi="Arial"/>
          <w:sz w:val="13"/>
          <w:szCs w:val="13"/>
          <w:b w:val="1"/>
          <w:bCs w:val="1"/>
          <w:color w:val="auto"/>
        </w:rPr>
        <w:t xml:space="preserve">“Company” </w:t>
      </w:r>
      <w:r>
        <w:rPr>
          <w:rFonts w:ascii="Arial" w:cs="Arial" w:eastAsia="Arial" w:hAnsi="Arial"/>
          <w:sz w:val="13"/>
          <w:szCs w:val="13"/>
          <w:color w:val="auto"/>
        </w:rPr>
        <w:t>shall mean Foot Locker, Inc., a New York corporation, and any successor by merger, consolidation or transfer</w:t>
      </w:r>
      <w:r>
        <w:rPr>
          <w:rFonts w:ascii="Arial" w:cs="Arial" w:eastAsia="Arial" w:hAnsi="Arial"/>
          <w:sz w:val="13"/>
          <w:szCs w:val="13"/>
          <w:b w:val="1"/>
          <w:bCs w:val="1"/>
          <w:color w:val="auto"/>
        </w:rPr>
        <w:t xml:space="preserve"> </w:t>
      </w:r>
      <w:r>
        <w:rPr>
          <w:rFonts w:ascii="Arial" w:cs="Arial" w:eastAsia="Arial" w:hAnsi="Arial"/>
          <w:sz w:val="13"/>
          <w:szCs w:val="13"/>
          <w:color w:val="auto"/>
        </w:rPr>
        <w:t>of assets.</w:t>
      </w:r>
    </w:p>
    <w:p>
      <w:pPr>
        <w:spacing w:after="0" w:line="141" w:lineRule="exact"/>
        <w:rPr>
          <w:rFonts w:ascii="Arial" w:cs="Arial" w:eastAsia="Arial" w:hAnsi="Arial"/>
          <w:sz w:val="13"/>
          <w:szCs w:val="13"/>
          <w:color w:val="auto"/>
        </w:rPr>
      </w:pPr>
    </w:p>
    <w:p>
      <w:pPr>
        <w:ind w:left="1440" w:right="859" w:hanging="492"/>
        <w:spacing w:after="0" w:line="331" w:lineRule="auto"/>
        <w:tabs>
          <w:tab w:leader="none" w:pos="1440" w:val="left"/>
        </w:tabs>
        <w:numPr>
          <w:ilvl w:val="0"/>
          <w:numId w:val="45"/>
        </w:numPr>
        <w:rPr>
          <w:rFonts w:ascii="Arial" w:cs="Arial" w:eastAsia="Arial" w:hAnsi="Arial"/>
          <w:sz w:val="13"/>
          <w:szCs w:val="13"/>
          <w:color w:val="auto"/>
        </w:rPr>
      </w:pPr>
      <w:r>
        <w:rPr>
          <w:rFonts w:ascii="Arial" w:cs="Arial" w:eastAsia="Arial" w:hAnsi="Arial"/>
          <w:sz w:val="13"/>
          <w:szCs w:val="13"/>
          <w:b w:val="1"/>
          <w:bCs w:val="1"/>
          <w:color w:val="auto"/>
        </w:rPr>
        <w:t xml:space="preserve">“Compensation Limit” </w:t>
      </w:r>
      <w:r>
        <w:rPr>
          <w:rFonts w:ascii="Arial" w:cs="Arial" w:eastAsia="Arial" w:hAnsi="Arial"/>
          <w:sz w:val="13"/>
          <w:szCs w:val="13"/>
          <w:color w:val="auto"/>
        </w:rPr>
        <w:t>shall mean, for any Plan Year, the limitation on compensation applicable under Code Section</w:t>
      </w:r>
      <w:r>
        <w:rPr>
          <w:rFonts w:ascii="Arial" w:cs="Arial" w:eastAsia="Arial" w:hAnsi="Arial"/>
          <w:sz w:val="13"/>
          <w:szCs w:val="13"/>
          <w:b w:val="1"/>
          <w:bCs w:val="1"/>
          <w:color w:val="auto"/>
        </w:rPr>
        <w:t xml:space="preserve"> </w:t>
      </w:r>
      <w:r>
        <w:rPr>
          <w:rFonts w:ascii="Arial" w:cs="Arial" w:eastAsia="Arial" w:hAnsi="Arial"/>
          <w:sz w:val="13"/>
          <w:szCs w:val="13"/>
          <w:color w:val="auto"/>
        </w:rPr>
        <w:t>401(a)(17) for the Plan Year.</w:t>
      </w:r>
    </w:p>
    <w:p>
      <w:pPr>
        <w:spacing w:after="0" w:line="182" w:lineRule="exact"/>
        <w:rPr>
          <w:rFonts w:ascii="Arial" w:cs="Arial" w:eastAsia="Arial" w:hAnsi="Arial"/>
          <w:sz w:val="13"/>
          <w:szCs w:val="13"/>
          <w:color w:val="auto"/>
        </w:rPr>
      </w:pPr>
    </w:p>
    <w:p>
      <w:pPr>
        <w:ind w:left="1440" w:hanging="492"/>
        <w:spacing w:after="0"/>
        <w:tabs>
          <w:tab w:leader="none" w:pos="1440" w:val="left"/>
        </w:tabs>
        <w:numPr>
          <w:ilvl w:val="0"/>
          <w:numId w:val="45"/>
        </w:numPr>
        <w:rPr>
          <w:rFonts w:ascii="Arial" w:cs="Arial" w:eastAsia="Arial" w:hAnsi="Arial"/>
          <w:sz w:val="13"/>
          <w:szCs w:val="13"/>
          <w:color w:val="auto"/>
        </w:rPr>
      </w:pPr>
      <w:r>
        <w:rPr>
          <w:rFonts w:ascii="Arial" w:cs="Arial" w:eastAsia="Arial" w:hAnsi="Arial"/>
          <w:sz w:val="13"/>
          <w:szCs w:val="13"/>
          <w:b w:val="1"/>
          <w:bCs w:val="1"/>
          <w:color w:val="auto"/>
        </w:rPr>
        <w:t xml:space="preserve">“Control Group” </w:t>
      </w:r>
      <w:r>
        <w:rPr>
          <w:rFonts w:ascii="Arial" w:cs="Arial" w:eastAsia="Arial" w:hAnsi="Arial"/>
          <w:sz w:val="13"/>
          <w:szCs w:val="13"/>
          <w:color w:val="auto"/>
        </w:rPr>
        <w:t>shall mean the Company and its Affiliates.</w:t>
      </w:r>
    </w:p>
    <w:p>
      <w:pPr>
        <w:spacing w:after="0" w:line="260" w:lineRule="exact"/>
        <w:rPr>
          <w:rFonts w:ascii="Arial" w:cs="Arial" w:eastAsia="Arial" w:hAnsi="Arial"/>
          <w:sz w:val="13"/>
          <w:szCs w:val="13"/>
          <w:color w:val="auto"/>
        </w:rPr>
      </w:pPr>
    </w:p>
    <w:p>
      <w:pPr>
        <w:ind w:left="1440" w:right="619" w:hanging="492"/>
        <w:spacing w:after="0" w:line="331" w:lineRule="auto"/>
        <w:tabs>
          <w:tab w:leader="none" w:pos="1440" w:val="left"/>
        </w:tabs>
        <w:numPr>
          <w:ilvl w:val="0"/>
          <w:numId w:val="45"/>
        </w:numPr>
        <w:rPr>
          <w:rFonts w:ascii="Arial" w:cs="Arial" w:eastAsia="Arial" w:hAnsi="Arial"/>
          <w:sz w:val="13"/>
          <w:szCs w:val="13"/>
          <w:color w:val="auto"/>
        </w:rPr>
      </w:pPr>
      <w:r>
        <w:rPr>
          <w:rFonts w:ascii="Arial" w:cs="Arial" w:eastAsia="Arial" w:hAnsi="Arial"/>
          <w:sz w:val="13"/>
          <w:szCs w:val="13"/>
          <w:b w:val="1"/>
          <w:bCs w:val="1"/>
          <w:color w:val="auto"/>
        </w:rPr>
        <w:t xml:space="preserve">“Employee” </w:t>
      </w:r>
      <w:r>
        <w:rPr>
          <w:rFonts w:ascii="Arial" w:cs="Arial" w:eastAsia="Arial" w:hAnsi="Arial"/>
          <w:sz w:val="13"/>
          <w:szCs w:val="13"/>
          <w:color w:val="auto"/>
        </w:rPr>
        <w:t>shall mean any officer, member of senior management or other key employee employed by an Employer, as</w:t>
      </w:r>
      <w:r>
        <w:rPr>
          <w:rFonts w:ascii="Arial" w:cs="Arial" w:eastAsia="Arial" w:hAnsi="Arial"/>
          <w:sz w:val="13"/>
          <w:szCs w:val="13"/>
          <w:b w:val="1"/>
          <w:bCs w:val="1"/>
          <w:color w:val="auto"/>
        </w:rPr>
        <w:t xml:space="preserve"> </w:t>
      </w:r>
      <w:r>
        <w:rPr>
          <w:rFonts w:ascii="Arial" w:cs="Arial" w:eastAsia="Arial" w:hAnsi="Arial"/>
          <w:sz w:val="13"/>
          <w:szCs w:val="13"/>
          <w:color w:val="auto"/>
        </w:rPr>
        <w:t>determined by the Committee in accordance with its rules and procedures.</w:t>
      </w:r>
    </w:p>
    <w:p>
      <w:pPr>
        <w:spacing w:after="0" w:line="182" w:lineRule="exact"/>
        <w:rPr>
          <w:rFonts w:ascii="Arial" w:cs="Arial" w:eastAsia="Arial" w:hAnsi="Arial"/>
          <w:sz w:val="13"/>
          <w:szCs w:val="13"/>
          <w:color w:val="auto"/>
        </w:rPr>
      </w:pPr>
    </w:p>
    <w:p>
      <w:pPr>
        <w:ind w:left="1440" w:hanging="492"/>
        <w:spacing w:after="0"/>
        <w:tabs>
          <w:tab w:leader="none" w:pos="1440" w:val="left"/>
        </w:tabs>
        <w:numPr>
          <w:ilvl w:val="0"/>
          <w:numId w:val="45"/>
        </w:numPr>
        <w:rPr>
          <w:rFonts w:ascii="Arial" w:cs="Arial" w:eastAsia="Arial" w:hAnsi="Arial"/>
          <w:sz w:val="13"/>
          <w:szCs w:val="13"/>
          <w:color w:val="auto"/>
        </w:rPr>
      </w:pPr>
      <w:r>
        <w:rPr>
          <w:rFonts w:ascii="Arial" w:cs="Arial" w:eastAsia="Arial" w:hAnsi="Arial"/>
          <w:sz w:val="13"/>
          <w:szCs w:val="13"/>
          <w:b w:val="1"/>
          <w:bCs w:val="1"/>
          <w:color w:val="auto"/>
        </w:rPr>
        <w:t xml:space="preserve">“Employer” </w:t>
      </w:r>
      <w:r>
        <w:rPr>
          <w:rFonts w:ascii="Arial" w:cs="Arial" w:eastAsia="Arial" w:hAnsi="Arial"/>
          <w:sz w:val="13"/>
          <w:szCs w:val="13"/>
          <w:color w:val="auto"/>
        </w:rPr>
        <w:t>shall mean the Company and any Participating Employer.</w:t>
      </w:r>
    </w:p>
    <w:p>
      <w:pPr>
        <w:spacing w:after="0" w:line="260" w:lineRule="exact"/>
        <w:rPr>
          <w:rFonts w:ascii="Arial" w:cs="Arial" w:eastAsia="Arial" w:hAnsi="Arial"/>
          <w:sz w:val="13"/>
          <w:szCs w:val="13"/>
          <w:color w:val="auto"/>
        </w:rPr>
      </w:pPr>
    </w:p>
    <w:p>
      <w:pPr>
        <w:ind w:left="1440" w:right="519" w:hanging="492"/>
        <w:spacing w:after="0" w:line="314" w:lineRule="auto"/>
        <w:tabs>
          <w:tab w:leader="none" w:pos="1440" w:val="left"/>
        </w:tabs>
        <w:numPr>
          <w:ilvl w:val="0"/>
          <w:numId w:val="45"/>
        </w:numPr>
        <w:rPr>
          <w:rFonts w:ascii="Arial" w:cs="Arial" w:eastAsia="Arial" w:hAnsi="Arial"/>
          <w:sz w:val="13"/>
          <w:szCs w:val="13"/>
          <w:color w:val="auto"/>
        </w:rPr>
      </w:pPr>
      <w:r>
        <w:rPr>
          <w:rFonts w:ascii="Arial" w:cs="Arial" w:eastAsia="Arial" w:hAnsi="Arial"/>
          <w:sz w:val="13"/>
          <w:szCs w:val="13"/>
          <w:b w:val="1"/>
          <w:bCs w:val="1"/>
          <w:color w:val="auto"/>
        </w:rPr>
        <w:t xml:space="preserve">“ERISA” </w:t>
      </w:r>
      <w:r>
        <w:rPr>
          <w:rFonts w:ascii="Arial" w:cs="Arial" w:eastAsia="Arial" w:hAnsi="Arial"/>
          <w:sz w:val="13"/>
          <w:szCs w:val="13"/>
          <w:color w:val="auto"/>
        </w:rPr>
        <w:t>shall mean the Employee Retirement Income Security Act of 1974, as amended. All references to any section of</w:t>
      </w:r>
      <w:r>
        <w:rPr>
          <w:rFonts w:ascii="Arial" w:cs="Arial" w:eastAsia="Arial" w:hAnsi="Arial"/>
          <w:sz w:val="13"/>
          <w:szCs w:val="13"/>
          <w:b w:val="1"/>
          <w:bCs w:val="1"/>
          <w:color w:val="auto"/>
        </w:rPr>
        <w:t xml:space="preserve"> </w:t>
      </w:r>
      <w:r>
        <w:rPr>
          <w:rFonts w:ascii="Arial" w:cs="Arial" w:eastAsia="Arial" w:hAnsi="Arial"/>
          <w:sz w:val="13"/>
          <w:szCs w:val="13"/>
          <w:color w:val="auto"/>
        </w:rPr>
        <w:t>ERISA shall be deemed to refer not only to such section, but also to (i) any amendment thereto, (ii) any successor statutory provision, and (iii) any regulations issued thereunder.</w:t>
      </w:r>
    </w:p>
    <w:p>
      <w:pPr>
        <w:spacing w:after="0" w:line="151" w:lineRule="exact"/>
        <w:rPr>
          <w:rFonts w:ascii="Arial" w:cs="Arial" w:eastAsia="Arial" w:hAnsi="Arial"/>
          <w:sz w:val="13"/>
          <w:szCs w:val="13"/>
          <w:color w:val="auto"/>
        </w:rPr>
      </w:pPr>
    </w:p>
    <w:p>
      <w:pPr>
        <w:ind w:left="1440" w:right="879" w:hanging="492"/>
        <w:spacing w:after="0" w:line="331" w:lineRule="auto"/>
        <w:tabs>
          <w:tab w:leader="none" w:pos="1440" w:val="left"/>
        </w:tabs>
        <w:numPr>
          <w:ilvl w:val="0"/>
          <w:numId w:val="45"/>
        </w:numPr>
        <w:rPr>
          <w:rFonts w:ascii="Arial" w:cs="Arial" w:eastAsia="Arial" w:hAnsi="Arial"/>
          <w:sz w:val="13"/>
          <w:szCs w:val="13"/>
          <w:color w:val="auto"/>
        </w:rPr>
      </w:pPr>
      <w:r>
        <w:rPr>
          <w:rFonts w:ascii="Arial" w:cs="Arial" w:eastAsia="Arial" w:hAnsi="Arial"/>
          <w:sz w:val="13"/>
          <w:szCs w:val="13"/>
          <w:b w:val="1"/>
          <w:bCs w:val="1"/>
          <w:color w:val="auto"/>
        </w:rPr>
        <w:t xml:space="preserve">“Excess Savings Credit” </w:t>
      </w:r>
      <w:r>
        <w:rPr>
          <w:rFonts w:ascii="Arial" w:cs="Arial" w:eastAsia="Arial" w:hAnsi="Arial"/>
          <w:sz w:val="13"/>
          <w:szCs w:val="13"/>
          <w:color w:val="auto"/>
        </w:rPr>
        <w:t>shall mean the amount(s) credited to a Participant’s Account in accordance with Section 3</w:t>
      </w:r>
      <w:r>
        <w:rPr>
          <w:rFonts w:ascii="Arial" w:cs="Arial" w:eastAsia="Arial" w:hAnsi="Arial"/>
          <w:sz w:val="13"/>
          <w:szCs w:val="13"/>
          <w:b w:val="1"/>
          <w:bCs w:val="1"/>
          <w:color w:val="auto"/>
        </w:rPr>
        <w:t xml:space="preserve"> </w:t>
      </w:r>
      <w:r>
        <w:rPr>
          <w:rFonts w:ascii="Arial" w:cs="Arial" w:eastAsia="Arial" w:hAnsi="Arial"/>
          <w:sz w:val="13"/>
          <w:szCs w:val="13"/>
          <w:color w:val="auto"/>
        </w:rPr>
        <w:t>hereof.</w:t>
      </w:r>
    </w:p>
    <w:p>
      <w:pPr>
        <w:spacing w:after="0" w:line="141" w:lineRule="exact"/>
        <w:rPr>
          <w:rFonts w:ascii="Arial" w:cs="Arial" w:eastAsia="Arial" w:hAnsi="Arial"/>
          <w:sz w:val="13"/>
          <w:szCs w:val="13"/>
          <w:color w:val="auto"/>
        </w:rPr>
      </w:pPr>
    </w:p>
    <w:p>
      <w:pPr>
        <w:ind w:left="1440" w:right="939" w:hanging="492"/>
        <w:spacing w:after="0" w:line="314" w:lineRule="auto"/>
        <w:tabs>
          <w:tab w:leader="none" w:pos="1440" w:val="left"/>
        </w:tabs>
        <w:numPr>
          <w:ilvl w:val="0"/>
          <w:numId w:val="45"/>
        </w:numPr>
        <w:rPr>
          <w:rFonts w:ascii="Arial" w:cs="Arial" w:eastAsia="Arial" w:hAnsi="Arial"/>
          <w:sz w:val="13"/>
          <w:szCs w:val="13"/>
          <w:color w:val="auto"/>
        </w:rPr>
      </w:pPr>
      <w:r>
        <w:rPr>
          <w:rFonts w:ascii="Arial" w:cs="Arial" w:eastAsia="Arial" w:hAnsi="Arial"/>
          <w:sz w:val="13"/>
          <w:szCs w:val="13"/>
          <w:b w:val="1"/>
          <w:bCs w:val="1"/>
          <w:color w:val="auto"/>
        </w:rPr>
        <w:t xml:space="preserve">“Match Percentage” </w:t>
      </w:r>
      <w:r>
        <w:rPr>
          <w:rFonts w:ascii="Arial" w:cs="Arial" w:eastAsia="Arial" w:hAnsi="Arial"/>
          <w:sz w:val="13"/>
          <w:szCs w:val="13"/>
          <w:color w:val="auto"/>
        </w:rPr>
        <w:t>shall mean, for any Plan Year, the amount of the QP Matching Contributions that a Participant</w:t>
      </w:r>
      <w:r>
        <w:rPr>
          <w:rFonts w:ascii="Arial" w:cs="Arial" w:eastAsia="Arial" w:hAnsi="Arial"/>
          <w:sz w:val="13"/>
          <w:szCs w:val="13"/>
          <w:b w:val="1"/>
          <w:bCs w:val="1"/>
          <w:color w:val="auto"/>
        </w:rPr>
        <w:t xml:space="preserve"> </w:t>
      </w:r>
      <w:r>
        <w:rPr>
          <w:rFonts w:ascii="Arial" w:cs="Arial" w:eastAsia="Arial" w:hAnsi="Arial"/>
          <w:sz w:val="13"/>
          <w:szCs w:val="13"/>
          <w:color w:val="auto"/>
        </w:rPr>
        <w:t>receives under the Qualified Plan with respect to the Plan Year, expressed as a percentage of the Participant’s compensation taken into account under the Qualified Plan for the Plan Year.</w:t>
      </w:r>
    </w:p>
    <w:p>
      <w:pPr>
        <w:spacing w:after="0" w:line="192" w:lineRule="exact"/>
        <w:rPr>
          <w:rFonts w:ascii="Arial" w:cs="Arial" w:eastAsia="Arial" w:hAnsi="Arial"/>
          <w:sz w:val="13"/>
          <w:szCs w:val="13"/>
          <w:color w:val="auto"/>
        </w:rPr>
      </w:pPr>
    </w:p>
    <w:p>
      <w:pPr>
        <w:ind w:left="1440" w:right="479" w:hanging="492"/>
        <w:spacing w:after="0" w:line="350" w:lineRule="auto"/>
        <w:tabs>
          <w:tab w:leader="none" w:pos="1440" w:val="left"/>
        </w:tabs>
        <w:numPr>
          <w:ilvl w:val="0"/>
          <w:numId w:val="45"/>
        </w:numPr>
        <w:rPr>
          <w:rFonts w:ascii="Arial" w:cs="Arial" w:eastAsia="Arial" w:hAnsi="Arial"/>
          <w:sz w:val="12"/>
          <w:szCs w:val="12"/>
          <w:color w:val="auto"/>
        </w:rPr>
      </w:pPr>
      <w:r>
        <w:rPr>
          <w:rFonts w:ascii="Arial" w:cs="Arial" w:eastAsia="Arial" w:hAnsi="Arial"/>
          <w:sz w:val="12"/>
          <w:szCs w:val="12"/>
          <w:b w:val="1"/>
          <w:bCs w:val="1"/>
          <w:color w:val="auto"/>
        </w:rPr>
        <w:t xml:space="preserve">“Participant” </w:t>
      </w:r>
      <w:r>
        <w:rPr>
          <w:rFonts w:ascii="Arial" w:cs="Arial" w:eastAsia="Arial" w:hAnsi="Arial"/>
          <w:sz w:val="12"/>
          <w:szCs w:val="12"/>
          <w:color w:val="auto"/>
        </w:rPr>
        <w:t>shall mean any Employee who (i) contributes to the Qualified Plan for a Plan Year, (ii) receives Total</w:t>
      </w:r>
      <w:r>
        <w:rPr>
          <w:rFonts w:ascii="Arial" w:cs="Arial" w:eastAsia="Arial" w:hAnsi="Arial"/>
          <w:sz w:val="12"/>
          <w:szCs w:val="12"/>
          <w:b w:val="1"/>
          <w:bCs w:val="1"/>
          <w:color w:val="auto"/>
        </w:rPr>
        <w:t xml:space="preserve"> </w:t>
      </w:r>
      <w:r>
        <w:rPr>
          <w:rFonts w:ascii="Arial" w:cs="Arial" w:eastAsia="Arial" w:hAnsi="Arial"/>
          <w:sz w:val="12"/>
          <w:szCs w:val="12"/>
          <w:color w:val="auto"/>
        </w:rPr>
        <w:t>Compensation for the same Plan Year that exceeds the Compensation Limit for the Plan Year, and (iii) is ineligible to accrue any Compensation Credits (as defined in the Retirement Plan) under the Retirement Plan with respect to the Plan Year.</w:t>
      </w:r>
    </w:p>
    <w:p>
      <w:pPr>
        <w:spacing w:after="0" w:line="175" w:lineRule="exact"/>
        <w:rPr>
          <w:rFonts w:ascii="Arial" w:cs="Arial" w:eastAsia="Arial" w:hAnsi="Arial"/>
          <w:sz w:val="12"/>
          <w:szCs w:val="12"/>
          <w:color w:val="auto"/>
        </w:rPr>
      </w:pPr>
    </w:p>
    <w:p>
      <w:pPr>
        <w:ind w:left="1440" w:right="739" w:hanging="492"/>
        <w:spacing w:after="0" w:line="331" w:lineRule="auto"/>
        <w:tabs>
          <w:tab w:leader="none" w:pos="1440" w:val="left"/>
        </w:tabs>
        <w:numPr>
          <w:ilvl w:val="0"/>
          <w:numId w:val="45"/>
        </w:numPr>
        <w:rPr>
          <w:rFonts w:ascii="Arial" w:cs="Arial" w:eastAsia="Arial" w:hAnsi="Arial"/>
          <w:sz w:val="13"/>
          <w:szCs w:val="13"/>
          <w:color w:val="auto"/>
        </w:rPr>
      </w:pPr>
      <w:r>
        <w:rPr>
          <w:rFonts w:ascii="Arial" w:cs="Arial" w:eastAsia="Arial" w:hAnsi="Arial"/>
          <w:sz w:val="13"/>
          <w:szCs w:val="13"/>
          <w:b w:val="1"/>
          <w:bCs w:val="1"/>
          <w:color w:val="auto"/>
        </w:rPr>
        <w:t xml:space="preserve">“Participating Employer” </w:t>
      </w:r>
      <w:r>
        <w:rPr>
          <w:rFonts w:ascii="Arial" w:cs="Arial" w:eastAsia="Arial" w:hAnsi="Arial"/>
          <w:sz w:val="13"/>
          <w:szCs w:val="13"/>
          <w:color w:val="auto"/>
        </w:rPr>
        <w:t>shall mean any Affiliate which has adopted the Plan by action of its board of directors and is</w:t>
      </w:r>
      <w:r>
        <w:rPr>
          <w:rFonts w:ascii="Arial" w:cs="Arial" w:eastAsia="Arial" w:hAnsi="Arial"/>
          <w:sz w:val="13"/>
          <w:szCs w:val="13"/>
          <w:b w:val="1"/>
          <w:bCs w:val="1"/>
          <w:color w:val="auto"/>
        </w:rPr>
        <w:t xml:space="preserve"> </w:t>
      </w:r>
      <w:r>
        <w:rPr>
          <w:rFonts w:ascii="Arial" w:cs="Arial" w:eastAsia="Arial" w:hAnsi="Arial"/>
          <w:sz w:val="13"/>
          <w:szCs w:val="13"/>
          <w:color w:val="auto"/>
        </w:rPr>
        <w:t>approved by the Board.</w:t>
      </w:r>
    </w:p>
    <w:p>
      <w:pPr>
        <w:spacing w:after="0" w:line="182" w:lineRule="exact"/>
        <w:rPr>
          <w:rFonts w:ascii="Arial" w:cs="Arial" w:eastAsia="Arial" w:hAnsi="Arial"/>
          <w:sz w:val="13"/>
          <w:szCs w:val="13"/>
          <w:color w:val="auto"/>
        </w:rPr>
      </w:pPr>
    </w:p>
    <w:p>
      <w:pPr>
        <w:ind w:left="1440" w:hanging="492"/>
        <w:spacing w:after="0"/>
        <w:tabs>
          <w:tab w:leader="none" w:pos="1440" w:val="left"/>
        </w:tabs>
        <w:numPr>
          <w:ilvl w:val="0"/>
          <w:numId w:val="45"/>
        </w:numPr>
        <w:rPr>
          <w:rFonts w:ascii="Arial" w:cs="Arial" w:eastAsia="Arial" w:hAnsi="Arial"/>
          <w:sz w:val="13"/>
          <w:szCs w:val="13"/>
          <w:color w:val="auto"/>
        </w:rPr>
      </w:pPr>
      <w:r>
        <w:rPr>
          <w:rFonts w:ascii="Arial" w:cs="Arial" w:eastAsia="Arial" w:hAnsi="Arial"/>
          <w:sz w:val="13"/>
          <w:szCs w:val="13"/>
          <w:b w:val="1"/>
          <w:bCs w:val="1"/>
          <w:color w:val="auto"/>
        </w:rPr>
        <w:t xml:space="preserve">“Plan” </w:t>
      </w:r>
      <w:r>
        <w:rPr>
          <w:rFonts w:ascii="Arial" w:cs="Arial" w:eastAsia="Arial" w:hAnsi="Arial"/>
          <w:sz w:val="13"/>
          <w:szCs w:val="13"/>
          <w:color w:val="auto"/>
        </w:rPr>
        <w:t>shall mean the Foot Locker Excess Savings Plan, as amended from time to time.</w:t>
      </w:r>
    </w:p>
    <w:p>
      <w:pPr>
        <w:spacing w:after="0" w:line="200" w:lineRule="exact"/>
        <w:rPr>
          <w:sz w:val="20"/>
          <w:szCs w:val="20"/>
          <w:color w:val="auto"/>
        </w:rPr>
      </w:pPr>
    </w:p>
    <w:p>
      <w:pPr>
        <w:spacing w:after="0" w:line="311"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271780</wp:posOffset>
            </wp:positionV>
            <wp:extent cx="5146040" cy="196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4">
                      <a:extLst>
                        <a:ext uri="{28A0092B-C50C-407E-A947-70E740481C1C}"/>
                      </a:extLst>
                    </a:blip>
                    <a:srcRect/>
                    <a:stretch>
                      <a:fillRect/>
                    </a:stretch>
                  </pic:blipFill>
                  <pic:spPr bwMode="auto">
                    <a:xfrm>
                      <a:off x="0" y="0"/>
                      <a:ext cx="5146040" cy="19685"/>
                    </a:xfrm>
                    <a:prstGeom prst="rect">
                      <a:avLst/>
                    </a:prstGeom>
                    <a:noFill/>
                  </pic:spPr>
                </pic:pic>
              </a:graphicData>
            </a:graphic>
          </wp:anchor>
        </w:drawing>
      </w:r>
    </w:p>
    <w:p>
      <w:pPr>
        <w:sectPr>
          <w:pgSz w:w="11900" w:h="16838" w:orient="portrait"/>
          <w:cols w:equalWidth="0" w:num="1">
            <w:col w:w="9019"/>
          </w:cols>
          <w:pgMar w:left="1440" w:top="155" w:right="1440" w:bottom="1440" w:gutter="0" w:footer="0" w:header="0"/>
        </w:sectPr>
      </w:pPr>
    </w:p>
    <w:bookmarkStart w:id="97" w:name="page98"/>
    <w:bookmarkEnd w:id="97"/>
    <w:p>
      <w:pPr>
        <w:ind w:left="1440" w:right="679" w:hanging="492"/>
        <w:spacing w:after="0" w:line="331" w:lineRule="auto"/>
        <w:tabs>
          <w:tab w:leader="none" w:pos="1440" w:val="left"/>
        </w:tabs>
        <w:numPr>
          <w:ilvl w:val="0"/>
          <w:numId w:val="46"/>
        </w:numPr>
        <w:rPr>
          <w:rFonts w:ascii="Arial" w:cs="Arial" w:eastAsia="Arial" w:hAnsi="Arial"/>
          <w:sz w:val="13"/>
          <w:szCs w:val="13"/>
          <w:color w:val="auto"/>
        </w:rPr>
      </w:pPr>
      <w:r>
        <w:rPr>
          <w:rFonts w:ascii="Arial" w:cs="Arial" w:eastAsia="Arial" w:hAnsi="Arial"/>
          <w:sz w:val="13"/>
          <w:szCs w:val="13"/>
          <w:b w:val="1"/>
          <w:bCs w:val="1"/>
          <w:color w:val="auto"/>
        </w:rPr>
        <w:t xml:space="preserve">“Plan Year” </w:t>
      </w:r>
      <w:r>
        <w:rPr>
          <w:rFonts w:ascii="Arial" w:cs="Arial" w:eastAsia="Arial" w:hAnsi="Arial"/>
          <w:sz w:val="13"/>
          <w:szCs w:val="13"/>
          <w:color w:val="auto"/>
        </w:rPr>
        <w:t>shall mean a period of twelve (12) months beginning on January 1st and ending on the following December</w:t>
      </w:r>
      <w:r>
        <w:rPr>
          <w:rFonts w:ascii="Arial" w:cs="Arial" w:eastAsia="Arial" w:hAnsi="Arial"/>
          <w:sz w:val="13"/>
          <w:szCs w:val="13"/>
          <w:b w:val="1"/>
          <w:bCs w:val="1"/>
          <w:color w:val="auto"/>
        </w:rPr>
        <w:t xml:space="preserve"> </w:t>
      </w:r>
      <w:r>
        <w:rPr>
          <w:rFonts w:ascii="Arial" w:cs="Arial" w:eastAsia="Arial" w:hAnsi="Arial"/>
          <w:sz w:val="13"/>
          <w:szCs w:val="13"/>
          <w:color w:val="auto"/>
        </w:rPr>
        <w:t>31st.</w:t>
      </w:r>
    </w:p>
    <w:p>
      <w:pPr>
        <w:spacing w:after="0" w:line="141" w:lineRule="exact"/>
        <w:rPr>
          <w:rFonts w:ascii="Arial" w:cs="Arial" w:eastAsia="Arial" w:hAnsi="Arial"/>
          <w:sz w:val="13"/>
          <w:szCs w:val="13"/>
          <w:color w:val="auto"/>
        </w:rPr>
      </w:pPr>
    </w:p>
    <w:p>
      <w:pPr>
        <w:ind w:left="1440" w:hanging="492"/>
        <w:spacing w:after="0"/>
        <w:tabs>
          <w:tab w:leader="none" w:pos="1440" w:val="left"/>
        </w:tabs>
        <w:numPr>
          <w:ilvl w:val="0"/>
          <w:numId w:val="46"/>
        </w:numPr>
        <w:rPr>
          <w:rFonts w:ascii="Arial" w:cs="Arial" w:eastAsia="Arial" w:hAnsi="Arial"/>
          <w:sz w:val="13"/>
          <w:szCs w:val="13"/>
          <w:color w:val="auto"/>
        </w:rPr>
      </w:pPr>
      <w:r>
        <w:rPr>
          <w:rFonts w:ascii="Arial" w:cs="Arial" w:eastAsia="Arial" w:hAnsi="Arial"/>
          <w:sz w:val="13"/>
          <w:szCs w:val="13"/>
          <w:b w:val="1"/>
          <w:bCs w:val="1"/>
          <w:color w:val="auto"/>
        </w:rPr>
        <w:t xml:space="preserve">“QP Matching Contributions” </w:t>
      </w:r>
      <w:r>
        <w:rPr>
          <w:rFonts w:ascii="Arial" w:cs="Arial" w:eastAsia="Arial" w:hAnsi="Arial"/>
          <w:sz w:val="13"/>
          <w:szCs w:val="13"/>
          <w:color w:val="auto"/>
        </w:rPr>
        <w:t>shall mean “Matching Contributions,” as such term is defined under the Qualified Plan.</w:t>
      </w:r>
    </w:p>
    <w:p>
      <w:pPr>
        <w:spacing w:after="0" w:line="41"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FF0000"/>
        </w:rPr>
        <w:t>Foot Locker - Internal Use Only</w:t>
      </w:r>
    </w:p>
    <w:p>
      <w:pPr>
        <w:spacing w:after="0" w:line="36" w:lineRule="exact"/>
        <w:rPr>
          <w:sz w:val="20"/>
          <w:szCs w:val="20"/>
          <w:color w:val="auto"/>
        </w:rPr>
      </w:pPr>
    </w:p>
    <w:p>
      <w:pPr>
        <w:ind w:left="1440" w:right="579" w:hanging="492"/>
        <w:spacing w:after="0" w:line="331" w:lineRule="auto"/>
        <w:tabs>
          <w:tab w:leader="none" w:pos="1440" w:val="left"/>
        </w:tabs>
        <w:numPr>
          <w:ilvl w:val="1"/>
          <w:numId w:val="47"/>
        </w:numPr>
        <w:rPr>
          <w:rFonts w:ascii="Arial" w:cs="Arial" w:eastAsia="Arial" w:hAnsi="Arial"/>
          <w:sz w:val="13"/>
          <w:szCs w:val="13"/>
          <w:color w:val="auto"/>
        </w:rPr>
      </w:pPr>
      <w:r>
        <w:rPr>
          <w:rFonts w:ascii="Arial" w:cs="Arial" w:eastAsia="Arial" w:hAnsi="Arial"/>
          <w:sz w:val="13"/>
          <w:szCs w:val="13"/>
          <w:b w:val="1"/>
          <w:bCs w:val="1"/>
          <w:color w:val="auto"/>
        </w:rPr>
        <w:t xml:space="preserve">“Qualified Plan” </w:t>
      </w:r>
      <w:r>
        <w:rPr>
          <w:rFonts w:ascii="Arial" w:cs="Arial" w:eastAsia="Arial" w:hAnsi="Arial"/>
          <w:sz w:val="13"/>
          <w:szCs w:val="13"/>
          <w:color w:val="auto"/>
        </w:rPr>
        <w:t>shall mean the Foot Locker 401(k) Plan, as amended and restated as of January 1, 2017, and as further</w:t>
      </w:r>
      <w:r>
        <w:rPr>
          <w:rFonts w:ascii="Arial" w:cs="Arial" w:eastAsia="Arial" w:hAnsi="Arial"/>
          <w:sz w:val="13"/>
          <w:szCs w:val="13"/>
          <w:b w:val="1"/>
          <w:bCs w:val="1"/>
          <w:color w:val="auto"/>
        </w:rPr>
        <w:t xml:space="preserve"> </w:t>
      </w:r>
      <w:r>
        <w:rPr>
          <w:rFonts w:ascii="Arial" w:cs="Arial" w:eastAsia="Arial" w:hAnsi="Arial"/>
          <w:sz w:val="13"/>
          <w:szCs w:val="13"/>
          <w:color w:val="auto"/>
        </w:rPr>
        <w:t>amended from time to time.</w:t>
      </w:r>
    </w:p>
    <w:p>
      <w:pPr>
        <w:spacing w:after="0" w:line="141" w:lineRule="exact"/>
        <w:rPr>
          <w:rFonts w:ascii="Arial" w:cs="Arial" w:eastAsia="Arial" w:hAnsi="Arial"/>
          <w:sz w:val="13"/>
          <w:szCs w:val="13"/>
          <w:color w:val="auto"/>
        </w:rPr>
      </w:pPr>
    </w:p>
    <w:p>
      <w:pPr>
        <w:ind w:left="1440" w:right="599" w:hanging="492"/>
        <w:spacing w:after="0" w:line="331" w:lineRule="auto"/>
        <w:tabs>
          <w:tab w:leader="none" w:pos="1440" w:val="left"/>
        </w:tabs>
        <w:numPr>
          <w:ilvl w:val="1"/>
          <w:numId w:val="47"/>
        </w:numPr>
        <w:rPr>
          <w:rFonts w:ascii="Arial" w:cs="Arial" w:eastAsia="Arial" w:hAnsi="Arial"/>
          <w:sz w:val="13"/>
          <w:szCs w:val="13"/>
          <w:color w:val="auto"/>
        </w:rPr>
      </w:pPr>
      <w:r>
        <w:rPr>
          <w:rFonts w:ascii="Arial" w:cs="Arial" w:eastAsia="Arial" w:hAnsi="Arial"/>
          <w:sz w:val="13"/>
          <w:szCs w:val="13"/>
          <w:b w:val="1"/>
          <w:bCs w:val="1"/>
          <w:color w:val="auto"/>
        </w:rPr>
        <w:t xml:space="preserve">“Retirement Plan” </w:t>
      </w:r>
      <w:r>
        <w:rPr>
          <w:rFonts w:ascii="Arial" w:cs="Arial" w:eastAsia="Arial" w:hAnsi="Arial"/>
          <w:sz w:val="13"/>
          <w:szCs w:val="13"/>
          <w:color w:val="auto"/>
        </w:rPr>
        <w:t>shall mean the Foot Locker Retirement Plan, as amended and restated as of January 1, 2017, and as</w:t>
      </w:r>
      <w:r>
        <w:rPr>
          <w:rFonts w:ascii="Arial" w:cs="Arial" w:eastAsia="Arial" w:hAnsi="Arial"/>
          <w:sz w:val="13"/>
          <w:szCs w:val="13"/>
          <w:b w:val="1"/>
          <w:bCs w:val="1"/>
          <w:color w:val="auto"/>
        </w:rPr>
        <w:t xml:space="preserve"> </w:t>
      </w:r>
      <w:r>
        <w:rPr>
          <w:rFonts w:ascii="Arial" w:cs="Arial" w:eastAsia="Arial" w:hAnsi="Arial"/>
          <w:sz w:val="13"/>
          <w:szCs w:val="13"/>
          <w:color w:val="auto"/>
        </w:rPr>
        <w:t>further amended from time to time.</w:t>
      </w:r>
    </w:p>
    <w:p>
      <w:pPr>
        <w:spacing w:after="0" w:line="141" w:lineRule="exact"/>
        <w:rPr>
          <w:rFonts w:ascii="Arial" w:cs="Arial" w:eastAsia="Arial" w:hAnsi="Arial"/>
          <w:sz w:val="13"/>
          <w:szCs w:val="13"/>
          <w:color w:val="auto"/>
        </w:rPr>
      </w:pPr>
    </w:p>
    <w:p>
      <w:pPr>
        <w:ind w:left="1440" w:right="699" w:hanging="492"/>
        <w:spacing w:after="0" w:line="379" w:lineRule="auto"/>
        <w:tabs>
          <w:tab w:leader="none" w:pos="1440" w:val="left"/>
        </w:tabs>
        <w:numPr>
          <w:ilvl w:val="1"/>
          <w:numId w:val="47"/>
        </w:numPr>
        <w:rPr>
          <w:rFonts w:ascii="Arial" w:cs="Arial" w:eastAsia="Arial" w:hAnsi="Arial"/>
          <w:sz w:val="12"/>
          <w:szCs w:val="12"/>
          <w:color w:val="auto"/>
        </w:rPr>
      </w:pPr>
      <w:r>
        <w:rPr>
          <w:rFonts w:ascii="Arial" w:cs="Arial" w:eastAsia="Arial" w:hAnsi="Arial"/>
          <w:sz w:val="12"/>
          <w:szCs w:val="12"/>
          <w:b w:val="1"/>
          <w:bCs w:val="1"/>
          <w:color w:val="auto"/>
        </w:rPr>
        <w:t xml:space="preserve">“Specified Employee” </w:t>
      </w:r>
      <w:r>
        <w:rPr>
          <w:rFonts w:ascii="Arial" w:cs="Arial" w:eastAsia="Arial" w:hAnsi="Arial"/>
          <w:sz w:val="12"/>
          <w:szCs w:val="12"/>
          <w:color w:val="auto"/>
        </w:rPr>
        <w:t>shall have the meaning set forth in Section 409A of the Code on the date of Termination of</w:t>
      </w:r>
      <w:r>
        <w:rPr>
          <w:rFonts w:ascii="Arial" w:cs="Arial" w:eastAsia="Arial" w:hAnsi="Arial"/>
          <w:sz w:val="12"/>
          <w:szCs w:val="12"/>
          <w:b w:val="1"/>
          <w:bCs w:val="1"/>
          <w:color w:val="auto"/>
        </w:rPr>
        <w:t xml:space="preserve"> </w:t>
      </w:r>
      <w:r>
        <w:rPr>
          <w:rFonts w:ascii="Arial" w:cs="Arial" w:eastAsia="Arial" w:hAnsi="Arial"/>
          <w:sz w:val="12"/>
          <w:szCs w:val="12"/>
          <w:color w:val="auto"/>
        </w:rPr>
        <w:t>Employment in accordance with procedures established by the Company and consistent with Section 409A of the Code.</w:t>
      </w:r>
    </w:p>
    <w:p>
      <w:pPr>
        <w:spacing w:after="0" w:line="159" w:lineRule="exact"/>
        <w:rPr>
          <w:rFonts w:ascii="Arial" w:cs="Arial" w:eastAsia="Arial" w:hAnsi="Arial"/>
          <w:sz w:val="12"/>
          <w:szCs w:val="12"/>
          <w:color w:val="auto"/>
        </w:rPr>
      </w:pPr>
    </w:p>
    <w:p>
      <w:pPr>
        <w:ind w:left="1440" w:right="499" w:hanging="492"/>
        <w:spacing w:after="0" w:line="303" w:lineRule="auto"/>
        <w:tabs>
          <w:tab w:leader="none" w:pos="1440" w:val="left"/>
        </w:tabs>
        <w:numPr>
          <w:ilvl w:val="1"/>
          <w:numId w:val="47"/>
        </w:numPr>
        <w:rPr>
          <w:rFonts w:ascii="Arial" w:cs="Arial" w:eastAsia="Arial" w:hAnsi="Arial"/>
          <w:sz w:val="13"/>
          <w:szCs w:val="13"/>
          <w:color w:val="auto"/>
        </w:rPr>
      </w:pPr>
      <w:r>
        <w:rPr>
          <w:rFonts w:ascii="Arial" w:cs="Arial" w:eastAsia="Arial" w:hAnsi="Arial"/>
          <w:sz w:val="13"/>
          <w:szCs w:val="13"/>
          <w:b w:val="1"/>
          <w:bCs w:val="1"/>
          <w:color w:val="auto"/>
        </w:rPr>
        <w:t xml:space="preserve">“Termination of Employment” </w:t>
      </w:r>
      <w:r>
        <w:rPr>
          <w:rFonts w:ascii="Arial" w:cs="Arial" w:eastAsia="Arial" w:hAnsi="Arial"/>
          <w:sz w:val="13"/>
          <w:szCs w:val="13"/>
          <w:color w:val="auto"/>
        </w:rPr>
        <w:t>shall mean a termination of employment or other separation from service with the Control</w:t>
      </w:r>
      <w:r>
        <w:rPr>
          <w:rFonts w:ascii="Arial" w:cs="Arial" w:eastAsia="Arial" w:hAnsi="Arial"/>
          <w:sz w:val="13"/>
          <w:szCs w:val="13"/>
          <w:b w:val="1"/>
          <w:bCs w:val="1"/>
          <w:color w:val="auto"/>
        </w:rPr>
        <w:t xml:space="preserve"> </w:t>
      </w:r>
      <w:r>
        <w:rPr>
          <w:rFonts w:ascii="Arial" w:cs="Arial" w:eastAsia="Arial" w:hAnsi="Arial"/>
          <w:sz w:val="13"/>
          <w:szCs w:val="13"/>
          <w:color w:val="auto"/>
        </w:rPr>
        <w:t>Group in accordance with Section 409A of the Code for any reason, including, without limitation, retirement, death, disability, resignation, or dismissal with or without Cause; provided, however, that if an Employer is no longer a member of the Control Group and the Participant is transferred in connection with the sale of the assets of an Employer and the successor assumed the obligations hereunder in accordance with Section 14 hereof, a Termination of Employment shall not occur until the Participant terminates employment with the successor’s controlled group.</w:t>
      </w:r>
    </w:p>
    <w:p>
      <w:pPr>
        <w:spacing w:after="0" w:line="160" w:lineRule="exact"/>
        <w:rPr>
          <w:rFonts w:ascii="Arial" w:cs="Arial" w:eastAsia="Arial" w:hAnsi="Arial"/>
          <w:sz w:val="13"/>
          <w:szCs w:val="13"/>
          <w:color w:val="auto"/>
        </w:rPr>
      </w:pPr>
    </w:p>
    <w:p>
      <w:pPr>
        <w:ind w:left="1440" w:right="519" w:hanging="492"/>
        <w:spacing w:after="0" w:line="314" w:lineRule="auto"/>
        <w:tabs>
          <w:tab w:leader="none" w:pos="1440" w:val="left"/>
        </w:tabs>
        <w:numPr>
          <w:ilvl w:val="1"/>
          <w:numId w:val="47"/>
        </w:numPr>
        <w:rPr>
          <w:rFonts w:ascii="Arial" w:cs="Arial" w:eastAsia="Arial" w:hAnsi="Arial"/>
          <w:sz w:val="13"/>
          <w:szCs w:val="13"/>
          <w:color w:val="auto"/>
        </w:rPr>
      </w:pPr>
      <w:r>
        <w:rPr>
          <w:rFonts w:ascii="Arial" w:cs="Arial" w:eastAsia="Arial" w:hAnsi="Arial"/>
          <w:sz w:val="13"/>
          <w:szCs w:val="13"/>
          <w:b w:val="1"/>
          <w:bCs w:val="1"/>
          <w:color w:val="auto"/>
        </w:rPr>
        <w:t xml:space="preserve">“Total Compensation” </w:t>
      </w:r>
      <w:r>
        <w:rPr>
          <w:rFonts w:ascii="Arial" w:cs="Arial" w:eastAsia="Arial" w:hAnsi="Arial"/>
          <w:sz w:val="13"/>
          <w:szCs w:val="13"/>
          <w:color w:val="auto"/>
        </w:rPr>
        <w:t>shall mean the compensation otherwise taken into account under the Qualified Plan, determined in</w:t>
      </w:r>
      <w:r>
        <w:rPr>
          <w:rFonts w:ascii="Arial" w:cs="Arial" w:eastAsia="Arial" w:hAnsi="Arial"/>
          <w:sz w:val="13"/>
          <w:szCs w:val="13"/>
          <w:b w:val="1"/>
          <w:bCs w:val="1"/>
          <w:color w:val="auto"/>
        </w:rPr>
        <w:t xml:space="preserve"> </w:t>
      </w:r>
      <w:r>
        <w:rPr>
          <w:rFonts w:ascii="Arial" w:cs="Arial" w:eastAsia="Arial" w:hAnsi="Arial"/>
          <w:sz w:val="13"/>
          <w:szCs w:val="13"/>
          <w:color w:val="auto"/>
        </w:rPr>
        <w:t>accordance with the provisions of the Qualified Plan, but without regard to the limitation on compensation otherwise required under Code Section 401(a)(17).</w:t>
      </w:r>
    </w:p>
    <w:p>
      <w:pPr>
        <w:spacing w:after="0" w:line="172" w:lineRule="exact"/>
        <w:rPr>
          <w:rFonts w:ascii="Arial" w:cs="Arial" w:eastAsia="Arial" w:hAnsi="Arial"/>
          <w:sz w:val="13"/>
          <w:szCs w:val="13"/>
          <w:color w:val="auto"/>
        </w:rPr>
      </w:pPr>
    </w:p>
    <w:p>
      <w:pPr>
        <w:ind w:left="940" w:hanging="485"/>
        <w:spacing w:after="0"/>
        <w:tabs>
          <w:tab w:leader="none" w:pos="940" w:val="left"/>
        </w:tabs>
        <w:numPr>
          <w:ilvl w:val="0"/>
          <w:numId w:val="48"/>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Excess Savings Credits and Interest</w:t>
      </w:r>
      <w:r>
        <w:rPr>
          <w:rFonts w:ascii="Arial" w:cs="Arial" w:eastAsia="Arial" w:hAnsi="Arial"/>
          <w:sz w:val="13"/>
          <w:szCs w:val="13"/>
          <w:b w:val="1"/>
          <w:bCs w:val="1"/>
          <w:color w:val="auto"/>
        </w:rPr>
        <w:t>.</w:t>
      </w:r>
    </w:p>
    <w:p>
      <w:pPr>
        <w:spacing w:after="0" w:line="195" w:lineRule="exact"/>
        <w:rPr>
          <w:sz w:val="20"/>
          <w:szCs w:val="20"/>
          <w:color w:val="auto"/>
        </w:rPr>
      </w:pPr>
    </w:p>
    <w:p>
      <w:pPr>
        <w:ind w:left="460" w:right="499" w:firstLine="506"/>
        <w:spacing w:after="0" w:line="299" w:lineRule="auto"/>
        <w:rPr>
          <w:sz w:val="20"/>
          <w:szCs w:val="20"/>
          <w:color w:val="auto"/>
        </w:rPr>
      </w:pPr>
      <w:r>
        <w:rPr>
          <w:rFonts w:ascii="Arial" w:cs="Arial" w:eastAsia="Arial" w:hAnsi="Arial"/>
          <w:sz w:val="13"/>
          <w:szCs w:val="13"/>
          <w:color w:val="auto"/>
        </w:rPr>
        <w:t>An Excess Savings Credit shall be credited to each Participant’s Account within the first two months following each Plan Year in which the Participant’s Total Compensation exceeds the Compensation Limit, provided that the Participant is employed by an Employer on the last business day of the Plan Year. The Excess Savings Credit for a Plan Year (if any) shall equal the product of (i) the Match Percentage and (ii) the amount by which the Participant’s Total Compensation exceeds the Compensation Limit.</w:t>
      </w:r>
    </w:p>
    <w:p>
      <w:pPr>
        <w:spacing w:after="0" w:line="178" w:lineRule="exact"/>
        <w:rPr>
          <w:sz w:val="20"/>
          <w:szCs w:val="20"/>
          <w:color w:val="auto"/>
        </w:rPr>
      </w:pPr>
    </w:p>
    <w:p>
      <w:pPr>
        <w:ind w:left="460" w:right="639" w:firstLine="506"/>
        <w:spacing w:after="0" w:line="301" w:lineRule="auto"/>
        <w:rPr>
          <w:sz w:val="20"/>
          <w:szCs w:val="20"/>
          <w:color w:val="auto"/>
        </w:rPr>
      </w:pPr>
      <w:r>
        <w:rPr>
          <w:rFonts w:ascii="Arial" w:cs="Arial" w:eastAsia="Arial" w:hAnsi="Arial"/>
          <w:sz w:val="13"/>
          <w:szCs w:val="13"/>
          <w:color w:val="auto"/>
        </w:rPr>
        <w:t>Notwithstanding the foregoing, in no event shall the Excess Savings Credit for a Plan Year exceed the QP Matching Contributions that the Participant could have received under the Qualified Plan for the Plan Year but for the Qualified Plan’s restrictions based on the compensation and deferral limitations applicable to the Qualified Plan under the Code.</w:t>
      </w:r>
    </w:p>
    <w:p>
      <w:pPr>
        <w:spacing w:after="0" w:line="176" w:lineRule="exact"/>
        <w:rPr>
          <w:sz w:val="20"/>
          <w:szCs w:val="20"/>
          <w:color w:val="auto"/>
        </w:rPr>
      </w:pPr>
    </w:p>
    <w:p>
      <w:pPr>
        <w:ind w:left="960"/>
        <w:spacing w:after="0"/>
        <w:rPr>
          <w:sz w:val="20"/>
          <w:szCs w:val="20"/>
          <w:color w:val="auto"/>
        </w:rPr>
      </w:pPr>
      <w:r>
        <w:rPr>
          <w:rFonts w:ascii="Arial" w:cs="Arial" w:eastAsia="Arial" w:hAnsi="Arial"/>
          <w:sz w:val="13"/>
          <w:szCs w:val="13"/>
          <w:color w:val="auto"/>
        </w:rPr>
        <w:t>Each Participant’s Account shall be credited with simple interest per annum on any amounts</w:t>
      </w:r>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271780</wp:posOffset>
            </wp:positionV>
            <wp:extent cx="5146040" cy="196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5">
                      <a:extLst>
                        <a:ext uri="{28A0092B-C50C-407E-A947-70E740481C1C}"/>
                      </a:extLst>
                    </a:blip>
                    <a:srcRect/>
                    <a:stretch>
                      <a:fillRect/>
                    </a:stretch>
                  </pic:blipFill>
                  <pic:spPr bwMode="auto">
                    <a:xfrm>
                      <a:off x="0" y="0"/>
                      <a:ext cx="5146040" cy="19685"/>
                    </a:xfrm>
                    <a:prstGeom prst="rect">
                      <a:avLst/>
                    </a:prstGeom>
                    <a:noFill/>
                  </pic:spPr>
                </pic:pic>
              </a:graphicData>
            </a:graphic>
          </wp:anchor>
        </w:drawing>
      </w:r>
    </w:p>
    <w:p>
      <w:pPr>
        <w:sectPr>
          <w:pgSz w:w="11900" w:h="16838" w:orient="portrait"/>
          <w:cols w:equalWidth="0" w:num="1">
            <w:col w:w="9019"/>
          </w:cols>
          <w:pgMar w:left="1440" w:top="139" w:right="1440" w:bottom="1440" w:gutter="0" w:footer="0" w:header="0"/>
        </w:sectPr>
      </w:pPr>
    </w:p>
    <w:bookmarkStart w:id="98" w:name="page99"/>
    <w:bookmarkEnd w:id="98"/>
    <w:p>
      <w:pPr>
        <w:ind w:left="3520" w:right="999" w:hanging="3056"/>
        <w:spacing w:after="0"/>
        <w:rPr>
          <w:sz w:val="20"/>
          <w:szCs w:val="20"/>
          <w:color w:val="auto"/>
        </w:rPr>
      </w:pPr>
      <w:r>
        <w:rPr>
          <w:rFonts w:ascii="Arial" w:cs="Arial" w:eastAsia="Arial" w:hAnsi="Arial"/>
          <w:sz w:val="10"/>
          <w:szCs w:val="10"/>
          <w:color w:val="auto"/>
        </w:rPr>
        <w:t xml:space="preserve">credited thereto through the date on which the Account is distributed at a rate of one hundred twenty percent (120%) of the annually </w:t>
      </w:r>
      <w:r>
        <w:rPr>
          <w:rFonts w:ascii="Arial" w:cs="Arial" w:eastAsia="Arial" w:hAnsi="Arial"/>
          <w:sz w:val="12"/>
          <w:szCs w:val="12"/>
          <w:color w:val="FF0000"/>
        </w:rPr>
        <w:t>Foot Locker - Internal Use Only</w:t>
      </w:r>
    </w:p>
    <w:p>
      <w:pPr>
        <w:spacing w:after="0" w:line="47" w:lineRule="exact"/>
        <w:rPr>
          <w:sz w:val="20"/>
          <w:szCs w:val="20"/>
          <w:color w:val="auto"/>
        </w:rPr>
      </w:pPr>
    </w:p>
    <w:p>
      <w:pPr>
        <w:jc w:val="both"/>
        <w:ind w:left="460" w:right="539"/>
        <w:spacing w:after="0" w:line="301" w:lineRule="auto"/>
        <w:rPr>
          <w:sz w:val="20"/>
          <w:szCs w:val="20"/>
          <w:color w:val="auto"/>
        </w:rPr>
      </w:pPr>
      <w:r>
        <w:rPr>
          <w:rFonts w:ascii="Arial" w:cs="Arial" w:eastAsia="Arial" w:hAnsi="Arial"/>
          <w:sz w:val="13"/>
          <w:szCs w:val="13"/>
          <w:color w:val="auto"/>
        </w:rPr>
        <w:t>compounded long-term applicable federal rate determined in accordance with Code Section 1274(d), as published by the Internal Revenue Service as of the December of the prior Plan Year. For the avoidance of doubt, no Excess Savings Credit shall be credited to a Participant’s Account for any Plan Year in which the Participant does not contribute to the Qualified Plan.</w:t>
      </w:r>
    </w:p>
    <w:p>
      <w:pPr>
        <w:spacing w:after="0" w:line="181" w:lineRule="exact"/>
        <w:rPr>
          <w:sz w:val="20"/>
          <w:szCs w:val="20"/>
          <w:color w:val="auto"/>
        </w:rPr>
      </w:pPr>
    </w:p>
    <w:p>
      <w:pPr>
        <w:ind w:left="940" w:hanging="485"/>
        <w:spacing w:after="0"/>
        <w:tabs>
          <w:tab w:leader="none" w:pos="940" w:val="left"/>
        </w:tabs>
        <w:numPr>
          <w:ilvl w:val="0"/>
          <w:numId w:val="49"/>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Vesting</w:t>
      </w:r>
      <w:r>
        <w:rPr>
          <w:rFonts w:ascii="Arial" w:cs="Arial" w:eastAsia="Arial" w:hAnsi="Arial"/>
          <w:sz w:val="13"/>
          <w:szCs w:val="13"/>
          <w:b w:val="1"/>
          <w:bCs w:val="1"/>
          <w:color w:val="auto"/>
        </w:rPr>
        <w:t>.</w:t>
      </w:r>
    </w:p>
    <w:p>
      <w:pPr>
        <w:spacing w:after="0" w:line="195" w:lineRule="exact"/>
        <w:rPr>
          <w:sz w:val="20"/>
          <w:szCs w:val="20"/>
          <w:color w:val="auto"/>
        </w:rPr>
      </w:pPr>
    </w:p>
    <w:p>
      <w:pPr>
        <w:ind w:left="460" w:right="499" w:firstLine="492"/>
        <w:spacing w:after="0" w:line="306" w:lineRule="auto"/>
        <w:rPr>
          <w:sz w:val="20"/>
          <w:szCs w:val="20"/>
          <w:color w:val="auto"/>
        </w:rPr>
      </w:pPr>
      <w:r>
        <w:rPr>
          <w:rFonts w:ascii="Arial" w:cs="Arial" w:eastAsia="Arial" w:hAnsi="Arial"/>
          <w:sz w:val="13"/>
          <w:szCs w:val="13"/>
          <w:color w:val="auto"/>
        </w:rPr>
        <w:t>Subject to the Company’s right to terminate the Plan under Section 16 hereof, the Excess Savings Credits credited to a Participant’s Account shall vest to the same extent that the Participant’s QP Matching Contributions are vested under the Qualified Plan.</w:t>
      </w:r>
    </w:p>
    <w:p>
      <w:pPr>
        <w:spacing w:after="0" w:line="177" w:lineRule="exact"/>
        <w:rPr>
          <w:sz w:val="20"/>
          <w:szCs w:val="20"/>
          <w:color w:val="auto"/>
        </w:rPr>
      </w:pPr>
    </w:p>
    <w:p>
      <w:pPr>
        <w:ind w:left="940" w:hanging="485"/>
        <w:spacing w:after="0"/>
        <w:tabs>
          <w:tab w:leader="none" w:pos="940" w:val="left"/>
        </w:tabs>
        <w:numPr>
          <w:ilvl w:val="0"/>
          <w:numId w:val="50"/>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Payment</w:t>
      </w:r>
      <w:r>
        <w:rPr>
          <w:rFonts w:ascii="Arial" w:cs="Arial" w:eastAsia="Arial" w:hAnsi="Arial"/>
          <w:sz w:val="13"/>
          <w:szCs w:val="13"/>
          <w:b w:val="1"/>
          <w:bCs w:val="1"/>
          <w:color w:val="auto"/>
        </w:rPr>
        <w:t>.</w:t>
      </w:r>
    </w:p>
    <w:p>
      <w:pPr>
        <w:spacing w:after="0" w:line="174" w:lineRule="exact"/>
        <w:rPr>
          <w:sz w:val="20"/>
          <w:szCs w:val="20"/>
          <w:color w:val="auto"/>
        </w:rPr>
      </w:pPr>
    </w:p>
    <w:p>
      <w:pPr>
        <w:ind w:left="460" w:right="739" w:firstLine="492"/>
        <w:spacing w:after="0" w:line="275" w:lineRule="auto"/>
        <w:rPr>
          <w:sz w:val="20"/>
          <w:szCs w:val="20"/>
          <w:color w:val="auto"/>
        </w:rPr>
      </w:pPr>
      <w:r>
        <w:rPr>
          <w:rFonts w:ascii="Arial" w:cs="Arial" w:eastAsia="Arial" w:hAnsi="Arial"/>
          <w:sz w:val="12"/>
          <w:szCs w:val="12"/>
          <w:color w:val="auto"/>
        </w:rPr>
        <w:t>The vested portion of a Participant’s Account shall be paid to the Participant in a lump sum on the first payroll date of the month occurring thirty (30) days after the date of the Participant’s Termination of Employment with an Employer. Notwithstanding the foregoing, amounts payable pursuant to this Section 5 to a Participant who is a Specified Employee during the first six (6) months following such Participant’s Termination of Employment shall be delayed during the six (6) month period following such Participant’s Termination of Employment and shall be paid to the Participant on the first payroll date of the month following the end of such six (6) month period.</w:t>
      </w:r>
    </w:p>
    <w:p>
      <w:pPr>
        <w:spacing w:after="0" w:line="117" w:lineRule="exact"/>
        <w:rPr>
          <w:sz w:val="20"/>
          <w:szCs w:val="20"/>
          <w:color w:val="auto"/>
        </w:rPr>
      </w:pPr>
    </w:p>
    <w:p>
      <w:pPr>
        <w:ind w:left="940" w:hanging="485"/>
        <w:spacing w:after="0"/>
        <w:tabs>
          <w:tab w:leader="none" w:pos="940" w:val="left"/>
        </w:tabs>
        <w:numPr>
          <w:ilvl w:val="0"/>
          <w:numId w:val="51"/>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Death of Participant</w:t>
      </w:r>
      <w:r>
        <w:rPr>
          <w:rFonts w:ascii="Arial" w:cs="Arial" w:eastAsia="Arial" w:hAnsi="Arial"/>
          <w:sz w:val="13"/>
          <w:szCs w:val="13"/>
          <w:b w:val="1"/>
          <w:bCs w:val="1"/>
          <w:color w:val="auto"/>
        </w:rPr>
        <w:t>.</w:t>
      </w:r>
    </w:p>
    <w:p>
      <w:pPr>
        <w:spacing w:after="0" w:line="195" w:lineRule="exact"/>
        <w:rPr>
          <w:sz w:val="20"/>
          <w:szCs w:val="20"/>
          <w:color w:val="auto"/>
        </w:rPr>
      </w:pPr>
    </w:p>
    <w:p>
      <w:pPr>
        <w:ind w:left="460" w:right="599" w:firstLine="492"/>
        <w:spacing w:after="0" w:line="306" w:lineRule="auto"/>
        <w:rPr>
          <w:sz w:val="20"/>
          <w:szCs w:val="20"/>
          <w:color w:val="auto"/>
        </w:rPr>
      </w:pPr>
      <w:r>
        <w:rPr>
          <w:rFonts w:ascii="Arial" w:cs="Arial" w:eastAsia="Arial" w:hAnsi="Arial"/>
          <w:sz w:val="13"/>
          <w:szCs w:val="13"/>
          <w:color w:val="auto"/>
        </w:rPr>
        <w:t>Notwithstanding Section 5 hereof, in the event of the death of a Participant, the vested portion of the Participant’s Account shall be paid to the Participant’s Beneficiary no later than December 31 of the year following the year in which the Participant death occurs.</w:t>
      </w:r>
    </w:p>
    <w:p>
      <w:pPr>
        <w:spacing w:after="0" w:line="177" w:lineRule="exact"/>
        <w:rPr>
          <w:sz w:val="20"/>
          <w:szCs w:val="20"/>
          <w:color w:val="auto"/>
        </w:rPr>
      </w:pPr>
    </w:p>
    <w:p>
      <w:pPr>
        <w:ind w:left="940" w:hanging="485"/>
        <w:spacing w:after="0"/>
        <w:tabs>
          <w:tab w:leader="none" w:pos="940" w:val="left"/>
        </w:tabs>
        <w:numPr>
          <w:ilvl w:val="0"/>
          <w:numId w:val="52"/>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Claims Procedure</w:t>
      </w:r>
      <w:r>
        <w:rPr>
          <w:rFonts w:ascii="Arial" w:cs="Arial" w:eastAsia="Arial" w:hAnsi="Arial"/>
          <w:sz w:val="13"/>
          <w:szCs w:val="13"/>
          <w:b w:val="1"/>
          <w:bCs w:val="1"/>
          <w:color w:val="auto"/>
        </w:rPr>
        <w:t>.</w:t>
      </w:r>
    </w:p>
    <w:p>
      <w:pPr>
        <w:spacing w:after="0" w:line="179" w:lineRule="exact"/>
        <w:rPr>
          <w:sz w:val="20"/>
          <w:szCs w:val="20"/>
          <w:color w:val="auto"/>
        </w:rPr>
      </w:pPr>
    </w:p>
    <w:p>
      <w:pPr>
        <w:ind w:left="460" w:right="479" w:firstLine="492"/>
        <w:spacing w:after="0" w:line="300" w:lineRule="auto"/>
        <w:rPr>
          <w:sz w:val="20"/>
          <w:szCs w:val="20"/>
          <w:color w:val="auto"/>
        </w:rPr>
      </w:pPr>
      <w:r>
        <w:rPr>
          <w:rFonts w:ascii="Arial" w:cs="Arial" w:eastAsia="Arial" w:hAnsi="Arial"/>
          <w:sz w:val="13"/>
          <w:szCs w:val="13"/>
          <w:color w:val="auto"/>
        </w:rPr>
        <w:t>Any claim by a Participant or Beneficiary (</w:t>
      </w:r>
      <w:r>
        <w:rPr>
          <w:rFonts w:ascii="Arial" w:cs="Arial" w:eastAsia="Arial" w:hAnsi="Arial"/>
          <w:sz w:val="13"/>
          <w:szCs w:val="13"/>
          <w:b w:val="1"/>
          <w:bCs w:val="1"/>
          <w:color w:val="auto"/>
        </w:rPr>
        <w:t>“Claimant”</w:t>
      </w:r>
      <w:r>
        <w:rPr>
          <w:rFonts w:ascii="Arial" w:cs="Arial" w:eastAsia="Arial" w:hAnsi="Arial"/>
          <w:sz w:val="13"/>
          <w:szCs w:val="13"/>
          <w:color w:val="auto"/>
        </w:rPr>
        <w:t>) with respect to eligibility, participation, benefits, or other aspects of the operation of the Plan shall be made in writing to the Secretary of the Company or such other person designated by the Committee from time to time for such purpose. If the designated person receiving a claim believes, following consultation with the Chairman of the Committee, that the claim should be denied, he or she shall notify the Claimant in writing of the denial of the claim within ninety (90) days after his or her receipt thereof (this period may be extended an additional ninety (90) days in special circumstances and, in such event, the Claimant shall be notified in writing of the extension). Such notice shall (a) set forth the specific reason or reasons for the denial making reference to the pertinent provisions of the Plan or of Plan documents on which the denial is based, (b) describe any additional material or information necessary to perfect the claim, and explain why such material or information, if any, is necessary, and (c) inform the Claimant of his or her right pursuant to this Section 7 to request review of the decision.</w:t>
      </w:r>
    </w:p>
    <w:p>
      <w:pPr>
        <w:spacing w:after="0" w:line="222" w:lineRule="exact"/>
        <w:rPr>
          <w:sz w:val="20"/>
          <w:szCs w:val="20"/>
          <w:color w:val="auto"/>
        </w:rPr>
      </w:pPr>
    </w:p>
    <w:p>
      <w:pPr>
        <w:ind w:left="460" w:right="539" w:firstLine="492"/>
        <w:spacing w:after="0" w:line="299" w:lineRule="auto"/>
        <w:rPr>
          <w:sz w:val="20"/>
          <w:szCs w:val="20"/>
          <w:color w:val="auto"/>
        </w:rPr>
      </w:pPr>
      <w:r>
        <w:rPr>
          <w:rFonts w:ascii="Arial" w:cs="Arial" w:eastAsia="Arial" w:hAnsi="Arial"/>
          <w:sz w:val="13"/>
          <w:szCs w:val="13"/>
          <w:color w:val="auto"/>
        </w:rPr>
        <w:t>A Claimant may appeal the denial of a claim by submitting a written request for review to the Committee, within sixty (60) days after the date on which such denial is received. Such period may be extended by the Committee for good cause shown. The claim shall then be reviewed by the Committee. A Claimant or his or her duly authorized representative may discuss any issues relevant to the claim, may review pertinent documents and may submit issues and comments in writing. If the Committee</w:t>
      </w:r>
    </w:p>
    <w:p>
      <w:pPr>
        <w:spacing w:after="0" w:line="26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271780</wp:posOffset>
            </wp:positionV>
            <wp:extent cx="5146040" cy="196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6">
                      <a:extLst>
                        <a:ext uri="{28A0092B-C50C-407E-A947-70E740481C1C}"/>
                      </a:extLst>
                    </a:blip>
                    <a:srcRect/>
                    <a:stretch>
                      <a:fillRect/>
                    </a:stretch>
                  </pic:blipFill>
                  <pic:spPr bwMode="auto">
                    <a:xfrm>
                      <a:off x="0" y="0"/>
                      <a:ext cx="5146040" cy="19685"/>
                    </a:xfrm>
                    <a:prstGeom prst="rect">
                      <a:avLst/>
                    </a:prstGeom>
                    <a:noFill/>
                  </pic:spPr>
                </pic:pic>
              </a:graphicData>
            </a:graphic>
          </wp:anchor>
        </w:drawing>
      </w:r>
    </w:p>
    <w:p>
      <w:pPr>
        <w:sectPr>
          <w:pgSz w:w="11900" w:h="16838" w:orient="portrait"/>
          <w:cols w:equalWidth="0" w:num="1">
            <w:col w:w="9019"/>
          </w:cols>
          <w:pgMar w:left="1440" w:top="155" w:right="1440" w:bottom="1440" w:gutter="0" w:footer="0" w:header="0"/>
        </w:sectPr>
      </w:pPr>
    </w:p>
    <w:bookmarkStart w:id="99" w:name="page100"/>
    <w:bookmarkEnd w:id="99"/>
    <w:p>
      <w:pPr>
        <w:ind w:left="3520" w:right="719" w:hanging="3056"/>
        <w:spacing w:after="0"/>
        <w:rPr>
          <w:sz w:val="20"/>
          <w:szCs w:val="20"/>
          <w:color w:val="auto"/>
        </w:rPr>
      </w:pPr>
      <w:r>
        <w:rPr>
          <w:rFonts w:ascii="Arial" w:cs="Arial" w:eastAsia="Arial" w:hAnsi="Arial"/>
          <w:sz w:val="10"/>
          <w:szCs w:val="10"/>
          <w:color w:val="auto"/>
        </w:rPr>
        <w:t xml:space="preserve">deems it appropriate, it may hold a hearing as to a claim. If a hearing is held, the Claimant shall be entitled to be represented by counsel. </w:t>
      </w:r>
      <w:r>
        <w:rPr>
          <w:rFonts w:ascii="Arial" w:cs="Arial" w:eastAsia="Arial" w:hAnsi="Arial"/>
          <w:sz w:val="12"/>
          <w:szCs w:val="12"/>
          <w:color w:val="FF0000"/>
        </w:rPr>
        <w:t>Foot Locker - Internal Use Only</w:t>
      </w:r>
    </w:p>
    <w:p>
      <w:pPr>
        <w:spacing w:after="0" w:line="47" w:lineRule="exact"/>
        <w:rPr>
          <w:sz w:val="20"/>
          <w:szCs w:val="20"/>
          <w:color w:val="auto"/>
        </w:rPr>
      </w:pPr>
    </w:p>
    <w:p>
      <w:pPr>
        <w:ind w:left="460" w:right="499"/>
        <w:spacing w:after="0" w:line="298" w:lineRule="auto"/>
        <w:rPr>
          <w:sz w:val="20"/>
          <w:szCs w:val="20"/>
          <w:color w:val="auto"/>
        </w:rPr>
      </w:pPr>
      <w:r>
        <w:rPr>
          <w:rFonts w:ascii="Arial" w:cs="Arial" w:eastAsia="Arial" w:hAnsi="Arial"/>
          <w:sz w:val="13"/>
          <w:szCs w:val="13"/>
          <w:color w:val="auto"/>
        </w:rPr>
        <w:t>The Committee shall decide whether or not to grant the claim within sixty (60) days after receipt of the request for review, but this period may be extended by the Committee for up to an additional sixty (60) days in special circumstances. Written notice of any such special circumstances shall be sent to the Claimant. Any claim not decided upon in the required time period shall be deemed denied. All interpretations, determinations and decisions of the Committee with respect to any claim shall be made in its sole discretion based on the Plan and other relevant documents and shall be final, conclusive, and binding on all persons.</w:t>
      </w:r>
    </w:p>
    <w:p>
      <w:pPr>
        <w:spacing w:after="0" w:line="180" w:lineRule="exact"/>
        <w:rPr>
          <w:sz w:val="20"/>
          <w:szCs w:val="20"/>
          <w:color w:val="auto"/>
        </w:rPr>
      </w:pPr>
    </w:p>
    <w:p>
      <w:pPr>
        <w:ind w:left="460" w:right="719" w:firstLine="492"/>
        <w:spacing w:after="0" w:line="306" w:lineRule="auto"/>
        <w:rPr>
          <w:sz w:val="20"/>
          <w:szCs w:val="20"/>
          <w:color w:val="auto"/>
        </w:rPr>
      </w:pPr>
      <w:r>
        <w:rPr>
          <w:rFonts w:ascii="Arial" w:cs="Arial" w:eastAsia="Arial" w:hAnsi="Arial"/>
          <w:sz w:val="13"/>
          <w:szCs w:val="13"/>
          <w:color w:val="auto"/>
        </w:rPr>
        <w:t>A Claimant must exhaust all administrative remedies available to the Claimant under the Plan before the Claimant may seek any judicial review.</w:t>
      </w:r>
    </w:p>
    <w:p>
      <w:pPr>
        <w:spacing w:after="0" w:line="177" w:lineRule="exact"/>
        <w:rPr>
          <w:sz w:val="20"/>
          <w:szCs w:val="20"/>
          <w:color w:val="auto"/>
        </w:rPr>
      </w:pPr>
    </w:p>
    <w:p>
      <w:pPr>
        <w:ind w:left="940" w:hanging="485"/>
        <w:spacing w:after="0"/>
        <w:tabs>
          <w:tab w:leader="none" w:pos="940" w:val="left"/>
        </w:tabs>
        <w:numPr>
          <w:ilvl w:val="0"/>
          <w:numId w:val="53"/>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Construction of Plan</w:t>
      </w:r>
      <w:r>
        <w:rPr>
          <w:rFonts w:ascii="Arial" w:cs="Arial" w:eastAsia="Arial" w:hAnsi="Arial"/>
          <w:sz w:val="13"/>
          <w:szCs w:val="13"/>
          <w:b w:val="1"/>
          <w:bCs w:val="1"/>
          <w:color w:val="auto"/>
        </w:rPr>
        <w:t>.</w:t>
      </w:r>
    </w:p>
    <w:p>
      <w:pPr>
        <w:spacing w:after="0" w:line="195" w:lineRule="exact"/>
        <w:rPr>
          <w:sz w:val="20"/>
          <w:szCs w:val="20"/>
          <w:color w:val="auto"/>
        </w:rPr>
      </w:pPr>
    </w:p>
    <w:p>
      <w:pPr>
        <w:ind w:left="460" w:right="459" w:firstLine="492"/>
        <w:spacing w:after="0" w:line="297" w:lineRule="auto"/>
        <w:rPr>
          <w:sz w:val="20"/>
          <w:szCs w:val="20"/>
          <w:color w:val="auto"/>
        </w:rPr>
      </w:pPr>
      <w:r>
        <w:rPr>
          <w:rFonts w:ascii="Arial" w:cs="Arial" w:eastAsia="Arial" w:hAnsi="Arial"/>
          <w:sz w:val="13"/>
          <w:szCs w:val="13"/>
          <w:color w:val="auto"/>
        </w:rPr>
        <w:t>Nothing contained in this Plan and no action taken pursuant to the provisions of this Plan shall create or be construed to create a trust of any kind, or a fiduciary relationship between the Employer and the Participants, their Beneficiaries or any other person. Any funds which may be invested under the provisions of this Plan shall continue for all purposes to be part of the general funds of the Employer and no person other than the Employer shall by virtue of the provisions of this Plan have any interest in such funds. To the extent that any person acquires a right to receive payments from the Employer under this Plan, such right shall be no greater than the right of any unsecured general creditor of the Employer. If the Company decides to establish any advance accrued reserve on its books against the future expense of benefits payable hereunder, or if the Company is required to fund a trust under this Plan, such reserve or trust shall not under any circumstances be deemed to be an asset of the Plan. In no event shall any Participant or Beneficiary be entitled to receive any payment for any amount due under the Plan from any trust maintained for the Qualified Plan.</w:t>
      </w:r>
    </w:p>
    <w:p>
      <w:pPr>
        <w:spacing w:after="0" w:line="186" w:lineRule="exact"/>
        <w:rPr>
          <w:sz w:val="20"/>
          <w:szCs w:val="20"/>
          <w:color w:val="auto"/>
        </w:rPr>
      </w:pPr>
    </w:p>
    <w:p>
      <w:pPr>
        <w:ind w:left="940" w:hanging="485"/>
        <w:spacing w:after="0"/>
        <w:tabs>
          <w:tab w:leader="none" w:pos="940" w:val="left"/>
        </w:tabs>
        <w:numPr>
          <w:ilvl w:val="0"/>
          <w:numId w:val="54"/>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Minors and Incompetents</w:t>
      </w:r>
      <w:r>
        <w:rPr>
          <w:rFonts w:ascii="Arial" w:cs="Arial" w:eastAsia="Arial" w:hAnsi="Arial"/>
          <w:sz w:val="13"/>
          <w:szCs w:val="13"/>
          <w:b w:val="1"/>
          <w:bCs w:val="1"/>
          <w:color w:val="auto"/>
        </w:rPr>
        <w:t>.</w:t>
      </w:r>
    </w:p>
    <w:p>
      <w:pPr>
        <w:spacing w:after="0" w:line="195" w:lineRule="exact"/>
        <w:rPr>
          <w:sz w:val="20"/>
          <w:szCs w:val="20"/>
          <w:color w:val="auto"/>
        </w:rPr>
      </w:pPr>
    </w:p>
    <w:p>
      <w:pPr>
        <w:ind w:left="460" w:right="479" w:firstLine="492"/>
        <w:spacing w:after="0" w:line="326" w:lineRule="auto"/>
        <w:rPr>
          <w:sz w:val="20"/>
          <w:szCs w:val="20"/>
          <w:color w:val="auto"/>
        </w:rPr>
      </w:pPr>
      <w:r>
        <w:rPr>
          <w:rFonts w:ascii="Arial" w:cs="Arial" w:eastAsia="Arial" w:hAnsi="Arial"/>
          <w:sz w:val="12"/>
          <w:szCs w:val="12"/>
          <w:color w:val="auto"/>
        </w:rPr>
        <w:t>In the event that the Committee finds that a Participant is unable to care for his or her affairs because of illness or accident, then benefits payable hereunder, unless claim has been made therefor by a duly appointed guardian, committee, or other legal representative, may be paid in such manner as the Committee shall determine, and the payment of any benefits hereunder and the application thereof shall be a complete discharge of all liability for any payments or benefits to which such Participant was or would have been otherwise entitled under this Plan. Any payments to a minor from this Plan may be paid by the Committee in its sole and absolute discretion (a) directly to such minor; (b) to the legal or natural guardian of such minor; or (c) to any other person, whether or not appointed guardian of the minor, who shall have the care and custody of such minor. The receipt by such individual shall be a complete discharge of all liability under the Plan therefor.</w:t>
      </w:r>
    </w:p>
    <w:p>
      <w:pPr>
        <w:spacing w:after="0" w:line="170" w:lineRule="exact"/>
        <w:rPr>
          <w:sz w:val="20"/>
          <w:szCs w:val="20"/>
          <w:color w:val="auto"/>
        </w:rPr>
      </w:pPr>
    </w:p>
    <w:p>
      <w:pPr>
        <w:ind w:left="940" w:hanging="485"/>
        <w:spacing w:after="0"/>
        <w:tabs>
          <w:tab w:leader="none" w:pos="940" w:val="left"/>
        </w:tabs>
        <w:numPr>
          <w:ilvl w:val="0"/>
          <w:numId w:val="55"/>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Administration</w:t>
      </w:r>
      <w:r>
        <w:rPr>
          <w:rFonts w:ascii="Arial" w:cs="Arial" w:eastAsia="Arial" w:hAnsi="Arial"/>
          <w:sz w:val="13"/>
          <w:szCs w:val="13"/>
          <w:b w:val="1"/>
          <w:bCs w:val="1"/>
          <w:color w:val="auto"/>
        </w:rPr>
        <w:t>.</w:t>
      </w:r>
    </w:p>
    <w:p>
      <w:pPr>
        <w:spacing w:after="0" w:line="195" w:lineRule="exact"/>
        <w:rPr>
          <w:sz w:val="20"/>
          <w:szCs w:val="20"/>
          <w:color w:val="auto"/>
        </w:rPr>
      </w:pPr>
    </w:p>
    <w:p>
      <w:pPr>
        <w:ind w:left="460" w:right="579" w:firstLine="492"/>
        <w:spacing w:after="0" w:line="299" w:lineRule="auto"/>
        <w:rPr>
          <w:sz w:val="20"/>
          <w:szCs w:val="20"/>
          <w:color w:val="auto"/>
        </w:rPr>
      </w:pPr>
      <w:r>
        <w:rPr>
          <w:rFonts w:ascii="Arial" w:cs="Arial" w:eastAsia="Arial" w:hAnsi="Arial"/>
          <w:sz w:val="13"/>
          <w:szCs w:val="13"/>
          <w:color w:val="auto"/>
        </w:rPr>
        <w:t>The Plan shall be administered by the Committee. The Committee (or its delegate) shall have the exclusive right, power, and authority, in its sole and absolute discretion, to administer, apply and interpret the Plan and any other Plan documents and to decide all matters arising in connection with the operation or administration of the Plan. Without limiting the generality of the foregoing, the Committee shall have the sole and absolute discretionary authority: (a) to take all actions and make all decisions</w:t>
      </w:r>
    </w:p>
    <w:p>
      <w:pPr>
        <w:spacing w:after="0" w:line="26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271780</wp:posOffset>
            </wp:positionV>
            <wp:extent cx="5146040" cy="196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7">
                      <a:extLst>
                        <a:ext uri="{28A0092B-C50C-407E-A947-70E740481C1C}"/>
                      </a:extLst>
                    </a:blip>
                    <a:srcRect/>
                    <a:stretch>
                      <a:fillRect/>
                    </a:stretch>
                  </pic:blipFill>
                  <pic:spPr bwMode="auto">
                    <a:xfrm>
                      <a:off x="0" y="0"/>
                      <a:ext cx="5146040" cy="19685"/>
                    </a:xfrm>
                    <a:prstGeom prst="rect">
                      <a:avLst/>
                    </a:prstGeom>
                    <a:noFill/>
                  </pic:spPr>
                </pic:pic>
              </a:graphicData>
            </a:graphic>
          </wp:anchor>
        </w:drawing>
      </w:r>
    </w:p>
    <w:p>
      <w:pPr>
        <w:sectPr>
          <w:pgSz w:w="11900" w:h="16838" w:orient="portrait"/>
          <w:cols w:equalWidth="0" w:num="1">
            <w:col w:w="9019"/>
          </w:cols>
          <w:pgMar w:left="1440" w:top="155" w:right="1440" w:bottom="1440" w:gutter="0" w:footer="0" w:header="0"/>
        </w:sectPr>
      </w:pPr>
    </w:p>
    <w:bookmarkStart w:id="100" w:name="page101"/>
    <w:bookmarkEnd w:id="100"/>
    <w:p>
      <w:pPr>
        <w:ind w:left="3520" w:right="659" w:hanging="3056"/>
        <w:spacing w:after="0"/>
        <w:rPr>
          <w:sz w:val="20"/>
          <w:szCs w:val="20"/>
          <w:color w:val="auto"/>
        </w:rPr>
      </w:pPr>
      <w:r>
        <w:rPr>
          <w:rFonts w:ascii="Arial" w:cs="Arial" w:eastAsia="Arial" w:hAnsi="Arial"/>
          <w:sz w:val="10"/>
          <w:szCs w:val="10"/>
          <w:color w:val="auto"/>
        </w:rPr>
        <w:t xml:space="preserve">with respect to the eligibility for, and the amount of, benefits payable under the Plan; (b) to formulate, interpret and apply rules, regulations </w:t>
      </w:r>
      <w:r>
        <w:rPr>
          <w:rFonts w:ascii="Arial" w:cs="Arial" w:eastAsia="Arial" w:hAnsi="Arial"/>
          <w:sz w:val="12"/>
          <w:szCs w:val="12"/>
          <w:color w:val="FF0000"/>
        </w:rPr>
        <w:t>Foot Locker - Internal Use Only</w:t>
      </w:r>
    </w:p>
    <w:p>
      <w:pPr>
        <w:spacing w:after="0" w:line="47" w:lineRule="exact"/>
        <w:rPr>
          <w:sz w:val="20"/>
          <w:szCs w:val="20"/>
          <w:color w:val="auto"/>
        </w:rPr>
      </w:pPr>
    </w:p>
    <w:p>
      <w:pPr>
        <w:ind w:left="460" w:right="519"/>
        <w:spacing w:after="0" w:line="327" w:lineRule="auto"/>
        <w:rPr>
          <w:sz w:val="20"/>
          <w:szCs w:val="20"/>
          <w:color w:val="auto"/>
        </w:rPr>
      </w:pPr>
      <w:r>
        <w:rPr>
          <w:rFonts w:ascii="Arial" w:cs="Arial" w:eastAsia="Arial" w:hAnsi="Arial"/>
          <w:sz w:val="12"/>
          <w:szCs w:val="12"/>
          <w:color w:val="auto"/>
        </w:rPr>
        <w:t>and policies necessary to administer the Plan in accordance with its terms; (c) to decide questions, including legal or factual questions, relating to the calculation and payment of benefits under the Plan; (d) to resolve and/or clarify any ambiguities, inconsistencies and omissions arising under the Plan or other Plan documents; (e) to decide for purposes of paying benefits hereunder, whether, based on the terms of the Plan, a termination of employment has occurred; and (f) except as specifically provided to the contrary in Section 7 hereof, to process and approve or deny benefit claims and rule on any benefit exclusions. All determinations made by the Committee (or any delegate) with respect to any matter arising under the Plan and any other Plan documents shall be final, binding and conclusive on all parties.</w:t>
      </w:r>
    </w:p>
    <w:p>
      <w:pPr>
        <w:spacing w:after="0" w:line="205" w:lineRule="exact"/>
        <w:rPr>
          <w:sz w:val="20"/>
          <w:szCs w:val="20"/>
          <w:color w:val="auto"/>
        </w:rPr>
      </w:pPr>
    </w:p>
    <w:p>
      <w:pPr>
        <w:ind w:left="460" w:right="599" w:firstLine="492"/>
        <w:spacing w:after="0" w:line="301" w:lineRule="auto"/>
        <w:rPr>
          <w:sz w:val="20"/>
          <w:szCs w:val="20"/>
          <w:color w:val="auto"/>
        </w:rPr>
      </w:pPr>
      <w:r>
        <w:rPr>
          <w:rFonts w:ascii="Arial" w:cs="Arial" w:eastAsia="Arial" w:hAnsi="Arial"/>
          <w:sz w:val="13"/>
          <w:szCs w:val="13"/>
          <w:color w:val="auto"/>
        </w:rPr>
        <w:t>Decisions of the Committee shall be made by a majority of its members attending a meeting at which a quorum is present (which meeting may be held telephonically), or by written action in accordance with applicable law. All decisions of the Committee on any question concerning the interpretation and administration of the Plan shall be final, conclusive and binding upon all parties.</w:t>
      </w:r>
    </w:p>
    <w:p>
      <w:pPr>
        <w:spacing w:after="0" w:line="217" w:lineRule="exact"/>
        <w:rPr>
          <w:sz w:val="20"/>
          <w:szCs w:val="20"/>
          <w:color w:val="auto"/>
        </w:rPr>
      </w:pPr>
    </w:p>
    <w:p>
      <w:pPr>
        <w:jc w:val="both"/>
        <w:ind w:left="460" w:right="499" w:firstLine="492"/>
        <w:spacing w:after="0" w:line="299" w:lineRule="auto"/>
        <w:rPr>
          <w:sz w:val="20"/>
          <w:szCs w:val="20"/>
          <w:color w:val="auto"/>
        </w:rPr>
      </w:pPr>
      <w:r>
        <w:rPr>
          <w:rFonts w:ascii="Arial" w:cs="Arial" w:eastAsia="Arial" w:hAnsi="Arial"/>
          <w:sz w:val="13"/>
          <w:szCs w:val="13"/>
          <w:color w:val="auto"/>
        </w:rPr>
        <w:t>No member of the Committee and no officer, director or employee of the Company or any other Affiliate shall be liable for any action or inaction with respect to his or her functions under the Plan unless such action or inaction is adjudged to be due to gross negligence, willful misconduct or fraud. Further, no such person shall be personally liable merely by virtue of any instrument executed by him or her or on his or her behalf in connection with the Plan.</w:t>
      </w:r>
    </w:p>
    <w:p>
      <w:pPr>
        <w:spacing w:after="0" w:line="219" w:lineRule="exact"/>
        <w:rPr>
          <w:sz w:val="20"/>
          <w:szCs w:val="20"/>
          <w:color w:val="auto"/>
        </w:rPr>
      </w:pPr>
    </w:p>
    <w:p>
      <w:pPr>
        <w:ind w:left="460" w:right="499" w:firstLine="492"/>
        <w:spacing w:after="0" w:line="298" w:lineRule="auto"/>
        <w:rPr>
          <w:sz w:val="20"/>
          <w:szCs w:val="20"/>
          <w:color w:val="auto"/>
        </w:rPr>
      </w:pPr>
      <w:r>
        <w:rPr>
          <w:rFonts w:ascii="Arial" w:cs="Arial" w:eastAsia="Arial" w:hAnsi="Arial"/>
          <w:sz w:val="13"/>
          <w:szCs w:val="13"/>
          <w:color w:val="auto"/>
        </w:rPr>
        <w:t>Each Employer shall indemnify, to the full extent permitted by law and its Certificate of Incorporation and By-laws (but only to the extent not covered by insurance) its officers and directors (and any employee involved in carrying out the functions of such Employer under the Plan) and each member of the Committee against any expenses, including amounts paid in settlement of a liability, which are reasonably incurred in connection with any legal action to which such person is a party by reason of his or her duties or responsibilities with respect to the Plan (other than as a Participant), except with regard to matters as to which he or she shall be adjudged in such action to be liable for gross negligence, willful misconduct or fraud in the performance of his or her duties.</w:t>
      </w:r>
    </w:p>
    <w:p>
      <w:pPr>
        <w:spacing w:after="0" w:line="183" w:lineRule="exact"/>
        <w:rPr>
          <w:sz w:val="20"/>
          <w:szCs w:val="20"/>
          <w:color w:val="auto"/>
        </w:rPr>
      </w:pPr>
    </w:p>
    <w:p>
      <w:pPr>
        <w:ind w:left="940" w:hanging="485"/>
        <w:spacing w:after="0"/>
        <w:tabs>
          <w:tab w:leader="none" w:pos="940" w:val="left"/>
        </w:tabs>
        <w:numPr>
          <w:ilvl w:val="0"/>
          <w:numId w:val="56"/>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Limitation of Rights</w:t>
      </w:r>
      <w:r>
        <w:rPr>
          <w:rFonts w:ascii="Arial" w:cs="Arial" w:eastAsia="Arial" w:hAnsi="Arial"/>
          <w:sz w:val="13"/>
          <w:szCs w:val="13"/>
          <w:b w:val="1"/>
          <w:bCs w:val="1"/>
          <w:color w:val="auto"/>
        </w:rPr>
        <w:t>.</w:t>
      </w:r>
    </w:p>
    <w:p>
      <w:pPr>
        <w:spacing w:after="0" w:line="195" w:lineRule="exact"/>
        <w:rPr>
          <w:sz w:val="20"/>
          <w:szCs w:val="20"/>
          <w:color w:val="auto"/>
        </w:rPr>
      </w:pPr>
    </w:p>
    <w:p>
      <w:pPr>
        <w:jc w:val="both"/>
        <w:ind w:left="460" w:right="539" w:firstLine="492"/>
        <w:spacing w:after="0" w:line="351" w:lineRule="auto"/>
        <w:rPr>
          <w:sz w:val="20"/>
          <w:szCs w:val="20"/>
          <w:color w:val="auto"/>
        </w:rPr>
      </w:pPr>
      <w:r>
        <w:rPr>
          <w:rFonts w:ascii="Arial" w:cs="Arial" w:eastAsia="Arial" w:hAnsi="Arial"/>
          <w:sz w:val="12"/>
          <w:szCs w:val="12"/>
          <w:color w:val="auto"/>
        </w:rPr>
        <w:t>Nothing contained herein shall be construed as conferring upon an Employee the right to continue in the employ of the Employer as a Participant or in any other capacity or to interfere with the Employer’s right to discharge him or her at any time for any reason whatsoever.</w:t>
      </w:r>
    </w:p>
    <w:p>
      <w:pPr>
        <w:spacing w:after="0" w:line="155" w:lineRule="exact"/>
        <w:rPr>
          <w:sz w:val="20"/>
          <w:szCs w:val="20"/>
          <w:color w:val="auto"/>
        </w:rPr>
      </w:pPr>
    </w:p>
    <w:p>
      <w:pPr>
        <w:ind w:left="940" w:hanging="485"/>
        <w:spacing w:after="0"/>
        <w:tabs>
          <w:tab w:leader="none" w:pos="940" w:val="left"/>
        </w:tabs>
        <w:numPr>
          <w:ilvl w:val="0"/>
          <w:numId w:val="57"/>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Payment Not Salary</w:t>
      </w:r>
      <w:r>
        <w:rPr>
          <w:rFonts w:ascii="Arial" w:cs="Arial" w:eastAsia="Arial" w:hAnsi="Arial"/>
          <w:sz w:val="13"/>
          <w:szCs w:val="13"/>
          <w:b w:val="1"/>
          <w:bCs w:val="1"/>
          <w:color w:val="auto"/>
        </w:rPr>
        <w:t>.</w:t>
      </w:r>
    </w:p>
    <w:p>
      <w:pPr>
        <w:spacing w:after="0" w:line="195" w:lineRule="exact"/>
        <w:rPr>
          <w:sz w:val="20"/>
          <w:szCs w:val="20"/>
          <w:color w:val="auto"/>
        </w:rPr>
      </w:pPr>
    </w:p>
    <w:p>
      <w:pPr>
        <w:jc w:val="both"/>
        <w:ind w:left="460" w:right="759" w:firstLine="492"/>
        <w:spacing w:after="0" w:line="301" w:lineRule="auto"/>
        <w:rPr>
          <w:sz w:val="20"/>
          <w:szCs w:val="20"/>
          <w:color w:val="auto"/>
        </w:rPr>
      </w:pPr>
      <w:r>
        <w:rPr>
          <w:rFonts w:ascii="Arial" w:cs="Arial" w:eastAsia="Arial" w:hAnsi="Arial"/>
          <w:sz w:val="13"/>
          <w:szCs w:val="13"/>
          <w:color w:val="auto"/>
        </w:rPr>
        <w:t>Any Excess Savings Credit payable under this Plan shall not be deemed salary or other compensation to the Employee for the purposes of computing benefits to which he or she may be entitled under any pension plan or other arrangement of the Employer for the benefit of its employees, except as otherwise provided in such plan or arrangement.</w:t>
      </w:r>
    </w:p>
    <w:p>
      <w:pPr>
        <w:spacing w:after="0" w:line="201" w:lineRule="exact"/>
        <w:rPr>
          <w:sz w:val="20"/>
          <w:szCs w:val="20"/>
          <w:color w:val="auto"/>
        </w:rPr>
      </w:pPr>
    </w:p>
    <w:p>
      <w:pPr>
        <w:ind w:left="960" w:hanging="505"/>
        <w:spacing w:after="0"/>
        <w:tabs>
          <w:tab w:leader="none" w:pos="960" w:val="left"/>
        </w:tabs>
        <w:numPr>
          <w:ilvl w:val="0"/>
          <w:numId w:val="58"/>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Withholding</w:t>
      </w:r>
      <w:r>
        <w:rPr>
          <w:rFonts w:ascii="Arial" w:cs="Arial" w:eastAsia="Arial" w:hAnsi="Arial"/>
          <w:sz w:val="13"/>
          <w:szCs w:val="13"/>
          <w:b w:val="1"/>
          <w:bCs w:val="1"/>
          <w:color w:val="auto"/>
        </w:rPr>
        <w:t>.</w:t>
      </w:r>
    </w:p>
    <w:p>
      <w:pPr>
        <w:spacing w:after="0" w:line="235" w:lineRule="exact"/>
        <w:rPr>
          <w:rFonts w:ascii="Arial" w:cs="Arial" w:eastAsia="Arial" w:hAnsi="Arial"/>
          <w:sz w:val="13"/>
          <w:szCs w:val="13"/>
          <w:b w:val="1"/>
          <w:bCs w:val="1"/>
          <w:color w:val="auto"/>
        </w:rPr>
      </w:pPr>
    </w:p>
    <w:p>
      <w:pPr>
        <w:ind w:left="940"/>
        <w:spacing w:after="0"/>
        <w:rPr>
          <w:rFonts w:ascii="Arial" w:cs="Arial" w:eastAsia="Arial" w:hAnsi="Arial"/>
          <w:sz w:val="13"/>
          <w:szCs w:val="13"/>
          <w:b w:val="1"/>
          <w:bCs w:val="1"/>
          <w:color w:val="auto"/>
        </w:rPr>
      </w:pPr>
      <w:r>
        <w:rPr>
          <w:rFonts w:ascii="Arial" w:cs="Arial" w:eastAsia="Arial" w:hAnsi="Arial"/>
          <w:sz w:val="13"/>
          <w:szCs w:val="13"/>
          <w:color w:val="auto"/>
        </w:rPr>
        <w:t>The Employer shall have the right to make such provisions as it deems necessary or</w:t>
      </w:r>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271780</wp:posOffset>
            </wp:positionV>
            <wp:extent cx="5146040" cy="196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8">
                      <a:extLst>
                        <a:ext uri="{28A0092B-C50C-407E-A947-70E740481C1C}"/>
                      </a:extLst>
                    </a:blip>
                    <a:srcRect/>
                    <a:stretch>
                      <a:fillRect/>
                    </a:stretch>
                  </pic:blipFill>
                  <pic:spPr bwMode="auto">
                    <a:xfrm>
                      <a:off x="0" y="0"/>
                      <a:ext cx="5146040" cy="19685"/>
                    </a:xfrm>
                    <a:prstGeom prst="rect">
                      <a:avLst/>
                    </a:prstGeom>
                    <a:noFill/>
                  </pic:spPr>
                </pic:pic>
              </a:graphicData>
            </a:graphic>
          </wp:anchor>
        </w:drawing>
      </w:r>
    </w:p>
    <w:p>
      <w:pPr>
        <w:sectPr>
          <w:pgSz w:w="11900" w:h="16838" w:orient="portrait"/>
          <w:cols w:equalWidth="0" w:num="1">
            <w:col w:w="9019"/>
          </w:cols>
          <w:pgMar w:left="1440" w:top="155" w:right="1440" w:bottom="1440" w:gutter="0" w:footer="0" w:header="0"/>
        </w:sectPr>
      </w:pPr>
    </w:p>
    <w:bookmarkStart w:id="101" w:name="page102"/>
    <w:bookmarkEnd w:id="101"/>
    <w:p>
      <w:pPr>
        <w:ind w:left="460"/>
        <w:spacing w:after="0"/>
        <w:rPr>
          <w:sz w:val="20"/>
          <w:szCs w:val="20"/>
          <w:color w:val="auto"/>
        </w:rPr>
      </w:pPr>
      <w:r>
        <w:rPr>
          <w:rFonts w:ascii="Arial" w:cs="Arial" w:eastAsia="Arial" w:hAnsi="Arial"/>
          <w:sz w:val="13"/>
          <w:szCs w:val="13"/>
          <w:color w:val="auto"/>
        </w:rPr>
        <w:t>appropriate to satisfy any obligations it may have to withhold federal, state or local income or other taxes incurred by reason of payments or</w:t>
      </w:r>
    </w:p>
    <w:p>
      <w:pPr>
        <w:spacing w:after="0" w:line="35" w:lineRule="exact"/>
        <w:rPr>
          <w:sz w:val="20"/>
          <w:szCs w:val="20"/>
          <w:color w:val="auto"/>
        </w:rPr>
      </w:pPr>
    </w:p>
    <w:p>
      <w:pPr>
        <w:ind w:left="3520" w:right="479" w:hanging="3056"/>
        <w:spacing w:after="0"/>
        <w:rPr>
          <w:sz w:val="20"/>
          <w:szCs w:val="20"/>
          <w:color w:val="auto"/>
        </w:rPr>
      </w:pPr>
      <w:r>
        <w:rPr>
          <w:rFonts w:ascii="Arial" w:cs="Arial" w:eastAsia="Arial" w:hAnsi="Arial"/>
          <w:sz w:val="10"/>
          <w:szCs w:val="10"/>
          <w:color w:val="auto"/>
        </w:rPr>
        <w:t xml:space="preserve">accrual pursuant to this Plan. In lieu thereof, the Employer shall have the right to withhold the amount of such taxes from any other sums due </w:t>
      </w:r>
      <w:r>
        <w:rPr>
          <w:rFonts w:ascii="Arial" w:cs="Arial" w:eastAsia="Arial" w:hAnsi="Arial"/>
          <w:sz w:val="12"/>
          <w:szCs w:val="12"/>
          <w:color w:val="FF0000"/>
        </w:rPr>
        <w:t>Foot Locker - Internal Use Only</w:t>
      </w:r>
    </w:p>
    <w:p>
      <w:pPr>
        <w:spacing w:after="0" w:line="47" w:lineRule="exact"/>
        <w:rPr>
          <w:sz w:val="20"/>
          <w:szCs w:val="20"/>
          <w:color w:val="auto"/>
        </w:rPr>
      </w:pPr>
    </w:p>
    <w:p>
      <w:pPr>
        <w:ind w:left="460"/>
        <w:spacing w:after="0"/>
        <w:rPr>
          <w:sz w:val="20"/>
          <w:szCs w:val="20"/>
          <w:color w:val="auto"/>
        </w:rPr>
      </w:pPr>
      <w:r>
        <w:rPr>
          <w:rFonts w:ascii="Arial" w:cs="Arial" w:eastAsia="Arial" w:hAnsi="Arial"/>
          <w:sz w:val="13"/>
          <w:szCs w:val="13"/>
          <w:color w:val="auto"/>
        </w:rPr>
        <w:t>or to become due from the Employer to the Participant upon such terms and conditions as the Committee may prescribe.</w:t>
      </w:r>
    </w:p>
    <w:p>
      <w:pPr>
        <w:spacing w:after="0" w:line="224" w:lineRule="exact"/>
        <w:rPr>
          <w:sz w:val="20"/>
          <w:szCs w:val="20"/>
          <w:color w:val="auto"/>
        </w:rPr>
      </w:pPr>
    </w:p>
    <w:p>
      <w:pPr>
        <w:ind w:left="940" w:hanging="485"/>
        <w:spacing w:after="0"/>
        <w:tabs>
          <w:tab w:leader="none" w:pos="940" w:val="left"/>
        </w:tabs>
        <w:numPr>
          <w:ilvl w:val="0"/>
          <w:numId w:val="59"/>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Assignment</w:t>
      </w:r>
      <w:r>
        <w:rPr>
          <w:rFonts w:ascii="Arial" w:cs="Arial" w:eastAsia="Arial" w:hAnsi="Arial"/>
          <w:sz w:val="13"/>
          <w:szCs w:val="13"/>
          <w:b w:val="1"/>
          <w:bCs w:val="1"/>
          <w:color w:val="auto"/>
        </w:rPr>
        <w:t>.</w:t>
      </w:r>
    </w:p>
    <w:p>
      <w:pPr>
        <w:spacing w:after="0" w:line="195" w:lineRule="exact"/>
        <w:rPr>
          <w:sz w:val="20"/>
          <w:szCs w:val="20"/>
          <w:color w:val="auto"/>
        </w:rPr>
      </w:pPr>
    </w:p>
    <w:p>
      <w:pPr>
        <w:ind w:left="460" w:right="519" w:firstLine="492"/>
        <w:spacing w:after="0" w:line="298" w:lineRule="auto"/>
        <w:rPr>
          <w:sz w:val="20"/>
          <w:szCs w:val="20"/>
          <w:color w:val="auto"/>
        </w:rPr>
      </w:pPr>
      <w:r>
        <w:rPr>
          <w:rFonts w:ascii="Arial" w:cs="Arial" w:eastAsia="Arial" w:hAnsi="Arial"/>
          <w:sz w:val="13"/>
          <w:szCs w:val="13"/>
          <w:color w:val="auto"/>
        </w:rPr>
        <w:t>This Plan shall be binding upon and inure to the benefit of the Employer, its successors and assigns and the Participants and their heirs, executors, administrators and legal representatives. In addition to any obligations imposed by law upon any successor of the Employer, the Employer shall require any successor (whether direct or indirect, by purchase, merger, consolidation or otherwise) to all or substantially all of the business and/or assets of the Employer to expressly assume and agree in writing to assume the obligations under this Plan to the same extent that the Employer would be responsible if no such succession had taken place. In the event that the Employer sells all or substantially all of the assets of its business and the acquiror of such assets assumes the obligations hereunder, the Employer shall be released from any liability imposed herein and shall have no obligation to provide any benefits payable hereunder.</w:t>
      </w:r>
    </w:p>
    <w:p>
      <w:pPr>
        <w:spacing w:after="0" w:line="182" w:lineRule="exact"/>
        <w:rPr>
          <w:sz w:val="20"/>
          <w:szCs w:val="20"/>
          <w:color w:val="auto"/>
        </w:rPr>
      </w:pPr>
    </w:p>
    <w:p>
      <w:pPr>
        <w:ind w:left="940" w:hanging="485"/>
        <w:spacing w:after="0"/>
        <w:tabs>
          <w:tab w:leader="none" w:pos="940" w:val="left"/>
        </w:tabs>
        <w:numPr>
          <w:ilvl w:val="0"/>
          <w:numId w:val="60"/>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Non-Alienation of Benefits</w:t>
      </w:r>
      <w:r>
        <w:rPr>
          <w:rFonts w:ascii="Arial" w:cs="Arial" w:eastAsia="Arial" w:hAnsi="Arial"/>
          <w:sz w:val="13"/>
          <w:szCs w:val="13"/>
          <w:b w:val="1"/>
          <w:bCs w:val="1"/>
          <w:color w:val="auto"/>
        </w:rPr>
        <w:t>.</w:t>
      </w:r>
    </w:p>
    <w:p>
      <w:pPr>
        <w:spacing w:after="0" w:line="195" w:lineRule="exact"/>
        <w:rPr>
          <w:sz w:val="20"/>
          <w:szCs w:val="20"/>
          <w:color w:val="auto"/>
        </w:rPr>
      </w:pPr>
    </w:p>
    <w:p>
      <w:pPr>
        <w:ind w:left="460" w:right="619" w:firstLine="492"/>
        <w:spacing w:after="0" w:line="306" w:lineRule="auto"/>
        <w:rPr>
          <w:sz w:val="20"/>
          <w:szCs w:val="20"/>
          <w:color w:val="auto"/>
        </w:rPr>
      </w:pPr>
      <w:r>
        <w:rPr>
          <w:rFonts w:ascii="Arial" w:cs="Arial" w:eastAsia="Arial" w:hAnsi="Arial"/>
          <w:sz w:val="13"/>
          <w:szCs w:val="13"/>
          <w:color w:val="auto"/>
        </w:rPr>
        <w:t>The benefits payable under this Plan shall not be subject to alienation, transfer, assignment, garnishment, execution or levy of any kind, and any attempt to cause any benefits to be so subjected shall not be recognized.</w:t>
      </w:r>
    </w:p>
    <w:p>
      <w:pPr>
        <w:spacing w:after="0" w:line="177" w:lineRule="exact"/>
        <w:rPr>
          <w:sz w:val="20"/>
          <w:szCs w:val="20"/>
          <w:color w:val="auto"/>
        </w:rPr>
      </w:pPr>
    </w:p>
    <w:p>
      <w:pPr>
        <w:ind w:left="940" w:hanging="485"/>
        <w:spacing w:after="0"/>
        <w:tabs>
          <w:tab w:leader="none" w:pos="940" w:val="left"/>
        </w:tabs>
        <w:numPr>
          <w:ilvl w:val="0"/>
          <w:numId w:val="61"/>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Amendment or Termination of Plan</w:t>
      </w:r>
      <w:r>
        <w:rPr>
          <w:rFonts w:ascii="Arial" w:cs="Arial" w:eastAsia="Arial" w:hAnsi="Arial"/>
          <w:sz w:val="13"/>
          <w:szCs w:val="13"/>
          <w:b w:val="1"/>
          <w:bCs w:val="1"/>
          <w:color w:val="auto"/>
        </w:rPr>
        <w:t>.</w:t>
      </w:r>
    </w:p>
    <w:p>
      <w:pPr>
        <w:spacing w:after="0" w:line="195" w:lineRule="exact"/>
        <w:rPr>
          <w:sz w:val="20"/>
          <w:szCs w:val="20"/>
          <w:color w:val="auto"/>
        </w:rPr>
      </w:pPr>
    </w:p>
    <w:p>
      <w:pPr>
        <w:ind w:left="460" w:right="499" w:firstLine="492"/>
        <w:spacing w:after="0" w:line="298" w:lineRule="auto"/>
        <w:rPr>
          <w:sz w:val="20"/>
          <w:szCs w:val="20"/>
          <w:color w:val="auto"/>
        </w:rPr>
      </w:pPr>
      <w:r>
        <w:rPr>
          <w:rFonts w:ascii="Arial" w:cs="Arial" w:eastAsia="Arial" w:hAnsi="Arial"/>
          <w:sz w:val="13"/>
          <w:szCs w:val="13"/>
          <w:color w:val="auto"/>
        </w:rPr>
        <w:t>The Board may amend this Plan from time to time in any respect, and may at any time terminate the Plan in its entirety. In the event of such termination, Participants shall receive no additional benefits hereunder and the vested portion of a Participant’s Account (if any) shall be paid in accordance with Section 5 hereof or in any other manner permitted by Section 409A of the Code as determined by the Board in its discretion, including, without limitation, as provided under Treasury Regulation Section 1.409A-3(j)(4)(ix). Any such action by the Board with respect to the Plan shall be binding on the Employer and Employee. Except as otherwise specifically provided herein, in no event shall any termination, amendment, or change to the Plan reduce the vested portion of a Participant’s Account (if any) as of the date of such termination, amendment, or change.</w:t>
      </w:r>
    </w:p>
    <w:p>
      <w:pPr>
        <w:spacing w:after="0" w:line="182" w:lineRule="exact"/>
        <w:rPr>
          <w:sz w:val="20"/>
          <w:szCs w:val="20"/>
          <w:color w:val="auto"/>
        </w:rPr>
      </w:pPr>
    </w:p>
    <w:p>
      <w:pPr>
        <w:ind w:left="940" w:hanging="485"/>
        <w:spacing w:after="0"/>
        <w:tabs>
          <w:tab w:leader="none" w:pos="940" w:val="left"/>
        </w:tabs>
        <w:numPr>
          <w:ilvl w:val="0"/>
          <w:numId w:val="62"/>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Non-Exclusivity</w:t>
      </w:r>
      <w:r>
        <w:rPr>
          <w:rFonts w:ascii="Arial" w:cs="Arial" w:eastAsia="Arial" w:hAnsi="Arial"/>
          <w:sz w:val="13"/>
          <w:szCs w:val="13"/>
          <w:b w:val="1"/>
          <w:bCs w:val="1"/>
          <w:color w:val="auto"/>
        </w:rPr>
        <w:t>.</w:t>
      </w:r>
    </w:p>
    <w:p>
      <w:pPr>
        <w:spacing w:after="0" w:line="195" w:lineRule="exact"/>
        <w:rPr>
          <w:sz w:val="20"/>
          <w:szCs w:val="20"/>
          <w:color w:val="auto"/>
        </w:rPr>
      </w:pPr>
    </w:p>
    <w:p>
      <w:pPr>
        <w:ind w:left="460" w:right="479" w:firstLine="492"/>
        <w:spacing w:after="0" w:line="301" w:lineRule="auto"/>
        <w:rPr>
          <w:sz w:val="20"/>
          <w:szCs w:val="20"/>
          <w:color w:val="auto"/>
        </w:rPr>
      </w:pPr>
      <w:r>
        <w:rPr>
          <w:rFonts w:ascii="Arial" w:cs="Arial" w:eastAsia="Arial" w:hAnsi="Arial"/>
          <w:sz w:val="13"/>
          <w:szCs w:val="13"/>
          <w:color w:val="auto"/>
        </w:rPr>
        <w:t>The adoption of the Plan by the Employer shall not be construed as creating any limitations on the power of the Employer to adopt such other supplemental benefit arrangements as it deems desirable, and such arrangements may be either generally applicable or limited in application.</w:t>
      </w:r>
    </w:p>
    <w:p>
      <w:pPr>
        <w:spacing w:after="0" w:line="181" w:lineRule="exact"/>
        <w:rPr>
          <w:sz w:val="20"/>
          <w:szCs w:val="20"/>
          <w:color w:val="auto"/>
        </w:rPr>
      </w:pPr>
    </w:p>
    <w:p>
      <w:pPr>
        <w:ind w:left="940" w:hanging="485"/>
        <w:spacing w:after="0"/>
        <w:tabs>
          <w:tab w:leader="none" w:pos="940" w:val="left"/>
        </w:tabs>
        <w:numPr>
          <w:ilvl w:val="0"/>
          <w:numId w:val="63"/>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Severability</w:t>
      </w:r>
      <w:r>
        <w:rPr>
          <w:rFonts w:ascii="Arial" w:cs="Arial" w:eastAsia="Arial" w:hAnsi="Arial"/>
          <w:sz w:val="13"/>
          <w:szCs w:val="13"/>
          <w:b w:val="1"/>
          <w:bCs w:val="1"/>
          <w:color w:val="auto"/>
        </w:rPr>
        <w:t>.</w:t>
      </w:r>
    </w:p>
    <w:p>
      <w:pPr>
        <w:spacing w:after="0" w:line="195" w:lineRule="exact"/>
        <w:rPr>
          <w:sz w:val="20"/>
          <w:szCs w:val="20"/>
          <w:color w:val="auto"/>
        </w:rPr>
      </w:pPr>
    </w:p>
    <w:p>
      <w:pPr>
        <w:jc w:val="both"/>
        <w:ind w:left="460" w:right="499" w:firstLine="492"/>
        <w:spacing w:after="0" w:line="301" w:lineRule="auto"/>
        <w:rPr>
          <w:sz w:val="20"/>
          <w:szCs w:val="20"/>
          <w:color w:val="auto"/>
        </w:rPr>
      </w:pPr>
      <w:r>
        <w:rPr>
          <w:rFonts w:ascii="Arial" w:cs="Arial" w:eastAsia="Arial" w:hAnsi="Arial"/>
          <w:sz w:val="13"/>
          <w:szCs w:val="13"/>
          <w:color w:val="auto"/>
        </w:rPr>
        <w:t>Should any provisions of the Plan be deemed or held to be unlawful or invalid for any reason, such fact shall not adversely affect the other provisions of the Plan unless such determination shall render impossible or impracticable the functioning of the Plan, and in such case, an appropriate provision or provisions shall be adopted so that the Plan may continue to function properly.</w:t>
      </w:r>
    </w:p>
    <w:p>
      <w:pPr>
        <w:spacing w:after="0" w:line="26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271780</wp:posOffset>
            </wp:positionV>
            <wp:extent cx="5146040" cy="196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9">
                      <a:extLst>
                        <a:ext uri="{28A0092B-C50C-407E-A947-70E740481C1C}"/>
                      </a:extLst>
                    </a:blip>
                    <a:srcRect/>
                    <a:stretch>
                      <a:fillRect/>
                    </a:stretch>
                  </pic:blipFill>
                  <pic:spPr bwMode="auto">
                    <a:xfrm>
                      <a:off x="0" y="0"/>
                      <a:ext cx="5146040" cy="19685"/>
                    </a:xfrm>
                    <a:prstGeom prst="rect">
                      <a:avLst/>
                    </a:prstGeom>
                    <a:noFill/>
                  </pic:spPr>
                </pic:pic>
              </a:graphicData>
            </a:graphic>
          </wp:anchor>
        </w:drawing>
      </w:r>
    </w:p>
    <w:p>
      <w:pPr>
        <w:sectPr>
          <w:pgSz w:w="11900" w:h="16838" w:orient="portrait"/>
          <w:cols w:equalWidth="0" w:num="1">
            <w:col w:w="9019"/>
          </w:cols>
          <w:pgMar w:left="1440" w:top="155" w:right="1440" w:bottom="1440" w:gutter="0" w:footer="0" w:header="0"/>
        </w:sectPr>
      </w:pPr>
    </w:p>
    <w:bookmarkStart w:id="102" w:name="page103"/>
    <w:bookmarkEnd w:id="102"/>
    <w:p>
      <w:pPr>
        <w:ind w:left="940" w:hanging="485"/>
        <w:spacing w:after="0"/>
        <w:tabs>
          <w:tab w:leader="none" w:pos="940" w:val="left"/>
        </w:tabs>
        <w:numPr>
          <w:ilvl w:val="0"/>
          <w:numId w:val="64"/>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Headings and Captions</w:t>
      </w:r>
      <w:r>
        <w:rPr>
          <w:rFonts w:ascii="Arial" w:cs="Arial" w:eastAsia="Arial" w:hAnsi="Arial"/>
          <w:sz w:val="13"/>
          <w:szCs w:val="13"/>
          <w:b w:val="1"/>
          <w:bCs w:val="1"/>
          <w:color w:val="auto"/>
        </w:rPr>
        <w:t>.</w:t>
      </w:r>
    </w:p>
    <w:p>
      <w:pPr>
        <w:spacing w:after="0" w:line="11"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FF0000"/>
        </w:rPr>
        <w:t>Foot Locker - Internal Use Only</w:t>
      </w:r>
    </w:p>
    <w:p>
      <w:pPr>
        <w:ind w:left="460" w:right="659" w:firstLine="492"/>
        <w:spacing w:after="0" w:line="306" w:lineRule="auto"/>
        <w:rPr>
          <w:sz w:val="20"/>
          <w:szCs w:val="20"/>
          <w:color w:val="auto"/>
        </w:rPr>
      </w:pPr>
      <w:r>
        <w:rPr>
          <w:rFonts w:ascii="Arial" w:cs="Arial" w:eastAsia="Arial" w:hAnsi="Arial"/>
          <w:sz w:val="13"/>
          <w:szCs w:val="13"/>
          <w:color w:val="auto"/>
        </w:rPr>
        <w:t>The headings and captions herein are provided for reference and convenience only. They shall not be considered part of the Plan and shall not be employed in the construction of the Plan.</w:t>
      </w:r>
    </w:p>
    <w:p>
      <w:pPr>
        <w:spacing w:after="0" w:line="177" w:lineRule="exact"/>
        <w:rPr>
          <w:sz w:val="20"/>
          <w:szCs w:val="20"/>
          <w:color w:val="auto"/>
        </w:rPr>
      </w:pPr>
    </w:p>
    <w:p>
      <w:pPr>
        <w:ind w:left="940" w:hanging="485"/>
        <w:spacing w:after="0"/>
        <w:tabs>
          <w:tab w:leader="none" w:pos="940" w:val="left"/>
        </w:tabs>
        <w:numPr>
          <w:ilvl w:val="0"/>
          <w:numId w:val="65"/>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Governing Law</w:t>
      </w:r>
      <w:r>
        <w:rPr>
          <w:rFonts w:ascii="Arial" w:cs="Arial" w:eastAsia="Arial" w:hAnsi="Arial"/>
          <w:sz w:val="13"/>
          <w:szCs w:val="13"/>
          <w:b w:val="1"/>
          <w:bCs w:val="1"/>
          <w:color w:val="auto"/>
        </w:rPr>
        <w:t>.</w:t>
      </w:r>
    </w:p>
    <w:p>
      <w:pPr>
        <w:spacing w:after="0" w:line="195" w:lineRule="exact"/>
        <w:rPr>
          <w:sz w:val="20"/>
          <w:szCs w:val="20"/>
          <w:color w:val="auto"/>
        </w:rPr>
      </w:pPr>
    </w:p>
    <w:p>
      <w:pPr>
        <w:ind w:left="460" w:right="479" w:firstLine="492"/>
        <w:spacing w:after="0" w:line="306" w:lineRule="auto"/>
        <w:rPr>
          <w:sz w:val="20"/>
          <w:szCs w:val="20"/>
          <w:color w:val="auto"/>
        </w:rPr>
      </w:pPr>
      <w:r>
        <w:rPr>
          <w:rFonts w:ascii="Arial" w:cs="Arial" w:eastAsia="Arial" w:hAnsi="Arial"/>
          <w:sz w:val="13"/>
          <w:szCs w:val="13"/>
          <w:color w:val="auto"/>
        </w:rPr>
        <w:t>This Plan shall be construed, interpreted and governed by ERISA. To the extent not governed by ERISA, this Plan shall be governed by the laws of the State of New York, (without regard to conflict of law provisions).</w:t>
      </w:r>
    </w:p>
    <w:p>
      <w:pPr>
        <w:spacing w:after="0" w:line="157" w:lineRule="exact"/>
        <w:rPr>
          <w:sz w:val="20"/>
          <w:szCs w:val="20"/>
          <w:color w:val="auto"/>
        </w:rPr>
      </w:pPr>
    </w:p>
    <w:p>
      <w:pPr>
        <w:ind w:left="960" w:hanging="505"/>
        <w:spacing w:after="0"/>
        <w:tabs>
          <w:tab w:leader="none" w:pos="960" w:val="left"/>
        </w:tabs>
        <w:numPr>
          <w:ilvl w:val="0"/>
          <w:numId w:val="66"/>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Accounts and Records of the Plan</w:t>
      </w:r>
      <w:r>
        <w:rPr>
          <w:rFonts w:ascii="Arial" w:cs="Arial" w:eastAsia="Arial" w:hAnsi="Arial"/>
          <w:sz w:val="13"/>
          <w:szCs w:val="13"/>
          <w:b w:val="1"/>
          <w:bCs w:val="1"/>
          <w:color w:val="auto"/>
        </w:rPr>
        <w:t>.</w:t>
      </w:r>
    </w:p>
    <w:p>
      <w:pPr>
        <w:spacing w:after="0" w:line="215" w:lineRule="exact"/>
        <w:rPr>
          <w:sz w:val="20"/>
          <w:szCs w:val="20"/>
          <w:color w:val="auto"/>
        </w:rPr>
      </w:pPr>
    </w:p>
    <w:p>
      <w:pPr>
        <w:ind w:left="460" w:right="559" w:firstLine="492"/>
        <w:spacing w:after="0" w:line="298" w:lineRule="auto"/>
        <w:rPr>
          <w:sz w:val="20"/>
          <w:szCs w:val="20"/>
          <w:color w:val="auto"/>
        </w:rPr>
      </w:pPr>
      <w:r>
        <w:rPr>
          <w:rFonts w:ascii="Arial" w:cs="Arial" w:eastAsia="Arial" w:hAnsi="Arial"/>
          <w:sz w:val="12"/>
          <w:szCs w:val="12"/>
          <w:color w:val="auto"/>
        </w:rPr>
        <w:t>The Accounts and records of the Plan shall be maintained by the Committee and shall accurately reflect the value and status of the Account of each Participant in the Plan. Each Participant shall be advised from time to time as to the status of the Participant’s Account.</w:t>
      </w:r>
    </w:p>
    <w:p>
      <w:pPr>
        <w:spacing w:after="0" w:line="154" w:lineRule="exact"/>
        <w:rPr>
          <w:sz w:val="20"/>
          <w:szCs w:val="20"/>
          <w:color w:val="auto"/>
        </w:rPr>
      </w:pPr>
    </w:p>
    <w:p>
      <w:pPr>
        <w:ind w:left="960" w:hanging="505"/>
        <w:spacing w:after="0"/>
        <w:tabs>
          <w:tab w:leader="none" w:pos="960" w:val="left"/>
        </w:tabs>
        <w:numPr>
          <w:ilvl w:val="0"/>
          <w:numId w:val="67"/>
        </w:numPr>
        <w:rPr>
          <w:rFonts w:ascii="Arial" w:cs="Arial" w:eastAsia="Arial" w:hAnsi="Arial"/>
          <w:sz w:val="13"/>
          <w:szCs w:val="13"/>
          <w:b w:val="1"/>
          <w:bCs w:val="1"/>
          <w:color w:val="auto"/>
        </w:rPr>
      </w:pPr>
      <w:r>
        <w:rPr>
          <w:rFonts w:ascii="Arial" w:cs="Arial" w:eastAsia="Arial" w:hAnsi="Arial"/>
          <w:sz w:val="13"/>
          <w:szCs w:val="13"/>
          <w:b w:val="1"/>
          <w:bCs w:val="1"/>
          <w:u w:val="single" w:color="auto"/>
          <w:color w:val="auto"/>
        </w:rPr>
        <w:t>Section 409A of the Code</w:t>
      </w:r>
      <w:r>
        <w:rPr>
          <w:rFonts w:ascii="Arial" w:cs="Arial" w:eastAsia="Arial" w:hAnsi="Arial"/>
          <w:sz w:val="13"/>
          <w:szCs w:val="13"/>
          <w:b w:val="1"/>
          <w:bCs w:val="1"/>
          <w:color w:val="auto"/>
        </w:rPr>
        <w:t>.</w:t>
      </w:r>
    </w:p>
    <w:p>
      <w:pPr>
        <w:spacing w:after="0" w:line="199" w:lineRule="exact"/>
        <w:rPr>
          <w:rFonts w:ascii="Arial" w:cs="Arial" w:eastAsia="Arial" w:hAnsi="Arial"/>
          <w:sz w:val="13"/>
          <w:szCs w:val="13"/>
          <w:b w:val="1"/>
          <w:bCs w:val="1"/>
          <w:color w:val="auto"/>
        </w:rPr>
      </w:pPr>
    </w:p>
    <w:p>
      <w:pPr>
        <w:ind w:left="1420" w:right="539" w:hanging="483"/>
        <w:spacing w:after="0" w:line="219" w:lineRule="auto"/>
        <w:tabs>
          <w:tab w:leader="none" w:pos="1420" w:val="left"/>
        </w:tabs>
        <w:numPr>
          <w:ilvl w:val="1"/>
          <w:numId w:val="67"/>
        </w:numPr>
        <w:rPr>
          <w:rFonts w:ascii="Arial" w:cs="Arial" w:eastAsia="Arial" w:hAnsi="Arial"/>
          <w:sz w:val="31"/>
          <w:szCs w:val="31"/>
          <w:color w:val="212121"/>
          <w:vertAlign w:val="subscript"/>
        </w:rPr>
      </w:pPr>
      <w:r>
        <w:rPr>
          <w:rFonts w:ascii="Arial" w:cs="Arial" w:eastAsia="Arial" w:hAnsi="Arial"/>
          <w:sz w:val="13"/>
          <w:szCs w:val="13"/>
          <w:b w:val="1"/>
          <w:bCs w:val="1"/>
          <w:color w:val="auto"/>
        </w:rPr>
        <w:t>General</w:t>
      </w:r>
      <w:r>
        <w:rPr>
          <w:rFonts w:ascii="Arial" w:cs="Arial" w:eastAsia="Arial" w:hAnsi="Arial"/>
          <w:sz w:val="13"/>
          <w:szCs w:val="13"/>
          <w:color w:val="auto"/>
        </w:rPr>
        <w:t>. Although there is no guarantee of the tax treatment relating to participation in the Plan or payment of a</w:t>
      </w:r>
      <w:r>
        <w:rPr>
          <w:rFonts w:ascii="Arial" w:cs="Arial" w:eastAsia="Arial" w:hAnsi="Arial"/>
          <w:sz w:val="13"/>
          <w:szCs w:val="13"/>
          <w:b w:val="1"/>
          <w:bCs w:val="1"/>
          <w:color w:val="auto"/>
        </w:rPr>
        <w:t xml:space="preserve"> </w:t>
      </w:r>
      <w:r>
        <w:rPr>
          <w:rFonts w:ascii="Arial" w:cs="Arial" w:eastAsia="Arial" w:hAnsi="Arial"/>
          <w:sz w:val="13"/>
          <w:szCs w:val="13"/>
          <w:color w:val="auto"/>
        </w:rPr>
        <w:t>Participant’s Account, it is intended that the provisions of this Plan comply with, or be exempt from, Section 409A of the Code, and all provisions of this Plan shall be construed in a manner consistent with the requirements for avoiding taxes or penalties under Section 409A of the Code (including, but not limited to, any correction under Section 409A of the Code that the Company, in its sole discretion, determines is necessary to effectuate such intent). Accordingly, the Company reserves the right to amend the provisions of the Plan in its sole discretion at any time in order to avoid the imposition of an excise tax under Section 409A of the Code on any payments to be made hereunder, but shall be under no obligation to do so. Notwithstanding the foregoing, neither the Company nor any Employer shall have any liability with regard to any failure to comply with Section 409A of the Code, and in no event shall the Company or any Employer be liable for any additional tax, interest, or penalty that may be imposed on a Participant by Section 409A of the Code.</w:t>
      </w:r>
    </w:p>
    <w:p>
      <w:pPr>
        <w:spacing w:after="0" w:line="149" w:lineRule="exact"/>
        <w:rPr>
          <w:rFonts w:ascii="Arial" w:cs="Arial" w:eastAsia="Arial" w:hAnsi="Arial"/>
          <w:sz w:val="31"/>
          <w:szCs w:val="31"/>
          <w:color w:val="212121"/>
          <w:vertAlign w:val="subscript"/>
        </w:rPr>
      </w:pPr>
    </w:p>
    <w:p>
      <w:pPr>
        <w:ind w:left="1420" w:right="719" w:hanging="483"/>
        <w:spacing w:after="0" w:line="188" w:lineRule="auto"/>
        <w:tabs>
          <w:tab w:leader="none" w:pos="1420" w:val="left"/>
        </w:tabs>
        <w:numPr>
          <w:ilvl w:val="1"/>
          <w:numId w:val="67"/>
        </w:numPr>
        <w:rPr>
          <w:rFonts w:ascii="Arial" w:cs="Arial" w:eastAsia="Arial" w:hAnsi="Arial"/>
          <w:sz w:val="25"/>
          <w:szCs w:val="25"/>
          <w:color w:val="212121"/>
          <w:vertAlign w:val="subscript"/>
        </w:rPr>
      </w:pPr>
      <w:r>
        <w:rPr>
          <w:rFonts w:ascii="Arial" w:cs="Arial" w:eastAsia="Arial" w:hAnsi="Arial"/>
          <w:sz w:val="11"/>
          <w:szCs w:val="11"/>
          <w:b w:val="1"/>
          <w:bCs w:val="1"/>
          <w:color w:val="auto"/>
        </w:rPr>
        <w:t>Payment Timing</w:t>
      </w:r>
      <w:r>
        <w:rPr>
          <w:rFonts w:ascii="Arial" w:cs="Arial" w:eastAsia="Arial" w:hAnsi="Arial"/>
          <w:sz w:val="11"/>
          <w:szCs w:val="11"/>
          <w:color w:val="auto"/>
        </w:rPr>
        <w:t>. Whenever the Plan specifies a payment period with reference to a number of days, the actual date of</w:t>
      </w:r>
      <w:r>
        <w:rPr>
          <w:rFonts w:ascii="Arial" w:cs="Arial" w:eastAsia="Arial" w:hAnsi="Arial"/>
          <w:sz w:val="11"/>
          <w:szCs w:val="11"/>
          <w:b w:val="1"/>
          <w:bCs w:val="1"/>
          <w:color w:val="auto"/>
        </w:rPr>
        <w:t xml:space="preserve"> </w:t>
      </w:r>
      <w:r>
        <w:rPr>
          <w:rFonts w:ascii="Arial" w:cs="Arial" w:eastAsia="Arial" w:hAnsi="Arial"/>
          <w:sz w:val="11"/>
          <w:szCs w:val="11"/>
          <w:color w:val="auto"/>
        </w:rPr>
        <w:t>payment within the specified period shall be within the sole discretion of the Company.</w:t>
      </w:r>
    </w:p>
    <w:p>
      <w:pPr>
        <w:spacing w:after="0" w:line="147" w:lineRule="exact"/>
        <w:rPr>
          <w:rFonts w:ascii="Arial" w:cs="Arial" w:eastAsia="Arial" w:hAnsi="Arial"/>
          <w:sz w:val="25"/>
          <w:szCs w:val="25"/>
          <w:color w:val="212121"/>
          <w:vertAlign w:val="subscript"/>
        </w:rPr>
      </w:pPr>
    </w:p>
    <w:p>
      <w:pPr>
        <w:ind w:left="1440" w:right="599" w:hanging="492"/>
        <w:spacing w:after="0" w:line="188" w:lineRule="auto"/>
        <w:tabs>
          <w:tab w:leader="none" w:pos="1440" w:val="left"/>
        </w:tabs>
        <w:numPr>
          <w:ilvl w:val="2"/>
          <w:numId w:val="67"/>
        </w:numPr>
        <w:rPr>
          <w:rFonts w:ascii="Arial" w:cs="Arial" w:eastAsia="Arial" w:hAnsi="Arial"/>
          <w:sz w:val="31"/>
          <w:szCs w:val="31"/>
          <w:color w:val="212121"/>
          <w:vertAlign w:val="subscript"/>
        </w:rPr>
      </w:pPr>
      <w:r>
        <w:rPr>
          <w:rFonts w:ascii="Arial" w:cs="Arial" w:eastAsia="Arial" w:hAnsi="Arial"/>
          <w:sz w:val="13"/>
          <w:szCs w:val="13"/>
          <w:b w:val="1"/>
          <w:bCs w:val="1"/>
          <w:color w:val="212121"/>
        </w:rPr>
        <w:t>Separation from Service</w:t>
      </w:r>
      <w:r>
        <w:rPr>
          <w:rFonts w:ascii="Arial" w:cs="Arial" w:eastAsia="Arial" w:hAnsi="Arial"/>
          <w:sz w:val="13"/>
          <w:szCs w:val="13"/>
          <w:color w:val="212121"/>
        </w:rPr>
        <w:t>. Notwithstanding any provision to the contrary in this Plan, no amount deemed deferred</w:t>
      </w:r>
      <w:r>
        <w:rPr>
          <w:rFonts w:ascii="Arial" w:cs="Arial" w:eastAsia="Arial" w:hAnsi="Arial"/>
          <w:sz w:val="13"/>
          <w:szCs w:val="13"/>
          <w:b w:val="1"/>
          <w:bCs w:val="1"/>
          <w:color w:val="212121"/>
        </w:rPr>
        <w:t xml:space="preserve"> </w:t>
      </w:r>
      <w:r>
        <w:rPr>
          <w:rFonts w:ascii="Arial" w:cs="Arial" w:eastAsia="Arial" w:hAnsi="Arial"/>
          <w:sz w:val="13"/>
          <w:szCs w:val="13"/>
          <w:color w:val="212121"/>
        </w:rPr>
        <w:t>compensation subject to Section 409A of the Code shall be payable pursuant to a Termination of Employment unless Participant’s Termination of Employment constitutes a “separation from service” within the meaning of Section 409A of the Code.</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271780</wp:posOffset>
            </wp:positionV>
            <wp:extent cx="5146040" cy="196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0">
                      <a:extLst>
                        <a:ext uri="{28A0092B-C50C-407E-A947-70E740481C1C}"/>
                      </a:extLst>
                    </a:blip>
                    <a:srcRect/>
                    <a:stretch>
                      <a:fillRect/>
                    </a:stretch>
                  </pic:blipFill>
                  <pic:spPr bwMode="auto">
                    <a:xfrm>
                      <a:off x="0" y="0"/>
                      <a:ext cx="5146040" cy="19685"/>
                    </a:xfrm>
                    <a:prstGeom prst="rect">
                      <a:avLst/>
                    </a:prstGeom>
                    <a:noFill/>
                  </pic:spPr>
                </pic:pic>
              </a:graphicData>
            </a:graphic>
          </wp:anchor>
        </w:drawing>
      </w:r>
    </w:p>
    <w:p>
      <w:pPr>
        <w:sectPr>
          <w:pgSz w:w="11900" w:h="16838" w:orient="portrait"/>
          <w:cols w:equalWidth="0" w:num="1">
            <w:col w:w="9019"/>
          </w:cols>
          <w:pgMar w:left="1440" w:top="344"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FF0000"/>
        </w:rPr>
        <w:t>Foot Locker - Internal Use Only</w:t>
      </w:r>
    </w:p>
    <w:p>
      <w:pPr>
        <w:sectPr>
          <w:pgSz w:w="11900" w:h="16838" w:orient="portrait"/>
          <w:cols w:equalWidth="0" w:num="1">
            <w:col w:w="9019"/>
          </w:cols>
          <w:pgMar w:left="1440" w:top="344" w:right="1440" w:bottom="0" w:gutter="0" w:footer="0" w:header="0"/>
          <w:type w:val="continuous"/>
        </w:sectPr>
      </w:pPr>
    </w:p>
    <w:bookmarkStart w:id="103" w:name="page104"/>
    <w:bookmarkEnd w:id="103"/>
    <w:p>
      <w:pPr>
        <w:ind w:left="460"/>
        <w:spacing w:after="0"/>
        <w:rPr>
          <w:sz w:val="20"/>
          <w:szCs w:val="20"/>
          <w:color w:val="auto"/>
        </w:rPr>
      </w:pPr>
      <w:r>
        <w:rPr>
          <w:rFonts w:ascii="Arial" w:cs="Arial" w:eastAsia="Arial" w:hAnsi="Arial"/>
          <w:sz w:val="12"/>
          <w:szCs w:val="12"/>
          <w:color w:val="auto"/>
        </w:rPr>
        <w:t>IN WITNESS WHEREOF, the Company has caused this document to be executed this 23 day of May, 2019.</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2920" w:type="dxa"/>
        <w:tblCellMar>
          <w:top w:w="0" w:type="dxa"/>
          <w:left w:w="0" w:type="dxa"/>
          <w:bottom w:w="0" w:type="dxa"/>
          <w:right w:w="0" w:type="dxa"/>
        </w:tblCellMar>
      </w:tblPr>
      <w:tr>
        <w:trPr>
          <w:trHeight w:val="156"/>
        </w:trPr>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00" w:type="dxa"/>
            <w:vAlign w:val="bottom"/>
            <w:gridSpan w:val="3"/>
          </w:tcPr>
          <w:p>
            <w:pPr>
              <w:spacing w:after="0"/>
              <w:rPr>
                <w:sz w:val="20"/>
                <w:szCs w:val="20"/>
                <w:color w:val="auto"/>
              </w:rPr>
            </w:pPr>
            <w:r>
              <w:rPr>
                <w:rFonts w:ascii="Arial" w:cs="Arial" w:eastAsia="Arial" w:hAnsi="Arial"/>
                <w:sz w:val="13"/>
                <w:szCs w:val="13"/>
                <w:color w:val="auto"/>
              </w:rPr>
              <w:t>FOOT LOCKER, INC.</w:t>
            </w:r>
          </w:p>
        </w:tc>
      </w:tr>
      <w:tr>
        <w:trPr>
          <w:trHeight w:val="280"/>
        </w:trPr>
        <w:tc>
          <w:tcPr>
            <w:tcW w:w="340" w:type="dxa"/>
            <w:vAlign w:val="bottom"/>
          </w:tcPr>
          <w:p>
            <w:pPr>
              <w:spacing w:after="0"/>
              <w:rPr>
                <w:sz w:val="20"/>
                <w:szCs w:val="20"/>
                <w:color w:val="auto"/>
              </w:rPr>
            </w:pPr>
            <w:r>
              <w:rPr>
                <w:rFonts w:ascii="Arial" w:cs="Arial" w:eastAsia="Arial" w:hAnsi="Arial"/>
                <w:sz w:val="13"/>
                <w:szCs w:val="13"/>
                <w:color w:val="auto"/>
              </w:rPr>
              <w:t>By:</w:t>
            </w:r>
          </w:p>
        </w:tc>
        <w:tc>
          <w:tcPr>
            <w:tcW w:w="1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/s/ Caryn Steinert</w:t>
            </w:r>
          </w:p>
        </w:tc>
        <w:tc>
          <w:tcPr>
            <w:tcW w:w="1280" w:type="dxa"/>
            <w:vAlign w:val="bottom"/>
            <w:gridSpan w:val="2"/>
          </w:tcPr>
          <w:p>
            <w:pPr>
              <w:jc w:val="right"/>
              <w:ind w:right="180"/>
              <w:spacing w:after="0"/>
              <w:rPr>
                <w:sz w:val="20"/>
                <w:szCs w:val="20"/>
                <w:color w:val="auto"/>
              </w:rPr>
            </w:pPr>
            <w:r>
              <w:rPr>
                <w:rFonts w:ascii="Arial" w:cs="Arial" w:eastAsia="Arial" w:hAnsi="Arial"/>
                <w:sz w:val="13"/>
                <w:szCs w:val="13"/>
                <w:color w:val="auto"/>
              </w:rPr>
              <w:t>_</w:t>
            </w:r>
          </w:p>
        </w:tc>
      </w:tr>
      <w:tr>
        <w:trPr>
          <w:trHeight w:val="20"/>
        </w:trPr>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62"/>
        </w:trPr>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Caryn Steinert, VP –</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Global Total Rewards</w:t>
            </w:r>
          </w:p>
        </w:tc>
      </w:tr>
    </w:tbl>
    <w:p>
      <w:pPr>
        <w:spacing w:after="0" w:line="29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wp:posOffset>
            </wp:positionH>
            <wp:positionV relativeFrom="paragraph">
              <wp:posOffset>271780</wp:posOffset>
            </wp:positionV>
            <wp:extent cx="5146040" cy="196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1">
                      <a:extLst>
                        <a:ext uri="{28A0092B-C50C-407E-A947-70E740481C1C}"/>
                      </a:extLst>
                    </a:blip>
                    <a:srcRect/>
                    <a:stretch>
                      <a:fillRect/>
                    </a:stretch>
                  </pic:blipFill>
                  <pic:spPr bwMode="auto">
                    <a:xfrm>
                      <a:off x="0" y="0"/>
                      <a:ext cx="5146040" cy="19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FF0000"/>
        </w:rPr>
        <w:t>Foot Locker - Internal Use Only</w:t>
      </w:r>
    </w:p>
    <w:p>
      <w:pPr>
        <w:sectPr>
          <w:pgSz w:w="11900" w:h="16838" w:orient="portrait"/>
          <w:cols w:equalWidth="0" w:num="1">
            <w:col w:w="9019"/>
          </w:cols>
          <w:pgMar w:left="1440" w:top="535" w:right="1440" w:bottom="1440" w:gutter="0" w:footer="0" w:header="0"/>
        </w:sectPr>
      </w:pPr>
    </w:p>
    <w:bookmarkStart w:id="104" w:name="page105"/>
    <w:bookmarkEnd w:id="104"/>
    <w:p>
      <w:pPr>
        <w:jc w:val="right"/>
        <w:spacing w:after="0"/>
        <w:rPr>
          <w:sz w:val="20"/>
          <w:szCs w:val="20"/>
          <w:color w:val="auto"/>
        </w:rPr>
      </w:pPr>
      <w:r>
        <w:rPr>
          <w:rFonts w:ascii="Arial" w:cs="Arial" w:eastAsia="Arial" w:hAnsi="Arial"/>
          <w:sz w:val="14"/>
          <w:szCs w:val="14"/>
          <w:b w:val="1"/>
          <w:bCs w:val="1"/>
          <w:color w:val="auto"/>
        </w:rPr>
        <w:t>Exhibit 21</w:t>
      </w:r>
    </w:p>
    <w:p>
      <w:pPr>
        <w:spacing w:after="0" w:line="158" w:lineRule="exact"/>
        <w:rPr>
          <w:sz w:val="20"/>
          <w:szCs w:val="20"/>
          <w:color w:val="auto"/>
        </w:rPr>
      </w:pPr>
    </w:p>
    <w:p>
      <w:pPr>
        <w:jc w:val="center"/>
        <w:ind w:right="480"/>
        <w:spacing w:after="0"/>
        <w:rPr>
          <w:sz w:val="20"/>
          <w:szCs w:val="20"/>
          <w:color w:val="auto"/>
        </w:rPr>
      </w:pPr>
      <w:r>
        <w:rPr>
          <w:rFonts w:ascii="Arial" w:cs="Arial" w:eastAsia="Arial" w:hAnsi="Arial"/>
          <w:sz w:val="14"/>
          <w:szCs w:val="14"/>
          <w:b w:val="1"/>
          <w:bCs w:val="1"/>
          <w:color w:val="auto"/>
        </w:rPr>
        <w:t xml:space="preserve">FOOT LOCKER, INC. SUBSIDIARIES </w:t>
      </w:r>
      <w:r>
        <w:rPr>
          <w:rFonts w:ascii="Arial" w:cs="Arial" w:eastAsia="Arial" w:hAnsi="Arial"/>
          <w:sz w:val="15"/>
          <w:szCs w:val="15"/>
          <w:b w:val="1"/>
          <w:bCs w:val="1"/>
          <w:color w:val="auto"/>
          <w:vertAlign w:val="superscript"/>
        </w:rPr>
        <w:t>(1)</w:t>
      </w:r>
    </w:p>
    <w:p>
      <w:pPr>
        <w:spacing w:after="0" w:line="157" w:lineRule="exact"/>
        <w:rPr>
          <w:sz w:val="20"/>
          <w:szCs w:val="20"/>
          <w:color w:val="auto"/>
        </w:rPr>
      </w:pPr>
    </w:p>
    <w:p>
      <w:pPr>
        <w:ind w:left="260" w:right="740"/>
        <w:spacing w:after="0"/>
        <w:rPr>
          <w:sz w:val="20"/>
          <w:szCs w:val="20"/>
          <w:color w:val="auto"/>
        </w:rPr>
      </w:pPr>
      <w:r>
        <w:rPr>
          <w:rFonts w:ascii="Arial" w:cs="Arial" w:eastAsia="Arial" w:hAnsi="Arial"/>
          <w:sz w:val="13"/>
          <w:szCs w:val="13"/>
          <w:color w:val="auto"/>
        </w:rPr>
        <w:t>The following is a list of subsidiaries of Foot Locker, Inc. as of January 30, 2021, omitting some subsidiaries, which, considered in the aggregate, would not constitute a significant subsidiary.</w:t>
      </w:r>
    </w:p>
    <w:p>
      <w:pPr>
        <w:spacing w:after="0" w:line="298" w:lineRule="exact"/>
        <w:rPr>
          <w:sz w:val="20"/>
          <w:szCs w:val="20"/>
          <w:color w:val="auto"/>
        </w:rPr>
      </w:pPr>
    </w:p>
    <w:tbl>
      <w:tblPr>
        <w:tblLayout w:type="fixed"/>
        <w:tblInd w:w="520" w:type="dxa"/>
        <w:tblCellMar>
          <w:top w:w="0" w:type="dxa"/>
          <w:left w:w="0" w:type="dxa"/>
          <w:bottom w:w="0" w:type="dxa"/>
          <w:right w:w="0" w:type="dxa"/>
        </w:tblCellMar>
      </w:tblPr>
      <w:tr>
        <w:trPr>
          <w:trHeight w:val="156"/>
        </w:trPr>
        <w:tc>
          <w:tcPr>
            <w:tcW w:w="38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Name</w:t>
            </w:r>
          </w:p>
        </w:tc>
        <w:tc>
          <w:tcPr>
            <w:tcW w:w="4140" w:type="dxa"/>
            <w:vAlign w:val="bottom"/>
            <w:tcBorders>
              <w:bottom w:val="single" w:sz="8" w:color="auto"/>
            </w:tcBorders>
          </w:tcPr>
          <w:p>
            <w:pPr>
              <w:ind w:left="660"/>
              <w:spacing w:after="0"/>
              <w:rPr>
                <w:sz w:val="20"/>
                <w:szCs w:val="20"/>
                <w:color w:val="auto"/>
              </w:rPr>
            </w:pPr>
            <w:r>
              <w:rPr>
                <w:rFonts w:ascii="Arial" w:cs="Arial" w:eastAsia="Arial" w:hAnsi="Arial"/>
                <w:sz w:val="12"/>
                <w:szCs w:val="12"/>
                <w:b w:val="1"/>
                <w:bCs w:val="1"/>
                <w:color w:val="auto"/>
              </w:rPr>
              <w:t>State or Other Jurisdiction of Incorporation</w:t>
            </w:r>
          </w:p>
        </w:tc>
      </w:tr>
      <w:tr>
        <w:trPr>
          <w:trHeight w:val="135"/>
        </w:trPr>
        <w:tc>
          <w:tcPr>
            <w:tcW w:w="3820" w:type="dxa"/>
            <w:vAlign w:val="bottom"/>
          </w:tcPr>
          <w:p>
            <w:pPr>
              <w:spacing w:after="0" w:line="136" w:lineRule="exact"/>
              <w:rPr>
                <w:sz w:val="20"/>
                <w:szCs w:val="20"/>
                <w:color w:val="auto"/>
              </w:rPr>
            </w:pPr>
            <w:r>
              <w:rPr>
                <w:rFonts w:ascii="Arial" w:cs="Arial" w:eastAsia="Arial" w:hAnsi="Arial"/>
                <w:sz w:val="12"/>
                <w:szCs w:val="12"/>
                <w:color w:val="auto"/>
              </w:rPr>
              <w:t>FL Finance (Europe) Limited</w:t>
            </w:r>
          </w:p>
        </w:tc>
        <w:tc>
          <w:tcPr>
            <w:tcW w:w="4140" w:type="dxa"/>
            <w:vAlign w:val="bottom"/>
          </w:tcPr>
          <w:p>
            <w:pPr>
              <w:ind w:left="660"/>
              <w:spacing w:after="0" w:line="136" w:lineRule="exact"/>
              <w:rPr>
                <w:sz w:val="20"/>
                <w:szCs w:val="20"/>
                <w:color w:val="auto"/>
              </w:rPr>
            </w:pPr>
            <w:r>
              <w:rPr>
                <w:rFonts w:ascii="Arial" w:cs="Arial" w:eastAsia="Arial" w:hAnsi="Arial"/>
                <w:sz w:val="12"/>
                <w:szCs w:val="12"/>
                <w:color w:val="auto"/>
              </w:rPr>
              <w:t>Ireland</w:t>
            </w:r>
          </w:p>
        </w:tc>
      </w:tr>
      <w:tr>
        <w:trPr>
          <w:trHeight w:val="144"/>
        </w:trPr>
        <w:tc>
          <w:tcPr>
            <w:tcW w:w="3820" w:type="dxa"/>
            <w:vAlign w:val="bottom"/>
          </w:tcPr>
          <w:p>
            <w:pPr>
              <w:spacing w:after="0"/>
              <w:rPr>
                <w:sz w:val="20"/>
                <w:szCs w:val="20"/>
                <w:color w:val="auto"/>
              </w:rPr>
            </w:pPr>
            <w:r>
              <w:rPr>
                <w:rFonts w:ascii="Arial" w:cs="Arial" w:eastAsia="Arial" w:hAnsi="Arial"/>
                <w:sz w:val="12"/>
                <w:szCs w:val="12"/>
                <w:color w:val="auto"/>
              </w:rPr>
              <w:t>FLE Holdings Coöperatief U.A.</w:t>
            </w:r>
          </w:p>
        </w:tc>
        <w:tc>
          <w:tcPr>
            <w:tcW w:w="4140" w:type="dxa"/>
            <w:vAlign w:val="bottom"/>
          </w:tcPr>
          <w:p>
            <w:pPr>
              <w:ind w:left="660"/>
              <w:spacing w:after="0"/>
              <w:rPr>
                <w:sz w:val="20"/>
                <w:szCs w:val="20"/>
                <w:color w:val="auto"/>
              </w:rPr>
            </w:pPr>
            <w:r>
              <w:rPr>
                <w:rFonts w:ascii="Arial" w:cs="Arial" w:eastAsia="Arial" w:hAnsi="Arial"/>
                <w:sz w:val="12"/>
                <w:szCs w:val="12"/>
                <w:color w:val="auto"/>
              </w:rPr>
              <w:t>Netherlands</w:t>
            </w:r>
          </w:p>
        </w:tc>
      </w:tr>
      <w:tr>
        <w:trPr>
          <w:trHeight w:val="144"/>
        </w:trPr>
        <w:tc>
          <w:tcPr>
            <w:tcW w:w="3820" w:type="dxa"/>
            <w:vAlign w:val="bottom"/>
          </w:tcPr>
          <w:p>
            <w:pPr>
              <w:spacing w:after="0"/>
              <w:rPr>
                <w:sz w:val="20"/>
                <w:szCs w:val="20"/>
                <w:color w:val="auto"/>
              </w:rPr>
            </w:pPr>
            <w:r>
              <w:rPr>
                <w:rFonts w:ascii="Arial" w:cs="Arial" w:eastAsia="Arial" w:hAnsi="Arial"/>
                <w:sz w:val="12"/>
                <w:szCs w:val="12"/>
                <w:color w:val="auto"/>
              </w:rPr>
              <w:t>FLE Logistics B.V.</w:t>
            </w:r>
          </w:p>
        </w:tc>
        <w:tc>
          <w:tcPr>
            <w:tcW w:w="4140" w:type="dxa"/>
            <w:vAlign w:val="bottom"/>
          </w:tcPr>
          <w:p>
            <w:pPr>
              <w:ind w:left="660"/>
              <w:spacing w:after="0"/>
              <w:rPr>
                <w:sz w:val="20"/>
                <w:szCs w:val="20"/>
                <w:color w:val="auto"/>
              </w:rPr>
            </w:pPr>
            <w:r>
              <w:rPr>
                <w:rFonts w:ascii="Arial" w:cs="Arial" w:eastAsia="Arial" w:hAnsi="Arial"/>
                <w:sz w:val="12"/>
                <w:szCs w:val="12"/>
                <w:color w:val="auto"/>
              </w:rPr>
              <w:t>Netherlands</w:t>
            </w:r>
          </w:p>
        </w:tc>
      </w:tr>
      <w:tr>
        <w:trPr>
          <w:trHeight w:val="144"/>
        </w:trPr>
        <w:tc>
          <w:tcPr>
            <w:tcW w:w="3820" w:type="dxa"/>
            <w:vAlign w:val="bottom"/>
          </w:tcPr>
          <w:p>
            <w:pPr>
              <w:spacing w:after="0"/>
              <w:rPr>
                <w:sz w:val="20"/>
                <w:szCs w:val="20"/>
                <w:color w:val="auto"/>
              </w:rPr>
            </w:pPr>
            <w:r>
              <w:rPr>
                <w:rFonts w:ascii="Arial" w:cs="Arial" w:eastAsia="Arial" w:hAnsi="Arial"/>
                <w:sz w:val="12"/>
                <w:szCs w:val="12"/>
                <w:color w:val="auto"/>
              </w:rPr>
              <w:t>Foot Locker Services Pte. Ltd.</w:t>
            </w:r>
          </w:p>
        </w:tc>
        <w:tc>
          <w:tcPr>
            <w:tcW w:w="4140" w:type="dxa"/>
            <w:vAlign w:val="bottom"/>
          </w:tcPr>
          <w:p>
            <w:pPr>
              <w:ind w:left="660"/>
              <w:spacing w:after="0"/>
              <w:rPr>
                <w:sz w:val="20"/>
                <w:szCs w:val="20"/>
                <w:color w:val="auto"/>
              </w:rPr>
            </w:pPr>
            <w:r>
              <w:rPr>
                <w:rFonts w:ascii="Arial" w:cs="Arial" w:eastAsia="Arial" w:hAnsi="Arial"/>
                <w:sz w:val="12"/>
                <w:szCs w:val="12"/>
                <w:color w:val="auto"/>
              </w:rPr>
              <w:t>Singapore</w:t>
            </w:r>
          </w:p>
        </w:tc>
      </w:tr>
      <w:tr>
        <w:trPr>
          <w:trHeight w:val="144"/>
        </w:trPr>
        <w:tc>
          <w:tcPr>
            <w:tcW w:w="3820" w:type="dxa"/>
            <w:vAlign w:val="bottom"/>
          </w:tcPr>
          <w:p>
            <w:pPr>
              <w:spacing w:after="0"/>
              <w:rPr>
                <w:sz w:val="20"/>
                <w:szCs w:val="20"/>
                <w:color w:val="auto"/>
              </w:rPr>
            </w:pPr>
            <w:r>
              <w:rPr>
                <w:rFonts w:ascii="Arial" w:cs="Arial" w:eastAsia="Arial" w:hAnsi="Arial"/>
                <w:sz w:val="12"/>
                <w:szCs w:val="12"/>
                <w:color w:val="auto"/>
              </w:rPr>
              <w:t>Foot Locker Artigos Desportivos e de Tempos Livres, Lda.</w:t>
            </w:r>
          </w:p>
        </w:tc>
        <w:tc>
          <w:tcPr>
            <w:tcW w:w="4140" w:type="dxa"/>
            <w:vAlign w:val="bottom"/>
          </w:tcPr>
          <w:p>
            <w:pPr>
              <w:ind w:left="660"/>
              <w:spacing w:after="0"/>
              <w:rPr>
                <w:sz w:val="20"/>
                <w:szCs w:val="20"/>
                <w:color w:val="auto"/>
              </w:rPr>
            </w:pPr>
            <w:r>
              <w:rPr>
                <w:rFonts w:ascii="Arial" w:cs="Arial" w:eastAsia="Arial" w:hAnsi="Arial"/>
                <w:sz w:val="12"/>
                <w:szCs w:val="12"/>
                <w:color w:val="auto"/>
              </w:rPr>
              <w:t>Portugal</w:t>
            </w:r>
          </w:p>
        </w:tc>
      </w:tr>
      <w:tr>
        <w:trPr>
          <w:trHeight w:val="144"/>
        </w:trPr>
        <w:tc>
          <w:tcPr>
            <w:tcW w:w="3820" w:type="dxa"/>
            <w:vAlign w:val="bottom"/>
          </w:tcPr>
          <w:p>
            <w:pPr>
              <w:spacing w:after="0"/>
              <w:rPr>
                <w:sz w:val="20"/>
                <w:szCs w:val="20"/>
                <w:color w:val="auto"/>
              </w:rPr>
            </w:pPr>
            <w:r>
              <w:rPr>
                <w:rFonts w:ascii="Arial" w:cs="Arial" w:eastAsia="Arial" w:hAnsi="Arial"/>
                <w:sz w:val="12"/>
                <w:szCs w:val="12"/>
                <w:color w:val="auto"/>
              </w:rPr>
              <w:t>Foot Locker Asia Pte. Ltd.</w:t>
            </w:r>
          </w:p>
        </w:tc>
        <w:tc>
          <w:tcPr>
            <w:tcW w:w="4140" w:type="dxa"/>
            <w:vAlign w:val="bottom"/>
          </w:tcPr>
          <w:p>
            <w:pPr>
              <w:ind w:left="660"/>
              <w:spacing w:after="0"/>
              <w:rPr>
                <w:sz w:val="20"/>
                <w:szCs w:val="20"/>
                <w:color w:val="auto"/>
              </w:rPr>
            </w:pPr>
            <w:r>
              <w:rPr>
                <w:rFonts w:ascii="Arial" w:cs="Arial" w:eastAsia="Arial" w:hAnsi="Arial"/>
                <w:sz w:val="12"/>
                <w:szCs w:val="12"/>
                <w:color w:val="auto"/>
              </w:rPr>
              <w:t>Singapore</w:t>
            </w:r>
          </w:p>
        </w:tc>
      </w:tr>
      <w:tr>
        <w:trPr>
          <w:trHeight w:val="144"/>
        </w:trPr>
        <w:tc>
          <w:tcPr>
            <w:tcW w:w="3820" w:type="dxa"/>
            <w:vAlign w:val="bottom"/>
          </w:tcPr>
          <w:p>
            <w:pPr>
              <w:spacing w:after="0"/>
              <w:rPr>
                <w:sz w:val="20"/>
                <w:szCs w:val="20"/>
                <w:color w:val="auto"/>
              </w:rPr>
            </w:pPr>
            <w:r>
              <w:rPr>
                <w:rFonts w:ascii="Arial" w:cs="Arial" w:eastAsia="Arial" w:hAnsi="Arial"/>
                <w:sz w:val="12"/>
                <w:szCs w:val="12"/>
                <w:color w:val="auto"/>
              </w:rPr>
              <w:t>Foot Locker Australia, Inc.</w:t>
            </w:r>
          </w:p>
        </w:tc>
        <w:tc>
          <w:tcPr>
            <w:tcW w:w="4140" w:type="dxa"/>
            <w:vAlign w:val="bottom"/>
          </w:tcPr>
          <w:p>
            <w:pPr>
              <w:ind w:left="660"/>
              <w:spacing w:after="0"/>
              <w:rPr>
                <w:sz w:val="20"/>
                <w:szCs w:val="20"/>
                <w:color w:val="auto"/>
              </w:rPr>
            </w:pPr>
            <w:r>
              <w:rPr>
                <w:rFonts w:ascii="Arial" w:cs="Arial" w:eastAsia="Arial" w:hAnsi="Arial"/>
                <w:sz w:val="12"/>
                <w:szCs w:val="12"/>
                <w:color w:val="auto"/>
              </w:rPr>
              <w:t>Delaware</w:t>
            </w:r>
          </w:p>
        </w:tc>
      </w:tr>
      <w:tr>
        <w:trPr>
          <w:trHeight w:val="144"/>
        </w:trPr>
        <w:tc>
          <w:tcPr>
            <w:tcW w:w="3820" w:type="dxa"/>
            <w:vAlign w:val="bottom"/>
          </w:tcPr>
          <w:p>
            <w:pPr>
              <w:spacing w:after="0"/>
              <w:rPr>
                <w:sz w:val="20"/>
                <w:szCs w:val="20"/>
                <w:color w:val="auto"/>
              </w:rPr>
            </w:pPr>
            <w:r>
              <w:rPr>
                <w:rFonts w:ascii="Arial" w:cs="Arial" w:eastAsia="Arial" w:hAnsi="Arial"/>
                <w:sz w:val="12"/>
                <w:szCs w:val="12"/>
                <w:color w:val="auto"/>
              </w:rPr>
              <w:t>Foot Locker Austria GmbH</w:t>
            </w:r>
          </w:p>
        </w:tc>
        <w:tc>
          <w:tcPr>
            <w:tcW w:w="4140" w:type="dxa"/>
            <w:vAlign w:val="bottom"/>
          </w:tcPr>
          <w:p>
            <w:pPr>
              <w:ind w:left="660"/>
              <w:spacing w:after="0"/>
              <w:rPr>
                <w:sz w:val="20"/>
                <w:szCs w:val="20"/>
                <w:color w:val="auto"/>
              </w:rPr>
            </w:pPr>
            <w:r>
              <w:rPr>
                <w:rFonts w:ascii="Arial" w:cs="Arial" w:eastAsia="Arial" w:hAnsi="Arial"/>
                <w:sz w:val="12"/>
                <w:szCs w:val="12"/>
                <w:color w:val="auto"/>
              </w:rPr>
              <w:t>Austria</w:t>
            </w:r>
          </w:p>
        </w:tc>
      </w:tr>
      <w:tr>
        <w:trPr>
          <w:trHeight w:val="144"/>
        </w:trPr>
        <w:tc>
          <w:tcPr>
            <w:tcW w:w="3820" w:type="dxa"/>
            <w:vAlign w:val="bottom"/>
          </w:tcPr>
          <w:p>
            <w:pPr>
              <w:spacing w:after="0"/>
              <w:rPr>
                <w:sz w:val="20"/>
                <w:szCs w:val="20"/>
                <w:color w:val="auto"/>
              </w:rPr>
            </w:pPr>
            <w:r>
              <w:rPr>
                <w:rFonts w:ascii="Arial" w:cs="Arial" w:eastAsia="Arial" w:hAnsi="Arial"/>
                <w:sz w:val="12"/>
                <w:szCs w:val="12"/>
                <w:color w:val="auto"/>
              </w:rPr>
              <w:t>Foot Locker Belgium BVBA</w:t>
            </w:r>
          </w:p>
        </w:tc>
        <w:tc>
          <w:tcPr>
            <w:tcW w:w="4140" w:type="dxa"/>
            <w:vAlign w:val="bottom"/>
          </w:tcPr>
          <w:p>
            <w:pPr>
              <w:ind w:left="660"/>
              <w:spacing w:after="0"/>
              <w:rPr>
                <w:sz w:val="20"/>
                <w:szCs w:val="20"/>
                <w:color w:val="auto"/>
              </w:rPr>
            </w:pPr>
            <w:r>
              <w:rPr>
                <w:rFonts w:ascii="Arial" w:cs="Arial" w:eastAsia="Arial" w:hAnsi="Arial"/>
                <w:sz w:val="12"/>
                <w:szCs w:val="12"/>
                <w:color w:val="auto"/>
              </w:rPr>
              <w:t>Belgium</w:t>
            </w:r>
          </w:p>
        </w:tc>
      </w:tr>
      <w:tr>
        <w:trPr>
          <w:trHeight w:val="144"/>
        </w:trPr>
        <w:tc>
          <w:tcPr>
            <w:tcW w:w="3820" w:type="dxa"/>
            <w:vAlign w:val="bottom"/>
          </w:tcPr>
          <w:p>
            <w:pPr>
              <w:spacing w:after="0"/>
              <w:rPr>
                <w:sz w:val="20"/>
                <w:szCs w:val="20"/>
                <w:color w:val="auto"/>
              </w:rPr>
            </w:pPr>
            <w:r>
              <w:rPr>
                <w:rFonts w:ascii="Arial" w:cs="Arial" w:eastAsia="Arial" w:hAnsi="Arial"/>
                <w:sz w:val="12"/>
                <w:szCs w:val="12"/>
                <w:color w:val="auto"/>
              </w:rPr>
              <w:t>Foot Locker Canada Co.</w:t>
            </w:r>
          </w:p>
        </w:tc>
        <w:tc>
          <w:tcPr>
            <w:tcW w:w="4140" w:type="dxa"/>
            <w:vAlign w:val="bottom"/>
          </w:tcPr>
          <w:p>
            <w:pPr>
              <w:ind w:left="660"/>
              <w:spacing w:after="0"/>
              <w:rPr>
                <w:sz w:val="20"/>
                <w:szCs w:val="20"/>
                <w:color w:val="auto"/>
              </w:rPr>
            </w:pPr>
            <w:r>
              <w:rPr>
                <w:rFonts w:ascii="Arial" w:cs="Arial" w:eastAsia="Arial" w:hAnsi="Arial"/>
                <w:sz w:val="12"/>
                <w:szCs w:val="12"/>
                <w:color w:val="auto"/>
              </w:rPr>
              <w:t>Canada</w:t>
            </w:r>
          </w:p>
        </w:tc>
      </w:tr>
      <w:tr>
        <w:trPr>
          <w:trHeight w:val="144"/>
        </w:trPr>
        <w:tc>
          <w:tcPr>
            <w:tcW w:w="3820" w:type="dxa"/>
            <w:vAlign w:val="bottom"/>
          </w:tcPr>
          <w:p>
            <w:pPr>
              <w:spacing w:after="0"/>
              <w:rPr>
                <w:sz w:val="20"/>
                <w:szCs w:val="20"/>
                <w:color w:val="auto"/>
              </w:rPr>
            </w:pPr>
            <w:r>
              <w:rPr>
                <w:rFonts w:ascii="Arial" w:cs="Arial" w:eastAsia="Arial" w:hAnsi="Arial"/>
                <w:sz w:val="12"/>
                <w:szCs w:val="12"/>
                <w:color w:val="auto"/>
              </w:rPr>
              <w:t>Foot Locker Corporate Services, Inc.</w:t>
            </w:r>
          </w:p>
        </w:tc>
        <w:tc>
          <w:tcPr>
            <w:tcW w:w="4140" w:type="dxa"/>
            <w:vAlign w:val="bottom"/>
          </w:tcPr>
          <w:p>
            <w:pPr>
              <w:ind w:left="660"/>
              <w:spacing w:after="0"/>
              <w:rPr>
                <w:sz w:val="20"/>
                <w:szCs w:val="20"/>
                <w:color w:val="auto"/>
              </w:rPr>
            </w:pPr>
            <w:r>
              <w:rPr>
                <w:rFonts w:ascii="Arial" w:cs="Arial" w:eastAsia="Arial" w:hAnsi="Arial"/>
                <w:sz w:val="12"/>
                <w:szCs w:val="12"/>
                <w:color w:val="auto"/>
              </w:rPr>
              <w:t>Delaware</w:t>
            </w:r>
          </w:p>
        </w:tc>
      </w:tr>
      <w:tr>
        <w:trPr>
          <w:trHeight w:val="144"/>
        </w:trPr>
        <w:tc>
          <w:tcPr>
            <w:tcW w:w="3820" w:type="dxa"/>
            <w:vAlign w:val="bottom"/>
          </w:tcPr>
          <w:p>
            <w:pPr>
              <w:spacing w:after="0"/>
              <w:rPr>
                <w:sz w:val="20"/>
                <w:szCs w:val="20"/>
                <w:color w:val="auto"/>
              </w:rPr>
            </w:pPr>
            <w:r>
              <w:rPr>
                <w:rFonts w:ascii="Arial" w:cs="Arial" w:eastAsia="Arial" w:hAnsi="Arial"/>
                <w:sz w:val="12"/>
                <w:szCs w:val="12"/>
                <w:color w:val="auto"/>
              </w:rPr>
              <w:t>Foot Locker Czech Republic s.r.o.</w:t>
            </w:r>
          </w:p>
        </w:tc>
        <w:tc>
          <w:tcPr>
            <w:tcW w:w="4140" w:type="dxa"/>
            <w:vAlign w:val="bottom"/>
          </w:tcPr>
          <w:p>
            <w:pPr>
              <w:ind w:left="660"/>
              <w:spacing w:after="0"/>
              <w:rPr>
                <w:sz w:val="20"/>
                <w:szCs w:val="20"/>
                <w:color w:val="auto"/>
              </w:rPr>
            </w:pPr>
            <w:r>
              <w:rPr>
                <w:rFonts w:ascii="Arial" w:cs="Arial" w:eastAsia="Arial" w:hAnsi="Arial"/>
                <w:sz w:val="12"/>
                <w:szCs w:val="12"/>
                <w:color w:val="auto"/>
              </w:rPr>
              <w:t>Czech Republic</w:t>
            </w:r>
          </w:p>
        </w:tc>
      </w:tr>
      <w:tr>
        <w:trPr>
          <w:trHeight w:val="144"/>
        </w:trPr>
        <w:tc>
          <w:tcPr>
            <w:tcW w:w="3820" w:type="dxa"/>
            <w:vAlign w:val="bottom"/>
          </w:tcPr>
          <w:p>
            <w:pPr>
              <w:spacing w:after="0"/>
              <w:rPr>
                <w:sz w:val="20"/>
                <w:szCs w:val="20"/>
                <w:color w:val="auto"/>
              </w:rPr>
            </w:pPr>
            <w:r>
              <w:rPr>
                <w:rFonts w:ascii="Arial" w:cs="Arial" w:eastAsia="Arial" w:hAnsi="Arial"/>
                <w:sz w:val="12"/>
                <w:szCs w:val="12"/>
                <w:color w:val="auto"/>
              </w:rPr>
              <w:t>Foot Locker Denmark B.V.</w:t>
            </w:r>
          </w:p>
        </w:tc>
        <w:tc>
          <w:tcPr>
            <w:tcW w:w="4140" w:type="dxa"/>
            <w:vAlign w:val="bottom"/>
          </w:tcPr>
          <w:p>
            <w:pPr>
              <w:ind w:left="660"/>
              <w:spacing w:after="0"/>
              <w:rPr>
                <w:sz w:val="20"/>
                <w:szCs w:val="20"/>
                <w:color w:val="auto"/>
              </w:rPr>
            </w:pPr>
            <w:r>
              <w:rPr>
                <w:rFonts w:ascii="Arial" w:cs="Arial" w:eastAsia="Arial" w:hAnsi="Arial"/>
                <w:sz w:val="12"/>
                <w:szCs w:val="12"/>
                <w:color w:val="auto"/>
              </w:rPr>
              <w:t>Netherlands</w:t>
            </w:r>
          </w:p>
        </w:tc>
      </w:tr>
      <w:tr>
        <w:trPr>
          <w:trHeight w:val="144"/>
        </w:trPr>
        <w:tc>
          <w:tcPr>
            <w:tcW w:w="3820" w:type="dxa"/>
            <w:vAlign w:val="bottom"/>
          </w:tcPr>
          <w:p>
            <w:pPr>
              <w:spacing w:after="0"/>
              <w:rPr>
                <w:sz w:val="20"/>
                <w:szCs w:val="20"/>
                <w:color w:val="auto"/>
              </w:rPr>
            </w:pPr>
            <w:r>
              <w:rPr>
                <w:rFonts w:ascii="Arial" w:cs="Arial" w:eastAsia="Arial" w:hAnsi="Arial"/>
                <w:sz w:val="12"/>
                <w:szCs w:val="12"/>
                <w:color w:val="auto"/>
              </w:rPr>
              <w:t>Foot Locker Europe B.V.</w:t>
            </w:r>
          </w:p>
        </w:tc>
        <w:tc>
          <w:tcPr>
            <w:tcW w:w="4140" w:type="dxa"/>
            <w:vAlign w:val="bottom"/>
          </w:tcPr>
          <w:p>
            <w:pPr>
              <w:ind w:left="660"/>
              <w:spacing w:after="0"/>
              <w:rPr>
                <w:sz w:val="20"/>
                <w:szCs w:val="20"/>
                <w:color w:val="auto"/>
              </w:rPr>
            </w:pPr>
            <w:r>
              <w:rPr>
                <w:rFonts w:ascii="Arial" w:cs="Arial" w:eastAsia="Arial" w:hAnsi="Arial"/>
                <w:sz w:val="12"/>
                <w:szCs w:val="12"/>
                <w:color w:val="auto"/>
              </w:rPr>
              <w:t>Netherlands</w:t>
            </w:r>
          </w:p>
        </w:tc>
      </w:tr>
      <w:tr>
        <w:trPr>
          <w:trHeight w:val="144"/>
        </w:trPr>
        <w:tc>
          <w:tcPr>
            <w:tcW w:w="3820" w:type="dxa"/>
            <w:vAlign w:val="bottom"/>
          </w:tcPr>
          <w:p>
            <w:pPr>
              <w:spacing w:after="0"/>
              <w:rPr>
                <w:sz w:val="20"/>
                <w:szCs w:val="20"/>
                <w:color w:val="auto"/>
              </w:rPr>
            </w:pPr>
            <w:r>
              <w:rPr>
                <w:rFonts w:ascii="Arial" w:cs="Arial" w:eastAsia="Arial" w:hAnsi="Arial"/>
                <w:sz w:val="12"/>
                <w:szCs w:val="12"/>
                <w:color w:val="auto"/>
              </w:rPr>
              <w:t>Foot Locker Europe.com B.V.</w:t>
            </w:r>
          </w:p>
        </w:tc>
        <w:tc>
          <w:tcPr>
            <w:tcW w:w="4140" w:type="dxa"/>
            <w:vAlign w:val="bottom"/>
          </w:tcPr>
          <w:p>
            <w:pPr>
              <w:ind w:left="660"/>
              <w:spacing w:after="0"/>
              <w:rPr>
                <w:sz w:val="20"/>
                <w:szCs w:val="20"/>
                <w:color w:val="auto"/>
              </w:rPr>
            </w:pPr>
            <w:r>
              <w:rPr>
                <w:rFonts w:ascii="Arial" w:cs="Arial" w:eastAsia="Arial" w:hAnsi="Arial"/>
                <w:sz w:val="12"/>
                <w:szCs w:val="12"/>
                <w:color w:val="auto"/>
              </w:rPr>
              <w:t>Netherlands</w:t>
            </w:r>
          </w:p>
        </w:tc>
      </w:tr>
      <w:tr>
        <w:trPr>
          <w:trHeight w:val="144"/>
        </w:trPr>
        <w:tc>
          <w:tcPr>
            <w:tcW w:w="3820" w:type="dxa"/>
            <w:vAlign w:val="bottom"/>
          </w:tcPr>
          <w:p>
            <w:pPr>
              <w:spacing w:after="0"/>
              <w:rPr>
                <w:sz w:val="20"/>
                <w:szCs w:val="20"/>
                <w:color w:val="auto"/>
              </w:rPr>
            </w:pPr>
            <w:r>
              <w:rPr>
                <w:rFonts w:ascii="Arial" w:cs="Arial" w:eastAsia="Arial" w:hAnsi="Arial"/>
                <w:sz w:val="12"/>
                <w:szCs w:val="12"/>
                <w:color w:val="auto"/>
              </w:rPr>
              <w:t>Foot Locker France S.A.S.</w:t>
            </w:r>
          </w:p>
        </w:tc>
        <w:tc>
          <w:tcPr>
            <w:tcW w:w="4140" w:type="dxa"/>
            <w:vAlign w:val="bottom"/>
          </w:tcPr>
          <w:p>
            <w:pPr>
              <w:ind w:left="660"/>
              <w:spacing w:after="0"/>
              <w:rPr>
                <w:sz w:val="20"/>
                <w:szCs w:val="20"/>
                <w:color w:val="auto"/>
              </w:rPr>
            </w:pPr>
            <w:r>
              <w:rPr>
                <w:rFonts w:ascii="Arial" w:cs="Arial" w:eastAsia="Arial" w:hAnsi="Arial"/>
                <w:sz w:val="12"/>
                <w:szCs w:val="12"/>
                <w:color w:val="auto"/>
              </w:rPr>
              <w:t>France</w:t>
            </w:r>
          </w:p>
        </w:tc>
      </w:tr>
      <w:tr>
        <w:trPr>
          <w:trHeight w:val="144"/>
        </w:trPr>
        <w:tc>
          <w:tcPr>
            <w:tcW w:w="3820" w:type="dxa"/>
            <w:vAlign w:val="bottom"/>
          </w:tcPr>
          <w:p>
            <w:pPr>
              <w:spacing w:after="0"/>
              <w:rPr>
                <w:sz w:val="20"/>
                <w:szCs w:val="20"/>
                <w:color w:val="auto"/>
              </w:rPr>
            </w:pPr>
            <w:r>
              <w:rPr>
                <w:rFonts w:ascii="Arial" w:cs="Arial" w:eastAsia="Arial" w:hAnsi="Arial"/>
                <w:sz w:val="12"/>
                <w:szCs w:val="12"/>
                <w:color w:val="auto"/>
              </w:rPr>
              <w:t>Foot Locker Germany GmbH &amp; Co. KG</w:t>
            </w:r>
          </w:p>
        </w:tc>
        <w:tc>
          <w:tcPr>
            <w:tcW w:w="4140" w:type="dxa"/>
            <w:vAlign w:val="bottom"/>
          </w:tcPr>
          <w:p>
            <w:pPr>
              <w:ind w:left="660"/>
              <w:spacing w:after="0"/>
              <w:rPr>
                <w:sz w:val="20"/>
                <w:szCs w:val="20"/>
                <w:color w:val="auto"/>
              </w:rPr>
            </w:pPr>
            <w:r>
              <w:rPr>
                <w:rFonts w:ascii="Arial" w:cs="Arial" w:eastAsia="Arial" w:hAnsi="Arial"/>
                <w:sz w:val="12"/>
                <w:szCs w:val="12"/>
                <w:color w:val="auto"/>
              </w:rPr>
              <w:t>Germany</w:t>
            </w:r>
          </w:p>
        </w:tc>
      </w:tr>
      <w:tr>
        <w:trPr>
          <w:trHeight w:val="144"/>
        </w:trPr>
        <w:tc>
          <w:tcPr>
            <w:tcW w:w="3820" w:type="dxa"/>
            <w:vAlign w:val="bottom"/>
          </w:tcPr>
          <w:p>
            <w:pPr>
              <w:spacing w:after="0"/>
              <w:rPr>
                <w:sz w:val="20"/>
                <w:szCs w:val="20"/>
                <w:color w:val="auto"/>
              </w:rPr>
            </w:pPr>
            <w:r>
              <w:rPr>
                <w:rFonts w:ascii="Arial" w:cs="Arial" w:eastAsia="Arial" w:hAnsi="Arial"/>
                <w:sz w:val="12"/>
                <w:szCs w:val="12"/>
                <w:color w:val="auto"/>
              </w:rPr>
              <w:t>Foot Locker Greece Athletic Goods Ltd.</w:t>
            </w:r>
          </w:p>
        </w:tc>
        <w:tc>
          <w:tcPr>
            <w:tcW w:w="4140" w:type="dxa"/>
            <w:vAlign w:val="bottom"/>
          </w:tcPr>
          <w:p>
            <w:pPr>
              <w:ind w:left="660"/>
              <w:spacing w:after="0"/>
              <w:rPr>
                <w:sz w:val="20"/>
                <w:szCs w:val="20"/>
                <w:color w:val="auto"/>
              </w:rPr>
            </w:pPr>
            <w:r>
              <w:rPr>
                <w:rFonts w:ascii="Arial" w:cs="Arial" w:eastAsia="Arial" w:hAnsi="Arial"/>
                <w:sz w:val="12"/>
                <w:szCs w:val="12"/>
                <w:color w:val="auto"/>
              </w:rPr>
              <w:t>Greece</w:t>
            </w:r>
          </w:p>
        </w:tc>
      </w:tr>
      <w:tr>
        <w:trPr>
          <w:trHeight w:val="144"/>
        </w:trPr>
        <w:tc>
          <w:tcPr>
            <w:tcW w:w="3820" w:type="dxa"/>
            <w:vAlign w:val="bottom"/>
          </w:tcPr>
          <w:p>
            <w:pPr>
              <w:spacing w:after="0"/>
              <w:rPr>
                <w:sz w:val="20"/>
                <w:szCs w:val="20"/>
                <w:color w:val="auto"/>
              </w:rPr>
            </w:pPr>
            <w:r>
              <w:rPr>
                <w:rFonts w:ascii="Arial" w:cs="Arial" w:eastAsia="Arial" w:hAnsi="Arial"/>
                <w:sz w:val="12"/>
                <w:szCs w:val="12"/>
                <w:color w:val="auto"/>
              </w:rPr>
              <w:t>Foot Locker Hong Kong Ltd.</w:t>
            </w:r>
          </w:p>
        </w:tc>
        <w:tc>
          <w:tcPr>
            <w:tcW w:w="4140" w:type="dxa"/>
            <w:vAlign w:val="bottom"/>
          </w:tcPr>
          <w:p>
            <w:pPr>
              <w:ind w:left="660"/>
              <w:spacing w:after="0"/>
              <w:rPr>
                <w:sz w:val="20"/>
                <w:szCs w:val="20"/>
                <w:color w:val="auto"/>
              </w:rPr>
            </w:pPr>
            <w:r>
              <w:rPr>
                <w:rFonts w:ascii="Arial" w:cs="Arial" w:eastAsia="Arial" w:hAnsi="Arial"/>
                <w:sz w:val="12"/>
                <w:szCs w:val="12"/>
                <w:color w:val="auto"/>
              </w:rPr>
              <w:t>Hong Kong</w:t>
            </w:r>
          </w:p>
        </w:tc>
      </w:tr>
      <w:tr>
        <w:trPr>
          <w:trHeight w:val="144"/>
        </w:trPr>
        <w:tc>
          <w:tcPr>
            <w:tcW w:w="3820" w:type="dxa"/>
            <w:vAlign w:val="bottom"/>
          </w:tcPr>
          <w:p>
            <w:pPr>
              <w:spacing w:after="0"/>
              <w:rPr>
                <w:sz w:val="20"/>
                <w:szCs w:val="20"/>
                <w:color w:val="auto"/>
              </w:rPr>
            </w:pPr>
            <w:r>
              <w:rPr>
                <w:rFonts w:ascii="Arial" w:cs="Arial" w:eastAsia="Arial" w:hAnsi="Arial"/>
                <w:sz w:val="12"/>
                <w:szCs w:val="12"/>
                <w:color w:val="auto"/>
              </w:rPr>
              <w:t>Foot Locker Hungary Kft.</w:t>
            </w:r>
          </w:p>
        </w:tc>
        <w:tc>
          <w:tcPr>
            <w:tcW w:w="4140" w:type="dxa"/>
            <w:vAlign w:val="bottom"/>
          </w:tcPr>
          <w:p>
            <w:pPr>
              <w:ind w:left="660"/>
              <w:spacing w:after="0"/>
              <w:rPr>
                <w:sz w:val="20"/>
                <w:szCs w:val="20"/>
                <w:color w:val="auto"/>
              </w:rPr>
            </w:pPr>
            <w:r>
              <w:rPr>
                <w:rFonts w:ascii="Arial" w:cs="Arial" w:eastAsia="Arial" w:hAnsi="Arial"/>
                <w:sz w:val="12"/>
                <w:szCs w:val="12"/>
                <w:color w:val="auto"/>
              </w:rPr>
              <w:t>Hungary</w:t>
            </w:r>
          </w:p>
        </w:tc>
      </w:tr>
      <w:tr>
        <w:trPr>
          <w:trHeight w:val="144"/>
        </w:trPr>
        <w:tc>
          <w:tcPr>
            <w:tcW w:w="3820" w:type="dxa"/>
            <w:vAlign w:val="bottom"/>
          </w:tcPr>
          <w:p>
            <w:pPr>
              <w:spacing w:after="0"/>
              <w:rPr>
                <w:sz w:val="20"/>
                <w:szCs w:val="20"/>
                <w:color w:val="auto"/>
              </w:rPr>
            </w:pPr>
            <w:r>
              <w:rPr>
                <w:rFonts w:ascii="Arial" w:cs="Arial" w:eastAsia="Arial" w:hAnsi="Arial"/>
                <w:sz w:val="12"/>
                <w:szCs w:val="12"/>
                <w:color w:val="auto"/>
              </w:rPr>
              <w:t>Foot Locker Italy S.r.l.</w:t>
            </w:r>
          </w:p>
        </w:tc>
        <w:tc>
          <w:tcPr>
            <w:tcW w:w="4140" w:type="dxa"/>
            <w:vAlign w:val="bottom"/>
          </w:tcPr>
          <w:p>
            <w:pPr>
              <w:ind w:left="660"/>
              <w:spacing w:after="0"/>
              <w:rPr>
                <w:sz w:val="20"/>
                <w:szCs w:val="20"/>
                <w:color w:val="auto"/>
              </w:rPr>
            </w:pPr>
            <w:r>
              <w:rPr>
                <w:rFonts w:ascii="Arial" w:cs="Arial" w:eastAsia="Arial" w:hAnsi="Arial"/>
                <w:sz w:val="12"/>
                <w:szCs w:val="12"/>
                <w:color w:val="auto"/>
              </w:rPr>
              <w:t>Italy</w:t>
            </w:r>
          </w:p>
        </w:tc>
      </w:tr>
      <w:tr>
        <w:trPr>
          <w:trHeight w:val="144"/>
        </w:trPr>
        <w:tc>
          <w:tcPr>
            <w:tcW w:w="3820" w:type="dxa"/>
            <w:vAlign w:val="bottom"/>
          </w:tcPr>
          <w:p>
            <w:pPr>
              <w:spacing w:after="0"/>
              <w:rPr>
                <w:sz w:val="20"/>
                <w:szCs w:val="20"/>
                <w:color w:val="auto"/>
              </w:rPr>
            </w:pPr>
            <w:r>
              <w:rPr>
                <w:rFonts w:ascii="Arial" w:cs="Arial" w:eastAsia="Arial" w:hAnsi="Arial"/>
                <w:sz w:val="12"/>
                <w:szCs w:val="12"/>
                <w:color w:val="auto"/>
              </w:rPr>
              <w:t>Foot Locker Korea LLC.</w:t>
            </w:r>
          </w:p>
        </w:tc>
        <w:tc>
          <w:tcPr>
            <w:tcW w:w="4140" w:type="dxa"/>
            <w:vAlign w:val="bottom"/>
          </w:tcPr>
          <w:p>
            <w:pPr>
              <w:ind w:left="660"/>
              <w:spacing w:after="0"/>
              <w:rPr>
                <w:sz w:val="20"/>
                <w:szCs w:val="20"/>
                <w:color w:val="auto"/>
              </w:rPr>
            </w:pPr>
            <w:r>
              <w:rPr>
                <w:rFonts w:ascii="Arial" w:cs="Arial" w:eastAsia="Arial" w:hAnsi="Arial"/>
                <w:sz w:val="12"/>
                <w:szCs w:val="12"/>
                <w:color w:val="auto"/>
              </w:rPr>
              <w:t>South Korea</w:t>
            </w:r>
          </w:p>
        </w:tc>
      </w:tr>
      <w:tr>
        <w:trPr>
          <w:trHeight w:val="144"/>
        </w:trPr>
        <w:tc>
          <w:tcPr>
            <w:tcW w:w="3820" w:type="dxa"/>
            <w:vAlign w:val="bottom"/>
          </w:tcPr>
          <w:p>
            <w:pPr>
              <w:spacing w:after="0"/>
              <w:rPr>
                <w:sz w:val="20"/>
                <w:szCs w:val="20"/>
                <w:color w:val="auto"/>
              </w:rPr>
            </w:pPr>
            <w:r>
              <w:rPr>
                <w:rFonts w:ascii="Arial" w:cs="Arial" w:eastAsia="Arial" w:hAnsi="Arial"/>
                <w:sz w:val="12"/>
                <w:szCs w:val="12"/>
                <w:color w:val="auto"/>
              </w:rPr>
              <w:t>Foot Locker Macau</w:t>
            </w:r>
          </w:p>
        </w:tc>
        <w:tc>
          <w:tcPr>
            <w:tcW w:w="4140" w:type="dxa"/>
            <w:vAlign w:val="bottom"/>
          </w:tcPr>
          <w:p>
            <w:pPr>
              <w:ind w:left="660"/>
              <w:spacing w:after="0"/>
              <w:rPr>
                <w:sz w:val="20"/>
                <w:szCs w:val="20"/>
                <w:color w:val="auto"/>
              </w:rPr>
            </w:pPr>
            <w:r>
              <w:rPr>
                <w:rFonts w:ascii="Arial" w:cs="Arial" w:eastAsia="Arial" w:hAnsi="Arial"/>
                <w:sz w:val="12"/>
                <w:szCs w:val="12"/>
                <w:color w:val="auto"/>
              </w:rPr>
              <w:t>Macau</w:t>
            </w:r>
          </w:p>
        </w:tc>
      </w:tr>
      <w:tr>
        <w:trPr>
          <w:trHeight w:val="144"/>
        </w:trPr>
        <w:tc>
          <w:tcPr>
            <w:tcW w:w="3820" w:type="dxa"/>
            <w:vAlign w:val="bottom"/>
          </w:tcPr>
          <w:p>
            <w:pPr>
              <w:spacing w:after="0"/>
              <w:rPr>
                <w:sz w:val="20"/>
                <w:szCs w:val="20"/>
                <w:color w:val="auto"/>
              </w:rPr>
            </w:pPr>
            <w:r>
              <w:rPr>
                <w:rFonts w:ascii="Arial" w:cs="Arial" w:eastAsia="Arial" w:hAnsi="Arial"/>
                <w:sz w:val="12"/>
                <w:szCs w:val="12"/>
                <w:color w:val="auto"/>
              </w:rPr>
              <w:t>Foot Locker Malaysia Sdn. Bhd.</w:t>
            </w:r>
          </w:p>
        </w:tc>
        <w:tc>
          <w:tcPr>
            <w:tcW w:w="4140" w:type="dxa"/>
            <w:vAlign w:val="bottom"/>
          </w:tcPr>
          <w:p>
            <w:pPr>
              <w:ind w:left="660"/>
              <w:spacing w:after="0"/>
              <w:rPr>
                <w:sz w:val="20"/>
                <w:szCs w:val="20"/>
                <w:color w:val="auto"/>
              </w:rPr>
            </w:pPr>
            <w:r>
              <w:rPr>
                <w:rFonts w:ascii="Arial" w:cs="Arial" w:eastAsia="Arial" w:hAnsi="Arial"/>
                <w:sz w:val="12"/>
                <w:szCs w:val="12"/>
                <w:color w:val="auto"/>
              </w:rPr>
              <w:t>Malaysia</w:t>
            </w:r>
          </w:p>
        </w:tc>
      </w:tr>
      <w:tr>
        <w:trPr>
          <w:trHeight w:val="144"/>
        </w:trPr>
        <w:tc>
          <w:tcPr>
            <w:tcW w:w="3820" w:type="dxa"/>
            <w:vAlign w:val="bottom"/>
          </w:tcPr>
          <w:p>
            <w:pPr>
              <w:spacing w:after="0"/>
              <w:rPr>
                <w:sz w:val="20"/>
                <w:szCs w:val="20"/>
                <w:color w:val="auto"/>
              </w:rPr>
            </w:pPr>
            <w:r>
              <w:rPr>
                <w:rFonts w:ascii="Arial" w:cs="Arial" w:eastAsia="Arial" w:hAnsi="Arial"/>
                <w:sz w:val="12"/>
                <w:szCs w:val="12"/>
                <w:color w:val="auto"/>
              </w:rPr>
              <w:t>Foot Locker Netherlands B.V.</w:t>
            </w:r>
          </w:p>
        </w:tc>
        <w:tc>
          <w:tcPr>
            <w:tcW w:w="4140" w:type="dxa"/>
            <w:vAlign w:val="bottom"/>
          </w:tcPr>
          <w:p>
            <w:pPr>
              <w:ind w:left="660"/>
              <w:spacing w:after="0"/>
              <w:rPr>
                <w:sz w:val="20"/>
                <w:szCs w:val="20"/>
                <w:color w:val="auto"/>
              </w:rPr>
            </w:pPr>
            <w:r>
              <w:rPr>
                <w:rFonts w:ascii="Arial" w:cs="Arial" w:eastAsia="Arial" w:hAnsi="Arial"/>
                <w:sz w:val="12"/>
                <w:szCs w:val="12"/>
                <w:color w:val="auto"/>
              </w:rPr>
              <w:t>Netherlands</w:t>
            </w:r>
          </w:p>
        </w:tc>
      </w:tr>
      <w:tr>
        <w:trPr>
          <w:trHeight w:val="144"/>
        </w:trPr>
        <w:tc>
          <w:tcPr>
            <w:tcW w:w="3820" w:type="dxa"/>
            <w:vAlign w:val="bottom"/>
          </w:tcPr>
          <w:p>
            <w:pPr>
              <w:spacing w:after="0"/>
              <w:rPr>
                <w:sz w:val="20"/>
                <w:szCs w:val="20"/>
                <w:color w:val="auto"/>
              </w:rPr>
            </w:pPr>
            <w:r>
              <w:rPr>
                <w:rFonts w:ascii="Arial" w:cs="Arial" w:eastAsia="Arial" w:hAnsi="Arial"/>
                <w:sz w:val="12"/>
                <w:szCs w:val="12"/>
                <w:color w:val="auto"/>
              </w:rPr>
              <w:t>Foot Locker New Zealand, Inc.</w:t>
            </w:r>
          </w:p>
        </w:tc>
        <w:tc>
          <w:tcPr>
            <w:tcW w:w="4140" w:type="dxa"/>
            <w:vAlign w:val="bottom"/>
          </w:tcPr>
          <w:p>
            <w:pPr>
              <w:ind w:left="660"/>
              <w:spacing w:after="0"/>
              <w:rPr>
                <w:sz w:val="20"/>
                <w:szCs w:val="20"/>
                <w:color w:val="auto"/>
              </w:rPr>
            </w:pPr>
            <w:r>
              <w:rPr>
                <w:rFonts w:ascii="Arial" w:cs="Arial" w:eastAsia="Arial" w:hAnsi="Arial"/>
                <w:sz w:val="12"/>
                <w:szCs w:val="12"/>
                <w:color w:val="auto"/>
              </w:rPr>
              <w:t>Delaware</w:t>
            </w:r>
          </w:p>
        </w:tc>
      </w:tr>
      <w:tr>
        <w:trPr>
          <w:trHeight w:val="144"/>
        </w:trPr>
        <w:tc>
          <w:tcPr>
            <w:tcW w:w="3820" w:type="dxa"/>
            <w:vAlign w:val="bottom"/>
          </w:tcPr>
          <w:p>
            <w:pPr>
              <w:spacing w:after="0"/>
              <w:rPr>
                <w:sz w:val="20"/>
                <w:szCs w:val="20"/>
                <w:color w:val="auto"/>
              </w:rPr>
            </w:pPr>
            <w:r>
              <w:rPr>
                <w:rFonts w:ascii="Arial" w:cs="Arial" w:eastAsia="Arial" w:hAnsi="Arial"/>
                <w:sz w:val="12"/>
                <w:szCs w:val="12"/>
                <w:color w:val="auto"/>
              </w:rPr>
              <w:t>Foot Locker Norway B.V.</w:t>
            </w:r>
          </w:p>
        </w:tc>
        <w:tc>
          <w:tcPr>
            <w:tcW w:w="4140" w:type="dxa"/>
            <w:vAlign w:val="bottom"/>
          </w:tcPr>
          <w:p>
            <w:pPr>
              <w:ind w:left="660"/>
              <w:spacing w:after="0"/>
              <w:rPr>
                <w:sz w:val="20"/>
                <w:szCs w:val="20"/>
                <w:color w:val="auto"/>
              </w:rPr>
            </w:pPr>
            <w:r>
              <w:rPr>
                <w:rFonts w:ascii="Arial" w:cs="Arial" w:eastAsia="Arial" w:hAnsi="Arial"/>
                <w:sz w:val="12"/>
                <w:szCs w:val="12"/>
                <w:color w:val="auto"/>
              </w:rPr>
              <w:t>Netherlands</w:t>
            </w:r>
          </w:p>
        </w:tc>
      </w:tr>
      <w:tr>
        <w:trPr>
          <w:trHeight w:val="144"/>
        </w:trPr>
        <w:tc>
          <w:tcPr>
            <w:tcW w:w="3820" w:type="dxa"/>
            <w:vAlign w:val="bottom"/>
          </w:tcPr>
          <w:p>
            <w:pPr>
              <w:spacing w:after="0"/>
              <w:rPr>
                <w:sz w:val="20"/>
                <w:szCs w:val="20"/>
                <w:color w:val="auto"/>
              </w:rPr>
            </w:pPr>
            <w:r>
              <w:rPr>
                <w:rFonts w:ascii="Arial" w:cs="Arial" w:eastAsia="Arial" w:hAnsi="Arial"/>
                <w:sz w:val="12"/>
                <w:szCs w:val="12"/>
                <w:color w:val="auto"/>
              </w:rPr>
              <w:t>Foot Locker Poland Sp. z o.o.</w:t>
            </w:r>
          </w:p>
        </w:tc>
        <w:tc>
          <w:tcPr>
            <w:tcW w:w="4140" w:type="dxa"/>
            <w:vAlign w:val="bottom"/>
          </w:tcPr>
          <w:p>
            <w:pPr>
              <w:ind w:left="660"/>
              <w:spacing w:after="0"/>
              <w:rPr>
                <w:sz w:val="20"/>
                <w:szCs w:val="20"/>
                <w:color w:val="auto"/>
              </w:rPr>
            </w:pPr>
            <w:r>
              <w:rPr>
                <w:rFonts w:ascii="Arial" w:cs="Arial" w:eastAsia="Arial" w:hAnsi="Arial"/>
                <w:sz w:val="12"/>
                <w:szCs w:val="12"/>
                <w:color w:val="auto"/>
              </w:rPr>
              <w:t>Poland</w:t>
            </w:r>
          </w:p>
        </w:tc>
      </w:tr>
      <w:tr>
        <w:trPr>
          <w:trHeight w:val="144"/>
        </w:trPr>
        <w:tc>
          <w:tcPr>
            <w:tcW w:w="3820" w:type="dxa"/>
            <w:vAlign w:val="bottom"/>
          </w:tcPr>
          <w:p>
            <w:pPr>
              <w:spacing w:after="0"/>
              <w:rPr>
                <w:sz w:val="20"/>
                <w:szCs w:val="20"/>
                <w:color w:val="auto"/>
              </w:rPr>
            </w:pPr>
            <w:r>
              <w:rPr>
                <w:rFonts w:ascii="Arial" w:cs="Arial" w:eastAsia="Arial" w:hAnsi="Arial"/>
                <w:sz w:val="12"/>
                <w:szCs w:val="12"/>
                <w:color w:val="auto"/>
              </w:rPr>
              <w:t>Foot Locker Retail Ireland Limited</w:t>
            </w:r>
          </w:p>
        </w:tc>
        <w:tc>
          <w:tcPr>
            <w:tcW w:w="4140" w:type="dxa"/>
            <w:vAlign w:val="bottom"/>
          </w:tcPr>
          <w:p>
            <w:pPr>
              <w:ind w:left="660"/>
              <w:spacing w:after="0"/>
              <w:rPr>
                <w:sz w:val="20"/>
                <w:szCs w:val="20"/>
                <w:color w:val="auto"/>
              </w:rPr>
            </w:pPr>
            <w:r>
              <w:rPr>
                <w:rFonts w:ascii="Arial" w:cs="Arial" w:eastAsia="Arial" w:hAnsi="Arial"/>
                <w:sz w:val="12"/>
                <w:szCs w:val="12"/>
                <w:color w:val="auto"/>
              </w:rPr>
              <w:t>Ireland</w:t>
            </w:r>
          </w:p>
        </w:tc>
      </w:tr>
      <w:tr>
        <w:trPr>
          <w:trHeight w:val="144"/>
        </w:trPr>
        <w:tc>
          <w:tcPr>
            <w:tcW w:w="3820" w:type="dxa"/>
            <w:vAlign w:val="bottom"/>
          </w:tcPr>
          <w:p>
            <w:pPr>
              <w:spacing w:after="0"/>
              <w:rPr>
                <w:sz w:val="20"/>
                <w:szCs w:val="20"/>
                <w:color w:val="auto"/>
              </w:rPr>
            </w:pPr>
            <w:r>
              <w:rPr>
                <w:rFonts w:ascii="Arial" w:cs="Arial" w:eastAsia="Arial" w:hAnsi="Arial"/>
                <w:sz w:val="12"/>
                <w:szCs w:val="12"/>
                <w:color w:val="auto"/>
              </w:rPr>
              <w:t>Foot Locker Retail, Inc.</w:t>
            </w:r>
          </w:p>
        </w:tc>
        <w:tc>
          <w:tcPr>
            <w:tcW w:w="4140" w:type="dxa"/>
            <w:vAlign w:val="bottom"/>
          </w:tcPr>
          <w:p>
            <w:pPr>
              <w:ind w:left="660"/>
              <w:spacing w:after="0"/>
              <w:rPr>
                <w:sz w:val="20"/>
                <w:szCs w:val="20"/>
                <w:color w:val="auto"/>
              </w:rPr>
            </w:pPr>
            <w:r>
              <w:rPr>
                <w:rFonts w:ascii="Arial" w:cs="Arial" w:eastAsia="Arial" w:hAnsi="Arial"/>
                <w:sz w:val="12"/>
                <w:szCs w:val="12"/>
                <w:color w:val="auto"/>
              </w:rPr>
              <w:t>New York</w:t>
            </w:r>
          </w:p>
        </w:tc>
      </w:tr>
      <w:tr>
        <w:trPr>
          <w:trHeight w:val="144"/>
        </w:trPr>
        <w:tc>
          <w:tcPr>
            <w:tcW w:w="3820" w:type="dxa"/>
            <w:vAlign w:val="bottom"/>
          </w:tcPr>
          <w:p>
            <w:pPr>
              <w:spacing w:after="0"/>
              <w:rPr>
                <w:sz w:val="20"/>
                <w:szCs w:val="20"/>
                <w:color w:val="auto"/>
              </w:rPr>
            </w:pPr>
            <w:r>
              <w:rPr>
                <w:rFonts w:ascii="Arial" w:cs="Arial" w:eastAsia="Arial" w:hAnsi="Arial"/>
                <w:sz w:val="12"/>
                <w:szCs w:val="12"/>
                <w:color w:val="auto"/>
              </w:rPr>
              <w:t>Foot Locker Scandinavia B.V.</w:t>
            </w:r>
          </w:p>
        </w:tc>
        <w:tc>
          <w:tcPr>
            <w:tcW w:w="4140" w:type="dxa"/>
            <w:vAlign w:val="bottom"/>
          </w:tcPr>
          <w:p>
            <w:pPr>
              <w:ind w:left="660"/>
              <w:spacing w:after="0"/>
              <w:rPr>
                <w:sz w:val="20"/>
                <w:szCs w:val="20"/>
                <w:color w:val="auto"/>
              </w:rPr>
            </w:pPr>
            <w:r>
              <w:rPr>
                <w:rFonts w:ascii="Arial" w:cs="Arial" w:eastAsia="Arial" w:hAnsi="Arial"/>
                <w:sz w:val="12"/>
                <w:szCs w:val="12"/>
                <w:color w:val="auto"/>
              </w:rPr>
              <w:t>Netherlands</w:t>
            </w:r>
          </w:p>
        </w:tc>
      </w:tr>
      <w:tr>
        <w:trPr>
          <w:trHeight w:val="144"/>
        </w:trPr>
        <w:tc>
          <w:tcPr>
            <w:tcW w:w="3820" w:type="dxa"/>
            <w:vAlign w:val="bottom"/>
          </w:tcPr>
          <w:p>
            <w:pPr>
              <w:spacing w:after="0"/>
              <w:rPr>
                <w:sz w:val="20"/>
                <w:szCs w:val="20"/>
                <w:color w:val="auto"/>
              </w:rPr>
            </w:pPr>
            <w:r>
              <w:rPr>
                <w:rFonts w:ascii="Arial" w:cs="Arial" w:eastAsia="Arial" w:hAnsi="Arial"/>
                <w:sz w:val="12"/>
                <w:szCs w:val="12"/>
                <w:color w:val="auto"/>
              </w:rPr>
              <w:t>Foot Locker Singapore Pte. Ltd.</w:t>
            </w:r>
          </w:p>
        </w:tc>
        <w:tc>
          <w:tcPr>
            <w:tcW w:w="4140" w:type="dxa"/>
            <w:vAlign w:val="bottom"/>
          </w:tcPr>
          <w:p>
            <w:pPr>
              <w:ind w:left="660"/>
              <w:spacing w:after="0"/>
              <w:rPr>
                <w:sz w:val="20"/>
                <w:szCs w:val="20"/>
                <w:color w:val="auto"/>
              </w:rPr>
            </w:pPr>
            <w:r>
              <w:rPr>
                <w:rFonts w:ascii="Arial" w:cs="Arial" w:eastAsia="Arial" w:hAnsi="Arial"/>
                <w:sz w:val="12"/>
                <w:szCs w:val="12"/>
                <w:color w:val="auto"/>
              </w:rPr>
              <w:t>Singapore</w:t>
            </w:r>
          </w:p>
        </w:tc>
      </w:tr>
      <w:tr>
        <w:trPr>
          <w:trHeight w:val="144"/>
        </w:trPr>
        <w:tc>
          <w:tcPr>
            <w:tcW w:w="3820" w:type="dxa"/>
            <w:vAlign w:val="bottom"/>
          </w:tcPr>
          <w:p>
            <w:pPr>
              <w:spacing w:after="0"/>
              <w:rPr>
                <w:sz w:val="20"/>
                <w:szCs w:val="20"/>
                <w:color w:val="auto"/>
              </w:rPr>
            </w:pPr>
            <w:r>
              <w:rPr>
                <w:rFonts w:ascii="Arial" w:cs="Arial" w:eastAsia="Arial" w:hAnsi="Arial"/>
                <w:sz w:val="12"/>
                <w:szCs w:val="12"/>
                <w:color w:val="auto"/>
              </w:rPr>
              <w:t>Foot Locker Sourcing, Inc.</w:t>
            </w:r>
          </w:p>
        </w:tc>
        <w:tc>
          <w:tcPr>
            <w:tcW w:w="4140" w:type="dxa"/>
            <w:vAlign w:val="bottom"/>
          </w:tcPr>
          <w:p>
            <w:pPr>
              <w:ind w:left="660"/>
              <w:spacing w:after="0"/>
              <w:rPr>
                <w:sz w:val="20"/>
                <w:szCs w:val="20"/>
                <w:color w:val="auto"/>
              </w:rPr>
            </w:pPr>
            <w:r>
              <w:rPr>
                <w:rFonts w:ascii="Arial" w:cs="Arial" w:eastAsia="Arial" w:hAnsi="Arial"/>
                <w:sz w:val="12"/>
                <w:szCs w:val="12"/>
                <w:color w:val="auto"/>
              </w:rPr>
              <w:t>Delaware</w:t>
            </w:r>
          </w:p>
        </w:tc>
      </w:tr>
      <w:tr>
        <w:trPr>
          <w:trHeight w:val="144"/>
        </w:trPr>
        <w:tc>
          <w:tcPr>
            <w:tcW w:w="3820" w:type="dxa"/>
            <w:vAlign w:val="bottom"/>
          </w:tcPr>
          <w:p>
            <w:pPr>
              <w:spacing w:after="0"/>
              <w:rPr>
                <w:sz w:val="20"/>
                <w:szCs w:val="20"/>
                <w:color w:val="auto"/>
              </w:rPr>
            </w:pPr>
            <w:r>
              <w:rPr>
                <w:rFonts w:ascii="Arial" w:cs="Arial" w:eastAsia="Arial" w:hAnsi="Arial"/>
                <w:sz w:val="12"/>
                <w:szCs w:val="12"/>
                <w:color w:val="auto"/>
              </w:rPr>
              <w:t>Foot Locker Spain S.L.</w:t>
            </w:r>
          </w:p>
        </w:tc>
        <w:tc>
          <w:tcPr>
            <w:tcW w:w="4140" w:type="dxa"/>
            <w:vAlign w:val="bottom"/>
          </w:tcPr>
          <w:p>
            <w:pPr>
              <w:ind w:left="660"/>
              <w:spacing w:after="0"/>
              <w:rPr>
                <w:sz w:val="20"/>
                <w:szCs w:val="20"/>
                <w:color w:val="auto"/>
              </w:rPr>
            </w:pPr>
            <w:r>
              <w:rPr>
                <w:rFonts w:ascii="Arial" w:cs="Arial" w:eastAsia="Arial" w:hAnsi="Arial"/>
                <w:sz w:val="12"/>
                <w:szCs w:val="12"/>
                <w:color w:val="auto"/>
              </w:rPr>
              <w:t>Spain</w:t>
            </w:r>
          </w:p>
        </w:tc>
      </w:tr>
      <w:tr>
        <w:trPr>
          <w:trHeight w:val="144"/>
        </w:trPr>
        <w:tc>
          <w:tcPr>
            <w:tcW w:w="3820" w:type="dxa"/>
            <w:vAlign w:val="bottom"/>
          </w:tcPr>
          <w:p>
            <w:pPr>
              <w:spacing w:after="0"/>
              <w:rPr>
                <w:sz w:val="20"/>
                <w:szCs w:val="20"/>
                <w:color w:val="auto"/>
              </w:rPr>
            </w:pPr>
            <w:r>
              <w:rPr>
                <w:rFonts w:ascii="Arial" w:cs="Arial" w:eastAsia="Arial" w:hAnsi="Arial"/>
                <w:sz w:val="12"/>
                <w:szCs w:val="12"/>
                <w:color w:val="auto"/>
              </w:rPr>
              <w:t>Foot Locker Specialty, Inc.</w:t>
            </w:r>
          </w:p>
        </w:tc>
        <w:tc>
          <w:tcPr>
            <w:tcW w:w="4140" w:type="dxa"/>
            <w:vAlign w:val="bottom"/>
          </w:tcPr>
          <w:p>
            <w:pPr>
              <w:ind w:left="660"/>
              <w:spacing w:after="0"/>
              <w:rPr>
                <w:sz w:val="20"/>
                <w:szCs w:val="20"/>
                <w:color w:val="auto"/>
              </w:rPr>
            </w:pPr>
            <w:r>
              <w:rPr>
                <w:rFonts w:ascii="Arial" w:cs="Arial" w:eastAsia="Arial" w:hAnsi="Arial"/>
                <w:sz w:val="12"/>
                <w:szCs w:val="12"/>
                <w:color w:val="auto"/>
              </w:rPr>
              <w:t>New York</w:t>
            </w:r>
          </w:p>
        </w:tc>
      </w:tr>
      <w:tr>
        <w:trPr>
          <w:trHeight w:val="144"/>
        </w:trPr>
        <w:tc>
          <w:tcPr>
            <w:tcW w:w="3820" w:type="dxa"/>
            <w:vAlign w:val="bottom"/>
          </w:tcPr>
          <w:p>
            <w:pPr>
              <w:spacing w:after="0"/>
              <w:rPr>
                <w:sz w:val="20"/>
                <w:szCs w:val="20"/>
                <w:color w:val="auto"/>
              </w:rPr>
            </w:pPr>
            <w:r>
              <w:rPr>
                <w:rFonts w:ascii="Arial" w:cs="Arial" w:eastAsia="Arial" w:hAnsi="Arial"/>
                <w:sz w:val="12"/>
                <w:szCs w:val="12"/>
                <w:color w:val="auto"/>
              </w:rPr>
              <w:t>Foot Locker Stores, Inc.</w:t>
            </w:r>
          </w:p>
        </w:tc>
        <w:tc>
          <w:tcPr>
            <w:tcW w:w="4140" w:type="dxa"/>
            <w:vAlign w:val="bottom"/>
          </w:tcPr>
          <w:p>
            <w:pPr>
              <w:ind w:left="660"/>
              <w:spacing w:after="0"/>
              <w:rPr>
                <w:sz w:val="20"/>
                <w:szCs w:val="20"/>
                <w:color w:val="auto"/>
              </w:rPr>
            </w:pPr>
            <w:r>
              <w:rPr>
                <w:rFonts w:ascii="Arial" w:cs="Arial" w:eastAsia="Arial" w:hAnsi="Arial"/>
                <w:sz w:val="12"/>
                <w:szCs w:val="12"/>
                <w:color w:val="auto"/>
              </w:rPr>
              <w:t>Delaware</w:t>
            </w:r>
          </w:p>
        </w:tc>
      </w:tr>
      <w:tr>
        <w:trPr>
          <w:trHeight w:val="144"/>
        </w:trPr>
        <w:tc>
          <w:tcPr>
            <w:tcW w:w="3820" w:type="dxa"/>
            <w:vAlign w:val="bottom"/>
          </w:tcPr>
          <w:p>
            <w:pPr>
              <w:spacing w:after="0"/>
              <w:rPr>
                <w:sz w:val="20"/>
                <w:szCs w:val="20"/>
                <w:color w:val="auto"/>
              </w:rPr>
            </w:pPr>
            <w:r>
              <w:rPr>
                <w:rFonts w:ascii="Arial" w:cs="Arial" w:eastAsia="Arial" w:hAnsi="Arial"/>
                <w:sz w:val="12"/>
                <w:szCs w:val="12"/>
                <w:color w:val="auto"/>
              </w:rPr>
              <w:t>Foot Locker Switzerland LLC</w:t>
            </w:r>
          </w:p>
        </w:tc>
        <w:tc>
          <w:tcPr>
            <w:tcW w:w="4140" w:type="dxa"/>
            <w:vAlign w:val="bottom"/>
          </w:tcPr>
          <w:p>
            <w:pPr>
              <w:ind w:left="660"/>
              <w:spacing w:after="0"/>
              <w:rPr>
                <w:sz w:val="20"/>
                <w:szCs w:val="20"/>
                <w:color w:val="auto"/>
              </w:rPr>
            </w:pPr>
            <w:r>
              <w:rPr>
                <w:rFonts w:ascii="Arial" w:cs="Arial" w:eastAsia="Arial" w:hAnsi="Arial"/>
                <w:sz w:val="12"/>
                <w:szCs w:val="12"/>
                <w:color w:val="auto"/>
              </w:rPr>
              <w:t>Switzerland</w:t>
            </w:r>
          </w:p>
        </w:tc>
      </w:tr>
      <w:tr>
        <w:trPr>
          <w:trHeight w:val="144"/>
        </w:trPr>
        <w:tc>
          <w:tcPr>
            <w:tcW w:w="3820" w:type="dxa"/>
            <w:vAlign w:val="bottom"/>
          </w:tcPr>
          <w:p>
            <w:pPr>
              <w:spacing w:after="0"/>
              <w:rPr>
                <w:sz w:val="20"/>
                <w:szCs w:val="20"/>
                <w:color w:val="auto"/>
              </w:rPr>
            </w:pPr>
            <w:r>
              <w:rPr>
                <w:rFonts w:ascii="Arial" w:cs="Arial" w:eastAsia="Arial" w:hAnsi="Arial"/>
                <w:sz w:val="12"/>
                <w:szCs w:val="12"/>
                <w:color w:val="auto"/>
              </w:rPr>
              <w:t>Freedom Sportsline Limited</w:t>
            </w:r>
          </w:p>
        </w:tc>
        <w:tc>
          <w:tcPr>
            <w:tcW w:w="4140" w:type="dxa"/>
            <w:vAlign w:val="bottom"/>
          </w:tcPr>
          <w:p>
            <w:pPr>
              <w:ind w:left="660"/>
              <w:spacing w:after="0"/>
              <w:rPr>
                <w:sz w:val="20"/>
                <w:szCs w:val="20"/>
                <w:color w:val="auto"/>
              </w:rPr>
            </w:pPr>
            <w:r>
              <w:rPr>
                <w:rFonts w:ascii="Arial" w:cs="Arial" w:eastAsia="Arial" w:hAnsi="Arial"/>
                <w:sz w:val="12"/>
                <w:szCs w:val="12"/>
                <w:color w:val="auto"/>
              </w:rPr>
              <w:t>United Kingdom</w:t>
            </w:r>
          </w:p>
        </w:tc>
      </w:tr>
      <w:tr>
        <w:trPr>
          <w:trHeight w:val="144"/>
        </w:trPr>
        <w:tc>
          <w:tcPr>
            <w:tcW w:w="3820" w:type="dxa"/>
            <w:vAlign w:val="bottom"/>
          </w:tcPr>
          <w:p>
            <w:pPr>
              <w:spacing w:after="0"/>
              <w:rPr>
                <w:sz w:val="20"/>
                <w:szCs w:val="20"/>
                <w:color w:val="auto"/>
              </w:rPr>
            </w:pPr>
            <w:r>
              <w:rPr>
                <w:rFonts w:ascii="Arial" w:cs="Arial" w:eastAsia="Arial" w:hAnsi="Arial"/>
                <w:sz w:val="12"/>
                <w:szCs w:val="12"/>
                <w:color w:val="auto"/>
              </w:rPr>
              <w:t>RPG.com GmbH</w:t>
            </w:r>
          </w:p>
        </w:tc>
        <w:tc>
          <w:tcPr>
            <w:tcW w:w="4140" w:type="dxa"/>
            <w:vAlign w:val="bottom"/>
          </w:tcPr>
          <w:p>
            <w:pPr>
              <w:ind w:left="660"/>
              <w:spacing w:after="0"/>
              <w:rPr>
                <w:sz w:val="20"/>
                <w:szCs w:val="20"/>
                <w:color w:val="auto"/>
              </w:rPr>
            </w:pPr>
            <w:r>
              <w:rPr>
                <w:rFonts w:ascii="Arial" w:cs="Arial" w:eastAsia="Arial" w:hAnsi="Arial"/>
                <w:sz w:val="12"/>
                <w:szCs w:val="12"/>
                <w:color w:val="auto"/>
              </w:rPr>
              <w:t>Germany</w:t>
            </w:r>
          </w:p>
        </w:tc>
      </w:tr>
      <w:tr>
        <w:trPr>
          <w:trHeight w:val="144"/>
        </w:trPr>
        <w:tc>
          <w:tcPr>
            <w:tcW w:w="3820" w:type="dxa"/>
            <w:vAlign w:val="bottom"/>
          </w:tcPr>
          <w:p>
            <w:pPr>
              <w:spacing w:after="0"/>
              <w:rPr>
                <w:sz w:val="20"/>
                <w:szCs w:val="20"/>
                <w:color w:val="auto"/>
              </w:rPr>
            </w:pPr>
            <w:r>
              <w:rPr>
                <w:rFonts w:ascii="Arial" w:cs="Arial" w:eastAsia="Arial" w:hAnsi="Arial"/>
                <w:sz w:val="12"/>
                <w:szCs w:val="12"/>
                <w:color w:val="auto"/>
              </w:rPr>
              <w:t>Runners Point B.V. &amp; Co. K.G.</w:t>
            </w:r>
          </w:p>
        </w:tc>
        <w:tc>
          <w:tcPr>
            <w:tcW w:w="4140" w:type="dxa"/>
            <w:vAlign w:val="bottom"/>
          </w:tcPr>
          <w:p>
            <w:pPr>
              <w:ind w:left="660"/>
              <w:spacing w:after="0"/>
              <w:rPr>
                <w:sz w:val="20"/>
                <w:szCs w:val="20"/>
                <w:color w:val="auto"/>
              </w:rPr>
            </w:pPr>
            <w:r>
              <w:rPr>
                <w:rFonts w:ascii="Arial" w:cs="Arial" w:eastAsia="Arial" w:hAnsi="Arial"/>
                <w:sz w:val="12"/>
                <w:szCs w:val="12"/>
                <w:color w:val="auto"/>
              </w:rPr>
              <w:t>Germany</w:t>
            </w:r>
          </w:p>
        </w:tc>
      </w:tr>
      <w:tr>
        <w:trPr>
          <w:trHeight w:val="144"/>
        </w:trPr>
        <w:tc>
          <w:tcPr>
            <w:tcW w:w="3820" w:type="dxa"/>
            <w:vAlign w:val="bottom"/>
          </w:tcPr>
          <w:p>
            <w:pPr>
              <w:spacing w:after="0"/>
              <w:rPr>
                <w:sz w:val="20"/>
                <w:szCs w:val="20"/>
                <w:color w:val="auto"/>
              </w:rPr>
            </w:pPr>
            <w:r>
              <w:rPr>
                <w:rFonts w:ascii="Arial" w:cs="Arial" w:eastAsia="Arial" w:hAnsi="Arial"/>
                <w:sz w:val="12"/>
                <w:szCs w:val="12"/>
                <w:color w:val="auto"/>
              </w:rPr>
              <w:t>Runners Point Switzerland LLC</w:t>
            </w:r>
          </w:p>
        </w:tc>
        <w:tc>
          <w:tcPr>
            <w:tcW w:w="4140" w:type="dxa"/>
            <w:vAlign w:val="bottom"/>
          </w:tcPr>
          <w:p>
            <w:pPr>
              <w:ind w:left="660"/>
              <w:spacing w:after="0"/>
              <w:rPr>
                <w:sz w:val="20"/>
                <w:szCs w:val="20"/>
                <w:color w:val="auto"/>
              </w:rPr>
            </w:pPr>
            <w:r>
              <w:rPr>
                <w:rFonts w:ascii="Arial" w:cs="Arial" w:eastAsia="Arial" w:hAnsi="Arial"/>
                <w:sz w:val="12"/>
                <w:szCs w:val="12"/>
                <w:color w:val="auto"/>
              </w:rPr>
              <w:t>Switzerland</w:t>
            </w:r>
          </w:p>
        </w:tc>
      </w:tr>
      <w:tr>
        <w:trPr>
          <w:trHeight w:val="144"/>
        </w:trPr>
        <w:tc>
          <w:tcPr>
            <w:tcW w:w="3820" w:type="dxa"/>
            <w:vAlign w:val="bottom"/>
          </w:tcPr>
          <w:p>
            <w:pPr>
              <w:spacing w:after="0"/>
              <w:rPr>
                <w:sz w:val="20"/>
                <w:szCs w:val="20"/>
                <w:color w:val="auto"/>
              </w:rPr>
            </w:pPr>
            <w:r>
              <w:rPr>
                <w:rFonts w:ascii="Arial" w:cs="Arial" w:eastAsia="Arial" w:hAnsi="Arial"/>
                <w:sz w:val="12"/>
                <w:szCs w:val="12"/>
                <w:color w:val="auto"/>
              </w:rPr>
              <w:t>Sidestep GmbH</w:t>
            </w:r>
          </w:p>
        </w:tc>
        <w:tc>
          <w:tcPr>
            <w:tcW w:w="4140" w:type="dxa"/>
            <w:vAlign w:val="bottom"/>
          </w:tcPr>
          <w:p>
            <w:pPr>
              <w:ind w:left="660"/>
              <w:spacing w:after="0"/>
              <w:rPr>
                <w:sz w:val="20"/>
                <w:szCs w:val="20"/>
                <w:color w:val="auto"/>
              </w:rPr>
            </w:pPr>
            <w:r>
              <w:rPr>
                <w:rFonts w:ascii="Arial" w:cs="Arial" w:eastAsia="Arial" w:hAnsi="Arial"/>
                <w:sz w:val="12"/>
                <w:szCs w:val="12"/>
                <w:color w:val="auto"/>
              </w:rPr>
              <w:t>Germany</w:t>
            </w:r>
          </w:p>
        </w:tc>
      </w:tr>
      <w:tr>
        <w:trPr>
          <w:trHeight w:val="142"/>
        </w:trPr>
        <w:tc>
          <w:tcPr>
            <w:tcW w:w="38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Team Edition Apparel, Inc.</w:t>
            </w:r>
          </w:p>
        </w:tc>
        <w:tc>
          <w:tcPr>
            <w:tcW w:w="4140" w:type="dxa"/>
            <w:vAlign w:val="bottom"/>
            <w:tcBorders>
              <w:bottom w:val="single" w:sz="8" w:color="auto"/>
            </w:tcBorders>
          </w:tcPr>
          <w:p>
            <w:pPr>
              <w:ind w:left="660"/>
              <w:spacing w:after="0"/>
              <w:rPr>
                <w:sz w:val="20"/>
                <w:szCs w:val="20"/>
                <w:color w:val="auto"/>
              </w:rPr>
            </w:pPr>
            <w:r>
              <w:rPr>
                <w:rFonts w:ascii="Arial" w:cs="Arial" w:eastAsia="Arial" w:hAnsi="Arial"/>
                <w:sz w:val="12"/>
                <w:szCs w:val="12"/>
                <w:color w:val="auto"/>
              </w:rPr>
              <w:t>Florida</w:t>
            </w:r>
          </w:p>
        </w:tc>
      </w:tr>
    </w:tbl>
    <w:p>
      <w:pPr>
        <w:spacing w:after="0" w:line="317" w:lineRule="exact"/>
        <w:rPr>
          <w:sz w:val="20"/>
          <w:szCs w:val="20"/>
          <w:color w:val="auto"/>
        </w:rPr>
      </w:pPr>
    </w:p>
    <w:p>
      <w:pPr>
        <w:ind w:left="1220" w:right="1000" w:hanging="533"/>
        <w:spacing w:after="0" w:line="251" w:lineRule="auto"/>
        <w:tabs>
          <w:tab w:leader="none" w:pos="1220" w:val="left"/>
        </w:tabs>
        <w:numPr>
          <w:ilvl w:val="0"/>
          <w:numId w:val="68"/>
        </w:numPr>
        <w:rPr>
          <w:rFonts w:ascii="Arial" w:cs="Arial" w:eastAsia="Arial" w:hAnsi="Arial"/>
          <w:sz w:val="10"/>
          <w:szCs w:val="10"/>
          <w:color w:val="auto"/>
        </w:rPr>
      </w:pPr>
      <w:r>
        <w:rPr>
          <w:rFonts w:ascii="Arial" w:cs="Arial" w:eastAsia="Arial" w:hAnsi="Arial"/>
          <w:sz w:val="10"/>
          <w:szCs w:val="10"/>
          <w:color w:val="auto"/>
        </w:rPr>
        <w:t>Each subsidiary company is 100% owned, directly or indirectly, by Foot Locker, Inc. All subsidiaries are consolidated with Foot Locker, Inc. for accounting and financial reporting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-298450</wp:posOffset>
            </wp:positionH>
            <wp:positionV relativeFrom="paragraph">
              <wp:posOffset>349250</wp:posOffset>
            </wp:positionV>
            <wp:extent cx="6318250" cy="196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2">
                      <a:extLst>
                        <a:ext uri="{28A0092B-C50C-407E-A947-70E740481C1C}"/>
                      </a:extLst>
                    </a:blip>
                    <a:srcRect/>
                    <a:stretch>
                      <a:fillRect/>
                    </a:stretch>
                  </pic:blipFill>
                  <pic:spPr bwMode="auto">
                    <a:xfrm>
                      <a:off x="0" y="0"/>
                      <a:ext cx="6318250" cy="19685"/>
                    </a:xfrm>
                    <a:prstGeom prst="rect">
                      <a:avLst/>
                    </a:prstGeom>
                    <a:noFill/>
                  </pic:spPr>
                </pic:pic>
              </a:graphicData>
            </a:graphic>
          </wp:anchor>
        </w:drawing>
      </w:r>
    </w:p>
    <w:sectPr>
      <w:pgSz w:w="11900" w:h="16838" w:orient="portrait"/>
      <w:cols w:equalWidth="0" w:num="1">
        <w:col w:w="9480"/>
      </w:cols>
      <w:pgMar w:left="1440" w:top="121"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9AC241"/>
    <w:multiLevelType w:val="hybridMultilevel"/>
    <w:lvl w:ilvl="0">
      <w:lvlJc w:val="left"/>
      <w:lvlText w:val="☒"/>
      <w:numFmt w:val="bullet"/>
      <w:start w:val="1"/>
    </w:lvl>
  </w:abstractNum>
  <w:abstractNum w:abstractNumId="1">
    <w:nsid w:val="5577F8E1"/>
    <w:multiLevelType w:val="hybridMultilevel"/>
    <w:lvl w:ilvl="0">
      <w:lvlJc w:val="left"/>
      <w:lvlText w:val="☐"/>
      <w:numFmt w:val="bullet"/>
      <w:start w:val="1"/>
    </w:lvl>
  </w:abstractNum>
  <w:abstractNum w:abstractNumId="2">
    <w:nsid w:val="440BADFC"/>
    <w:multiLevelType w:val="hybridMultilevel"/>
    <w:lvl w:ilvl="0">
      <w:lvlJc w:val="left"/>
      <w:lvlText w:val="*"/>
      <w:numFmt w:val="bullet"/>
      <w:start w:val="1"/>
    </w:lvl>
  </w:abstractNum>
  <w:abstractNum w:abstractNumId="3">
    <w:nsid w:val="5072367"/>
    <w:multiLevelType w:val="hybridMultilevel"/>
    <w:lvl w:ilvl="0">
      <w:lvlJc w:val="left"/>
      <w:lvlText w:val="●"/>
      <w:numFmt w:val="bullet"/>
      <w:start w:val="1"/>
    </w:lvl>
  </w:abstractNum>
  <w:abstractNum w:abstractNumId="4">
    <w:nsid w:val="3804823E"/>
    <w:multiLevelType w:val="hybridMultilevel"/>
    <w:lvl w:ilvl="0">
      <w:lvlJc w:val="left"/>
      <w:lvlText w:val="(%1)"/>
      <w:numFmt w:val="decimal"/>
      <w:start w:val="1"/>
    </w:lvl>
  </w:abstractNum>
  <w:abstractNum w:abstractNumId="5">
    <w:nsid w:val="77465F01"/>
    <w:multiLevelType w:val="hybridMultilevel"/>
    <w:lvl w:ilvl="0">
      <w:lvlJc w:val="left"/>
      <w:lvlText w:val="(%1)"/>
      <w:numFmt w:val="decimal"/>
      <w:start w:val="1"/>
    </w:lvl>
  </w:abstractNum>
  <w:abstractNum w:abstractNumId="6">
    <w:nsid w:val="7724C67E"/>
    <w:multiLevelType w:val="hybridMultilevel"/>
    <w:lvl w:ilvl="0">
      <w:lvlJc w:val="left"/>
      <w:lvlText w:val="(%1)"/>
      <w:numFmt w:val="decimal"/>
      <w:start w:val="1"/>
    </w:lvl>
  </w:abstractNum>
  <w:abstractNum w:abstractNumId="7">
    <w:nsid w:val="5C482A97"/>
    <w:multiLevelType w:val="hybridMultilevel"/>
    <w:lvl w:ilvl="0">
      <w:lvlJc w:val="left"/>
      <w:lvlText w:val="(%1)"/>
      <w:numFmt w:val="decimal"/>
      <w:start w:val="1"/>
    </w:lvl>
  </w:abstractNum>
  <w:abstractNum w:abstractNumId="8">
    <w:nsid w:val="2463B9EA"/>
    <w:multiLevelType w:val="hybridMultilevel"/>
    <w:lvl w:ilvl="0">
      <w:lvlJc w:val="left"/>
      <w:lvlText w:val="(%1)"/>
      <w:numFmt w:val="decimal"/>
      <w:start w:val="1"/>
    </w:lvl>
  </w:abstractNum>
  <w:abstractNum w:abstractNumId="9">
    <w:nsid w:val="5E884ADC"/>
    <w:multiLevelType w:val="hybridMultilevel"/>
    <w:lvl w:ilvl="0">
      <w:lvlJc w:val="left"/>
      <w:lvlText w:val="●"/>
      <w:numFmt w:val="bullet"/>
      <w:start w:val="1"/>
    </w:lvl>
  </w:abstractNum>
  <w:abstractNum w:abstractNumId="10">
    <w:nsid w:val="51EAD36B"/>
    <w:multiLevelType w:val="hybridMultilevel"/>
    <w:lvl w:ilvl="0">
      <w:lvlJc w:val="left"/>
      <w:lvlText w:val="●"/>
      <w:numFmt w:val="bullet"/>
      <w:start w:val="1"/>
    </w:lvl>
  </w:abstractNum>
  <w:abstractNum w:abstractNumId="11">
    <w:nsid w:val="2D517796"/>
    <w:multiLevelType w:val="hybridMultilevel"/>
    <w:lvl w:ilvl="0">
      <w:lvlJc w:val="left"/>
      <w:lvlText w:val="●"/>
      <w:numFmt w:val="bullet"/>
      <w:start w:val="1"/>
    </w:lvl>
  </w:abstractNum>
  <w:abstractNum w:abstractNumId="12">
    <w:nsid w:val="580BD78F"/>
    <w:multiLevelType w:val="hybridMultilevel"/>
    <w:lvl w:ilvl="0">
      <w:lvlJc w:val="left"/>
      <w:lvlText w:val="●"/>
      <w:numFmt w:val="bullet"/>
      <w:start w:val="1"/>
    </w:lvl>
    <w:lvl w:ilvl="1">
      <w:lvlJc w:val="left"/>
      <w:lvlText w:val="●"/>
      <w:numFmt w:val="bullet"/>
      <w:start w:val="1"/>
    </w:lvl>
  </w:abstractNum>
  <w:abstractNum w:abstractNumId="13">
    <w:nsid w:val="153EA438"/>
    <w:multiLevelType w:val="hybridMultilevel"/>
    <w:lvl w:ilvl="0">
      <w:lvlJc w:val="left"/>
      <w:lvlText w:val="●"/>
      <w:numFmt w:val="bullet"/>
      <w:start w:val="1"/>
    </w:lvl>
  </w:abstractNum>
  <w:abstractNum w:abstractNumId="14">
    <w:nsid w:val="3855585C"/>
    <w:multiLevelType w:val="hybridMultilevel"/>
    <w:lvl w:ilvl="0">
      <w:lvlJc w:val="left"/>
      <w:lvlText w:val="(%1)"/>
      <w:numFmt w:val="decimal"/>
      <w:start w:val="1"/>
    </w:lvl>
  </w:abstractNum>
  <w:abstractNum w:abstractNumId="15">
    <w:nsid w:val="70A64E2A"/>
    <w:multiLevelType w:val="hybridMultilevel"/>
    <w:lvl w:ilvl="0">
      <w:lvlJc w:val="left"/>
      <w:lvlText w:val="(%1)"/>
      <w:numFmt w:val="decimal"/>
      <w:start w:val="1"/>
    </w:lvl>
  </w:abstractNum>
  <w:abstractNum w:abstractNumId="16">
    <w:nsid w:val="6A2342EC"/>
    <w:multiLevelType w:val="hybridMultilevel"/>
    <w:lvl w:ilvl="0">
      <w:lvlJc w:val="left"/>
      <w:lvlText w:val="(%1)"/>
      <w:numFmt w:val="decimal"/>
      <w:start w:val="1"/>
    </w:lvl>
  </w:abstractNum>
  <w:abstractNum w:abstractNumId="17">
    <w:nsid w:val="2A487CB0"/>
    <w:multiLevelType w:val="hybridMultilevel"/>
    <w:lvl w:ilvl="0">
      <w:lvlJc w:val="left"/>
      <w:lvlText w:val="-"/>
      <w:numFmt w:val="bullet"/>
      <w:start w:val="1"/>
    </w:lvl>
  </w:abstractNum>
  <w:abstractNum w:abstractNumId="18">
    <w:nsid w:val="1D4ED43B"/>
    <w:multiLevelType w:val="hybridMultilevel"/>
    <w:lvl w:ilvl="0">
      <w:lvlJc w:val="left"/>
      <w:lvlText w:val="(%1)"/>
      <w:numFmt w:val="decimal"/>
      <w:start w:val="1"/>
    </w:lvl>
  </w:abstractNum>
  <w:abstractNum w:abstractNumId="19">
    <w:nsid w:val="725A06FB"/>
    <w:multiLevelType w:val="hybridMultilevel"/>
    <w:lvl w:ilvl="0">
      <w:lvlJc w:val="left"/>
      <w:lvlText w:val="(%1)"/>
      <w:numFmt w:val="decimal"/>
      <w:start w:val="1"/>
    </w:lvl>
  </w:abstractNum>
  <w:abstractNum w:abstractNumId="20">
    <w:nsid w:val="2CD89A32"/>
    <w:multiLevelType w:val="hybridMultilevel"/>
    <w:lvl w:ilvl="0">
      <w:lvlJc w:val="left"/>
      <w:lvlText w:val="(%1)"/>
      <w:numFmt w:val="decimal"/>
      <w:start w:val="1"/>
    </w:lvl>
  </w:abstractNum>
  <w:abstractNum w:abstractNumId="21">
    <w:nsid w:val="57E4CCAF"/>
    <w:multiLevelType w:val="hybridMultilevel"/>
    <w:lvl w:ilvl="0">
      <w:lvlJc w:val="left"/>
      <w:lvlText w:val="(%1)"/>
      <w:numFmt w:val="decimal"/>
      <w:start w:val="1"/>
    </w:lvl>
  </w:abstractNum>
  <w:abstractNum w:abstractNumId="22">
    <w:nsid w:val="7A6D8D3C"/>
    <w:multiLevelType w:val="hybridMultilevel"/>
    <w:lvl w:ilvl="0">
      <w:lvlJc w:val="left"/>
      <w:lvlText w:val="*"/>
      <w:numFmt w:val="bullet"/>
      <w:start w:val="1"/>
    </w:lvl>
  </w:abstractNum>
  <w:abstractNum w:abstractNumId="23">
    <w:nsid w:val="4B588F54"/>
    <w:multiLevelType w:val="hybridMultilevel"/>
    <w:lvl w:ilvl="0">
      <w:lvlJc w:val="left"/>
      <w:lvlText w:val="(%1)"/>
      <w:numFmt w:val="decimal"/>
      <w:start w:val="1"/>
    </w:lvl>
  </w:abstractNum>
  <w:abstractNum w:abstractNumId="24">
    <w:nsid w:val="542289EC"/>
    <w:multiLevelType w:val="hybridMultilevel"/>
    <w:lvl w:ilvl="0">
      <w:lvlJc w:val="left"/>
      <w:lvlText w:val="*"/>
      <w:numFmt w:val="bullet"/>
      <w:start w:val="1"/>
    </w:lvl>
  </w:abstractNum>
  <w:abstractNum w:abstractNumId="25">
    <w:nsid w:val="6DE91B18"/>
    <w:multiLevelType w:val="hybridMultilevel"/>
    <w:lvl w:ilvl="0">
      <w:lvlJc w:val="left"/>
      <w:lvlText w:val="(%1)"/>
      <w:numFmt w:val="decimal"/>
      <w:start w:val="1"/>
    </w:lvl>
  </w:abstractNum>
  <w:abstractNum w:abstractNumId="26">
    <w:nsid w:val="38437FDB"/>
    <w:multiLevelType w:val="hybridMultilevel"/>
    <w:lvl w:ilvl="0">
      <w:lvlJc w:val="left"/>
      <w:lvlText w:val="(%1)"/>
      <w:numFmt w:val="decimal"/>
      <w:start w:val="1"/>
    </w:lvl>
  </w:abstractNum>
  <w:abstractNum w:abstractNumId="27">
    <w:nsid w:val="7644A45C"/>
    <w:multiLevelType w:val="hybridMultilevel"/>
    <w:lvl w:ilvl="0">
      <w:lvlJc w:val="left"/>
      <w:lvlText w:val="(%1)"/>
      <w:numFmt w:val="decimal"/>
      <w:start w:val="1"/>
    </w:lvl>
  </w:abstractNum>
  <w:abstractNum w:abstractNumId="28">
    <w:nsid w:val="32FFF902"/>
    <w:multiLevelType w:val="hybridMultilevel"/>
    <w:lvl w:ilvl="0">
      <w:lvlJc w:val="left"/>
      <w:lvlText w:val="(%1)"/>
      <w:numFmt w:val="lowerLetter"/>
      <w:start w:val="1"/>
    </w:lvl>
  </w:abstractNum>
  <w:abstractNum w:abstractNumId="29">
    <w:nsid w:val="684A481A"/>
    <w:multiLevelType w:val="hybridMultilevel"/>
    <w:lvl w:ilvl="0">
      <w:lvlJc w:val="left"/>
      <w:lvlText w:val="(%1)"/>
      <w:numFmt w:val="lowerLetter"/>
      <w:start w:val="2"/>
    </w:lvl>
  </w:abstractNum>
  <w:abstractNum w:abstractNumId="30">
    <w:nsid w:val="579478FE"/>
    <w:multiLevelType w:val="hybridMultilevel"/>
    <w:lvl w:ilvl="0">
      <w:lvlJc w:val="left"/>
      <w:lvlText w:val="(%1)"/>
      <w:numFmt w:val="lowerLetter"/>
      <w:start w:val="3"/>
    </w:lvl>
  </w:abstractNum>
  <w:abstractNum w:abstractNumId="31">
    <w:nsid w:val="749ABB43"/>
    <w:multiLevelType w:val="hybridMultilevel"/>
    <w:lvl w:ilvl="0">
      <w:lvlJc w:val="left"/>
      <w:lvlText w:val="(%1)"/>
      <w:numFmt w:val="lowerLetter"/>
      <w:start w:val="4"/>
    </w:lvl>
  </w:abstractNum>
  <w:abstractNum w:abstractNumId="32">
    <w:nsid w:val="3DC240FB"/>
    <w:multiLevelType w:val="hybridMultilevel"/>
    <w:lvl w:ilvl="0">
      <w:lvlJc w:val="left"/>
      <w:lvlText w:val="(%1)"/>
      <w:numFmt w:val="lowerLetter"/>
      <w:start w:val="1"/>
    </w:lvl>
  </w:abstractNum>
  <w:abstractNum w:abstractNumId="33">
    <w:nsid w:val="1BA026FA"/>
    <w:multiLevelType w:val="hybridMultilevel"/>
    <w:lvl w:ilvl="0">
      <w:lvlJc w:val="left"/>
      <w:lvlText w:val="(%1)"/>
      <w:numFmt w:val="lowerLetter"/>
      <w:start w:val="2"/>
    </w:lvl>
  </w:abstractNum>
  <w:abstractNum w:abstractNumId="34">
    <w:nsid w:val="79A1DEAA"/>
    <w:multiLevelType w:val="hybridMultilevel"/>
    <w:lvl w:ilvl="0">
      <w:lvlJc w:val="left"/>
      <w:lvlText w:val="(%1)"/>
      <w:numFmt w:val="lowerLetter"/>
      <w:start w:val="3"/>
    </w:lvl>
  </w:abstractNum>
  <w:abstractNum w:abstractNumId="35">
    <w:nsid w:val="75C6C33A"/>
    <w:multiLevelType w:val="hybridMultilevel"/>
    <w:lvl w:ilvl="0">
      <w:lvlJc w:val="left"/>
      <w:lvlText w:val="†"/>
      <w:numFmt w:val="bullet"/>
      <w:start w:val="1"/>
    </w:lvl>
    <w:lvl w:ilvl="1">
      <w:lvlJc w:val="left"/>
      <w:lvlText w:val="%2"/>
      <w:numFmt w:val="decimal"/>
      <w:start w:val="104"/>
    </w:lvl>
  </w:abstractNum>
  <w:abstractNum w:abstractNumId="36">
    <w:nsid w:val="12E685FB"/>
    <w:multiLevelType w:val="hybridMultilevel"/>
    <w:lvl w:ilvl="0">
      <w:lvlJc w:val="left"/>
      <w:lvlText w:val="*"/>
      <w:numFmt w:val="bullet"/>
      <w:start w:val="1"/>
    </w:lvl>
  </w:abstractNum>
  <w:abstractNum w:abstractNumId="37">
    <w:nsid w:val="70C6A529"/>
    <w:multiLevelType w:val="hybridMultilevel"/>
    <w:lvl w:ilvl="0">
      <w:lvlJc w:val="left"/>
      <w:lvlText w:val="**"/>
      <w:numFmt w:val="bullet"/>
      <w:start w:val="1"/>
    </w:lvl>
  </w:abstractNum>
  <w:abstractNum w:abstractNumId="38">
    <w:nsid w:val="520EEDD1"/>
    <w:multiLevelType w:val="hybridMultilevel"/>
    <w:lvl w:ilvl="0">
      <w:lvlJc w:val="left"/>
      <w:lvlText w:val="·"/>
      <w:numFmt w:val="bullet"/>
      <w:start w:val="1"/>
    </w:lvl>
  </w:abstractNum>
  <w:abstractNum w:abstractNumId="39">
    <w:nsid w:val="374A3FE6"/>
    <w:multiLevelType w:val="hybridMultilevel"/>
    <w:lvl w:ilvl="0">
      <w:lvlJc w:val="left"/>
      <w:lvlText w:val="%1."/>
      <w:numFmt w:val="decimal"/>
      <w:start w:val="1"/>
    </w:lvl>
    <w:lvl w:ilvl="1">
      <w:lvlJc w:val="left"/>
      <w:lvlText w:val="%2)"/>
      <w:numFmt w:val="lowerLetter"/>
      <w:start w:val="1"/>
    </w:lvl>
  </w:abstractNum>
  <w:abstractNum w:abstractNumId="40">
    <w:nsid w:val="4F4EF005"/>
    <w:multiLevelType w:val="hybridMultilevel"/>
    <w:lvl w:ilvl="0">
      <w:lvlJc w:val="left"/>
      <w:lvlText w:val="%1."/>
      <w:numFmt w:val="decimal"/>
      <w:start w:val="1"/>
    </w:lvl>
    <w:lvl w:ilvl="1">
      <w:lvlJc w:val="left"/>
      <w:lvlText w:val="%2)"/>
      <w:numFmt w:val="lowerLetter"/>
      <w:start w:val="1"/>
    </w:lvl>
  </w:abstractNum>
  <w:abstractNum w:abstractNumId="41">
    <w:nsid w:val="23F9C13C"/>
    <w:multiLevelType w:val="hybridMultilevel"/>
    <w:lvl w:ilvl="0">
      <w:lvlJc w:val="left"/>
      <w:lvlText w:val="(%1)"/>
      <w:numFmt w:val="decimal"/>
      <w:start w:val="1"/>
    </w:lvl>
  </w:abstractNum>
  <w:abstractNum w:abstractNumId="42">
    <w:nsid w:val="649BB77C"/>
    <w:multiLevelType w:val="hybridMultilevel"/>
    <w:lvl w:ilvl="0">
      <w:lvlJc w:val="left"/>
      <w:lvlText w:val="%1."/>
      <w:numFmt w:val="decimal"/>
      <w:start w:val="1"/>
    </w:lvl>
  </w:abstractNum>
  <w:abstractNum w:abstractNumId="43">
    <w:nsid w:val="275AC794"/>
    <w:multiLevelType w:val="hybridMultilevel"/>
    <w:lvl w:ilvl="0">
      <w:lvlJc w:val="left"/>
      <w:lvlText w:val="%1."/>
      <w:numFmt w:val="decimal"/>
      <w:start w:val="2"/>
    </w:lvl>
    <w:lvl w:ilvl="1">
      <w:lvlJc w:val="left"/>
      <w:lvlText w:val="(%2)"/>
      <w:numFmt w:val="lowerLetter"/>
      <w:start w:val="1"/>
    </w:lvl>
  </w:abstractNum>
  <w:abstractNum w:abstractNumId="44">
    <w:nsid w:val="39386575"/>
    <w:multiLevelType w:val="hybridMultilevel"/>
    <w:lvl w:ilvl="0">
      <w:lvlJc w:val="left"/>
      <w:lvlText w:val="(%1)"/>
      <w:numFmt w:val="lowerLetter"/>
      <w:start w:val="7"/>
    </w:lvl>
  </w:abstractNum>
  <w:abstractNum w:abstractNumId="45">
    <w:nsid w:val="1CF10FD8"/>
    <w:multiLevelType w:val="hybridMultilevel"/>
    <w:lvl w:ilvl="0">
      <w:lvlJc w:val="left"/>
      <w:lvlText w:val="(%1)"/>
      <w:numFmt w:val="lowerLetter"/>
      <w:start w:val="19"/>
    </w:lvl>
  </w:abstractNum>
  <w:abstractNum w:abstractNumId="46">
    <w:nsid w:val="180115BE"/>
    <w:multiLevelType w:val="hybridMultilevel"/>
    <w:lvl w:ilvl="0">
      <w:lvlJc w:val="left"/>
      <w:lvlText w:val="%1"/>
      <w:numFmt w:val="decimal"/>
      <w:start w:val="1"/>
    </w:lvl>
    <w:lvl w:ilvl="1">
      <w:lvlJc w:val="left"/>
      <w:lvlText w:val="(%2)"/>
      <w:numFmt w:val="lowerLetter"/>
      <w:start w:val="21"/>
    </w:lvl>
  </w:abstractNum>
  <w:abstractNum w:abstractNumId="47">
    <w:nsid w:val="235BA861"/>
    <w:multiLevelType w:val="hybridMultilevel"/>
    <w:lvl w:ilvl="0">
      <w:lvlJc w:val="left"/>
      <w:lvlText w:val="%1."/>
      <w:numFmt w:val="decimal"/>
      <w:start w:val="3"/>
    </w:lvl>
    <w:lvl w:ilvl="1">
      <w:lvlJc w:val="left"/>
      <w:lvlText w:val="%2"/>
      <w:numFmt w:val="lowerLetter"/>
      <w:start w:val="1"/>
    </w:lvl>
  </w:abstractNum>
  <w:abstractNum w:abstractNumId="48">
    <w:nsid w:val="47398C89"/>
    <w:multiLevelType w:val="hybridMultilevel"/>
    <w:lvl w:ilvl="0">
      <w:lvlJc w:val="left"/>
      <w:lvlText w:val="%1."/>
      <w:numFmt w:val="decimal"/>
      <w:start w:val="4"/>
    </w:lvl>
  </w:abstractNum>
  <w:abstractNum w:abstractNumId="49">
    <w:nsid w:val="354FE9F9"/>
    <w:multiLevelType w:val="hybridMultilevel"/>
    <w:lvl w:ilvl="0">
      <w:lvlJc w:val="left"/>
      <w:lvlText w:val="%1."/>
      <w:numFmt w:val="decimal"/>
      <w:start w:val="5"/>
    </w:lvl>
  </w:abstractNum>
  <w:abstractNum w:abstractNumId="50">
    <w:nsid w:val="15B5AF5C"/>
    <w:multiLevelType w:val="hybridMultilevel"/>
    <w:lvl w:ilvl="0">
      <w:lvlJc w:val="left"/>
      <w:lvlText w:val="%1."/>
      <w:numFmt w:val="decimal"/>
      <w:start w:val="6"/>
    </w:lvl>
  </w:abstractNum>
  <w:abstractNum w:abstractNumId="51">
    <w:nsid w:val="741226BB"/>
    <w:multiLevelType w:val="hybridMultilevel"/>
    <w:lvl w:ilvl="0">
      <w:lvlJc w:val="left"/>
      <w:lvlText w:val="%1."/>
      <w:numFmt w:val="decimal"/>
      <w:start w:val="7"/>
    </w:lvl>
  </w:abstractNum>
  <w:abstractNum w:abstractNumId="52">
    <w:nsid w:val="D34B6A8"/>
    <w:multiLevelType w:val="hybridMultilevel"/>
    <w:lvl w:ilvl="0">
      <w:lvlJc w:val="left"/>
      <w:lvlText w:val="%1."/>
      <w:numFmt w:val="decimal"/>
      <w:start w:val="8"/>
    </w:lvl>
  </w:abstractNum>
  <w:abstractNum w:abstractNumId="53">
    <w:nsid w:val="10233C99"/>
    <w:multiLevelType w:val="hybridMultilevel"/>
    <w:lvl w:ilvl="0">
      <w:lvlJc w:val="left"/>
      <w:lvlText w:val="%1."/>
      <w:numFmt w:val="decimal"/>
      <w:start w:val="9"/>
    </w:lvl>
  </w:abstractNum>
  <w:abstractNum w:abstractNumId="54">
    <w:nsid w:val="3F6AB60F"/>
    <w:multiLevelType w:val="hybridMultilevel"/>
    <w:lvl w:ilvl="0">
      <w:lvlJc w:val="left"/>
      <w:lvlText w:val="%1."/>
      <w:numFmt w:val="decimal"/>
      <w:start w:val="10"/>
    </w:lvl>
  </w:abstractNum>
  <w:abstractNum w:abstractNumId="55">
    <w:nsid w:val="61574095"/>
    <w:multiLevelType w:val="hybridMultilevel"/>
    <w:lvl w:ilvl="0">
      <w:lvlJc w:val="left"/>
      <w:lvlText w:val="%1."/>
      <w:numFmt w:val="decimal"/>
      <w:start w:val="11"/>
    </w:lvl>
  </w:abstractNum>
  <w:abstractNum w:abstractNumId="56">
    <w:nsid w:val="7E0C57B1"/>
    <w:multiLevelType w:val="hybridMultilevel"/>
    <w:lvl w:ilvl="0">
      <w:lvlJc w:val="left"/>
      <w:lvlText w:val="%1."/>
      <w:numFmt w:val="decimal"/>
      <w:start w:val="12"/>
    </w:lvl>
  </w:abstractNum>
  <w:abstractNum w:abstractNumId="57">
    <w:nsid w:val="77AE35EB"/>
    <w:multiLevelType w:val="hybridMultilevel"/>
    <w:lvl w:ilvl="0">
      <w:lvlJc w:val="left"/>
      <w:lvlText w:val="%1."/>
      <w:numFmt w:val="decimal"/>
      <w:start w:val="13"/>
    </w:lvl>
  </w:abstractNum>
  <w:abstractNum w:abstractNumId="58">
    <w:nsid w:val="579BE4F1"/>
    <w:multiLevelType w:val="hybridMultilevel"/>
    <w:lvl w:ilvl="0">
      <w:lvlJc w:val="left"/>
      <w:lvlText w:val="%1."/>
      <w:numFmt w:val="decimal"/>
      <w:start w:val="14"/>
    </w:lvl>
  </w:abstractNum>
  <w:abstractNum w:abstractNumId="59">
    <w:nsid w:val="310C50B3"/>
    <w:multiLevelType w:val="hybridMultilevel"/>
    <w:lvl w:ilvl="0">
      <w:lvlJc w:val="left"/>
      <w:lvlText w:val="%1."/>
      <w:numFmt w:val="decimal"/>
      <w:start w:val="15"/>
    </w:lvl>
  </w:abstractNum>
  <w:abstractNum w:abstractNumId="60">
    <w:nsid w:val="5FF87E05"/>
    <w:multiLevelType w:val="hybridMultilevel"/>
    <w:lvl w:ilvl="0">
      <w:lvlJc w:val="left"/>
      <w:lvlText w:val="%1."/>
      <w:numFmt w:val="decimal"/>
      <w:start w:val="16"/>
    </w:lvl>
  </w:abstractNum>
  <w:abstractNum w:abstractNumId="61">
    <w:nsid w:val="2F305DEF"/>
    <w:multiLevelType w:val="hybridMultilevel"/>
    <w:lvl w:ilvl="0">
      <w:lvlJc w:val="left"/>
      <w:lvlText w:val="%1."/>
      <w:numFmt w:val="decimal"/>
      <w:start w:val="17"/>
    </w:lvl>
  </w:abstractNum>
  <w:abstractNum w:abstractNumId="62">
    <w:nsid w:val="25A70BF7"/>
    <w:multiLevelType w:val="hybridMultilevel"/>
    <w:lvl w:ilvl="0">
      <w:lvlJc w:val="left"/>
      <w:lvlText w:val="%1."/>
      <w:numFmt w:val="decimal"/>
      <w:start w:val="18"/>
    </w:lvl>
  </w:abstractNum>
  <w:abstractNum w:abstractNumId="63">
    <w:nsid w:val="1DBABF00"/>
    <w:multiLevelType w:val="hybridMultilevel"/>
    <w:lvl w:ilvl="0">
      <w:lvlJc w:val="left"/>
      <w:lvlText w:val="%1."/>
      <w:numFmt w:val="decimal"/>
      <w:start w:val="19"/>
    </w:lvl>
  </w:abstractNum>
  <w:abstractNum w:abstractNumId="64">
    <w:nsid w:val="4AD084E9"/>
    <w:multiLevelType w:val="hybridMultilevel"/>
    <w:lvl w:ilvl="0">
      <w:lvlJc w:val="left"/>
      <w:lvlText w:val="%1."/>
      <w:numFmt w:val="decimal"/>
      <w:start w:val="20"/>
    </w:lvl>
  </w:abstractNum>
  <w:abstractNum w:abstractNumId="65">
    <w:nsid w:val="1F48EAA1"/>
    <w:multiLevelType w:val="hybridMultilevel"/>
    <w:lvl w:ilvl="0">
      <w:lvlJc w:val="left"/>
      <w:lvlText w:val="%1."/>
      <w:numFmt w:val="decimal"/>
      <w:start w:val="21"/>
    </w:lvl>
  </w:abstractNum>
  <w:abstractNum w:abstractNumId="66">
    <w:nsid w:val="1381823A"/>
    <w:multiLevelType w:val="hybridMultilevel"/>
    <w:lvl w:ilvl="0">
      <w:lvlJc w:val="left"/>
      <w:lvlText w:val="%1."/>
      <w:numFmt w:val="decimal"/>
      <w:start w:val="22"/>
    </w:lvl>
    <w:lvl w:ilvl="1">
      <w:lvlJc w:val="left"/>
      <w:lvlText w:val="(%2)"/>
      <w:numFmt w:val="lowerLetter"/>
      <w:start w:val="1"/>
    </w:lvl>
    <w:lvl w:ilvl="2">
      <w:lvlJc w:val="left"/>
      <w:lvlText w:val="(%3)"/>
      <w:numFmt w:val="lowerLetter"/>
      <w:start w:val="3"/>
    </w:lvl>
  </w:abstractNum>
  <w:abstractNum w:abstractNumId="67">
    <w:nsid w:val="5DB70AE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45" Type="http://schemas.openxmlformats.org/officeDocument/2006/relationships/image" Target="media/image127.png"/><Relationship Id="rId158" Type="http://schemas.openxmlformats.org/officeDocument/2006/relationships/image" Target="media/image128.png"/><Relationship Id="rId170" Type="http://schemas.openxmlformats.org/officeDocument/2006/relationships/image" Target="media/image129.png"/><Relationship Id="rId171" Type="http://schemas.openxmlformats.org/officeDocument/2006/relationships/image" Target="media/image130.png"/><Relationship Id="rId172" Type="http://schemas.openxmlformats.org/officeDocument/2006/relationships/image" Target="media/image131.png"/><Relationship Id="rId173" Type="http://schemas.openxmlformats.org/officeDocument/2006/relationships/image" Target="media/image132.png"/><Relationship Id="rId174" Type="http://schemas.openxmlformats.org/officeDocument/2006/relationships/image" Target="media/image133.png"/><Relationship Id="rId175" Type="http://schemas.openxmlformats.org/officeDocument/2006/relationships/image" Target="media/image134.png"/><Relationship Id="rId176" Type="http://schemas.openxmlformats.org/officeDocument/2006/relationships/image" Target="media/image135.png"/><Relationship Id="rId177" Type="http://schemas.openxmlformats.org/officeDocument/2006/relationships/image" Target="media/image136.png"/><Relationship Id="rId178" Type="http://schemas.openxmlformats.org/officeDocument/2006/relationships/image" Target="media/image137.png"/><Relationship Id="rId179" Type="http://schemas.openxmlformats.org/officeDocument/2006/relationships/image" Target="media/image138.png"/><Relationship Id="rId180" Type="http://schemas.openxmlformats.org/officeDocument/2006/relationships/image" Target="media/image139.png"/><Relationship Id="rId181" Type="http://schemas.openxmlformats.org/officeDocument/2006/relationships/image" Target="media/image140.png"/><Relationship Id="rId182" Type="http://schemas.openxmlformats.org/officeDocument/2006/relationships/image" Target="media/image141.png"/><Relationship Id="rId183" Type="http://schemas.openxmlformats.org/officeDocument/2006/relationships/image" Target="media/image142.png"/><Relationship Id="rId184" Type="http://schemas.openxmlformats.org/officeDocument/2006/relationships/image" Target="media/image143.png"/><Relationship Id="rId185" Type="http://schemas.openxmlformats.org/officeDocument/2006/relationships/image" Target="media/image144.png"/><Relationship Id="rId186" Type="http://schemas.openxmlformats.org/officeDocument/2006/relationships/image" Target="media/image145.png"/><Relationship Id="rId187" Type="http://schemas.openxmlformats.org/officeDocument/2006/relationships/image" Target="media/image146.png"/><Relationship Id="rId188" Type="http://schemas.openxmlformats.org/officeDocument/2006/relationships/image" Target="media/image147.png"/><Relationship Id="rId189" Type="http://schemas.openxmlformats.org/officeDocument/2006/relationships/image" Target="media/image148.png"/><Relationship Id="rId190" Type="http://schemas.openxmlformats.org/officeDocument/2006/relationships/image" Target="media/image149.png"/><Relationship Id="rId191" Type="http://schemas.openxmlformats.org/officeDocument/2006/relationships/image" Target="media/image150.png"/><Relationship Id="rId192" Type="http://schemas.openxmlformats.org/officeDocument/2006/relationships/image" Target="media/image151.png"/><Relationship Id="rId193" Type="http://schemas.openxmlformats.org/officeDocument/2006/relationships/image" Target="media/image152.png"/><Relationship Id="rId194" Type="http://schemas.openxmlformats.org/officeDocument/2006/relationships/image" Target="media/image153.png"/><Relationship Id="rId195" Type="http://schemas.openxmlformats.org/officeDocument/2006/relationships/image" Target="media/image154.png"/><Relationship Id="rId196" Type="http://schemas.openxmlformats.org/officeDocument/2006/relationships/image" Target="media/image155.png"/><Relationship Id="rId197" Type="http://schemas.openxmlformats.org/officeDocument/2006/relationships/image" Target="media/image156.png"/><Relationship Id="rId198" Type="http://schemas.openxmlformats.org/officeDocument/2006/relationships/image" Target="media/image157.png"/><Relationship Id="rId199" Type="http://schemas.openxmlformats.org/officeDocument/2006/relationships/image" Target="media/image158.png"/><Relationship Id="rId200" Type="http://schemas.openxmlformats.org/officeDocument/2006/relationships/image" Target="media/image159.png"/><Relationship Id="rId201" Type="http://schemas.openxmlformats.org/officeDocument/2006/relationships/image" Target="media/image160.png"/><Relationship Id="rId202" Type="http://schemas.openxmlformats.org/officeDocument/2006/relationships/image" Target="media/image161.png"/><Relationship Id="rId203" Type="http://schemas.openxmlformats.org/officeDocument/2006/relationships/image" Target="media/image162.png"/><Relationship Id="rId204" Type="http://schemas.openxmlformats.org/officeDocument/2006/relationships/image" Target="media/image163.png"/><Relationship Id="rId205" Type="http://schemas.openxmlformats.org/officeDocument/2006/relationships/image" Target="media/image164.png"/><Relationship Id="rId206" Type="http://schemas.openxmlformats.org/officeDocument/2006/relationships/image" Target="media/image165.png"/><Relationship Id="rId207" Type="http://schemas.openxmlformats.org/officeDocument/2006/relationships/image" Target="media/image166.png"/><Relationship Id="rId208" Type="http://schemas.openxmlformats.org/officeDocument/2006/relationships/image" Target="media/image167.png"/><Relationship Id="rId209" Type="http://schemas.openxmlformats.org/officeDocument/2006/relationships/image" Target="media/image168.png"/><Relationship Id="rId210" Type="http://schemas.openxmlformats.org/officeDocument/2006/relationships/image" Target="media/image169.png"/><Relationship Id="rId211" Type="http://schemas.openxmlformats.org/officeDocument/2006/relationships/image" Target="media/image170.png"/><Relationship Id="rId212" Type="http://schemas.openxmlformats.org/officeDocument/2006/relationships/image" Target="media/image171.png"/><Relationship Id="rId134" Type="http://schemas.openxmlformats.org/officeDocument/2006/relationships/hyperlink" Target="http://www.sec.gov/Archives/edgar/data/850209/0000850209-98-000012-index.html" TargetMode="External"/><Relationship Id="rId135" Type="http://schemas.openxmlformats.org/officeDocument/2006/relationships/hyperlink" Target="https://www.sec.gov/Archives/edgar/data/850209/000095011701501759/ex4-2.txt" TargetMode="External"/><Relationship Id="rId136" Type="http://schemas.openxmlformats.org/officeDocument/2006/relationships/hyperlink" Target="http://www.sec.gov/Archives/edgar/data/850209/000093041314002667/c77700_ex3-1.htm" TargetMode="External"/><Relationship Id="rId137" Type="http://schemas.openxmlformats.org/officeDocument/2006/relationships/hyperlink" Target="https://www.sec.gov/Archives/edgar/data/0000850209/000153949720001499/exh3-1.htm" TargetMode="External"/><Relationship Id="rId138" Type="http://schemas.openxmlformats.org/officeDocument/2006/relationships/hyperlink" Target="http://www.sec.gov/Archives/edgar/data/850209/000093041318000545/c90571_ex3-1.htm" TargetMode="External"/><Relationship Id="rId139" Type="http://schemas.openxmlformats.org/officeDocument/2006/relationships/hyperlink" Target="https://www.sec.gov/ix?doc=/Archives/edgar/data/0000850209/000153949720001499/n2295-x6_8k.htm" TargetMode="External"/><Relationship Id="rId140" Type="http://schemas.openxmlformats.org/officeDocument/2006/relationships/hyperlink" Target="http://www.sec.gov/Archives/edgar/data/850209/000093041316007203/c85089_ex10-1.htm" TargetMode="External"/><Relationship Id="rId141" Type="http://schemas.openxmlformats.org/officeDocument/2006/relationships/hyperlink" Target="https://www.sec.gov/Archives/edgar/data/850209/000153949720000939/exh10-1.htm" TargetMode="External"/><Relationship Id="rId142" Type="http://schemas.openxmlformats.org/officeDocument/2006/relationships/hyperlink" Target="http://www.sec.gov/Archives/edgar/data/850209/000093041314005005/c79624_ex10-3.htm" TargetMode="External"/><Relationship Id="rId143" Type="http://schemas.openxmlformats.org/officeDocument/2006/relationships/hyperlink" Target="http://www.sec.gov/Archives/edgar/data/850209/000085020917000003/fl-20170128xex10_5.htm" TargetMode="External"/><Relationship Id="rId144" Type="http://schemas.openxmlformats.org/officeDocument/2006/relationships/hyperlink" Target="http://www.sec.gov/Archives/edgar/data/850209/000093041316006244/c84488_ex10-3.htm" TargetMode="External"/><Relationship Id="rId146" Type="http://schemas.openxmlformats.org/officeDocument/2006/relationships/hyperlink" Target="http://www.sec.gov/Archives/edgar/data/850209/000093041318001184/c90932_ex10-1.htm" TargetMode="External"/><Relationship Id="rId147" Type="http://schemas.openxmlformats.org/officeDocument/2006/relationships/hyperlink" Target="http://www.sec.gov/Archives/edgar/data/850209/000120677406000567/d18788_ex10-40.htm" TargetMode="External"/><Relationship Id="rId148" Type="http://schemas.openxmlformats.org/officeDocument/2006/relationships/hyperlink" Target="http://www.sec.gov/Archives/edgar/data/850209/000093041314001548/c77055_ex10-1.htm" TargetMode="External"/><Relationship Id="rId149" Type="http://schemas.openxmlformats.org/officeDocument/2006/relationships/hyperlink" Target="http://www.sec.gov/Archives/edgar/data/850209/000093041313001985/c73257_ex10-3.htm" TargetMode="External"/><Relationship Id="rId150" Type="http://schemas.openxmlformats.org/officeDocument/2006/relationships/hyperlink" Target="http://www.sec.gov/Archives/edgar/data/850209/000093041316006244/c84488_ex10-2.htm" TargetMode="External"/><Relationship Id="rId151" Type="http://schemas.openxmlformats.org/officeDocument/2006/relationships/hyperlink" Target="http://www.sec.gov/Archives/edgar/data/850209/000085020916000005/fl-20160730xex10.htm" TargetMode="External"/><Relationship Id="rId152" Type="http://schemas.openxmlformats.org/officeDocument/2006/relationships/hyperlink" Target="http://www.sec.gov/Archives/edgar/data/850209/000093041316006244/c84488_ex10-1.htm" TargetMode="External"/><Relationship Id="rId153" Type="http://schemas.openxmlformats.org/officeDocument/2006/relationships/hyperlink" Target="http://www.sec.gov/Archives/edgar/data/850209/000093041318001338/c91040_ex10-1.htm" TargetMode="External"/><Relationship Id="rId154" Type="http://schemas.openxmlformats.org/officeDocument/2006/relationships/hyperlink" Target="http://www.sec.gov/Archives/edgar/data/850209/000093041307006773/c49896_ex10-1.htm" TargetMode="External"/><Relationship Id="rId155" Type="http://schemas.openxmlformats.org/officeDocument/2006/relationships/hyperlink" Target="http://www.sec.gov/Archives/edgar/data/850209/000093041311004174/c65814_ex10-1.htm" TargetMode="External"/><Relationship Id="rId156" Type="http://schemas.openxmlformats.org/officeDocument/2006/relationships/hyperlink" Target="http://www.sec.gov/Archives/edgar/data/850209/000093041314001548/c77055_ex10-3.htm" TargetMode="External"/><Relationship Id="rId157" Type="http://schemas.openxmlformats.org/officeDocument/2006/relationships/hyperlink" Target="http://www.sec.gov/Archives/edgar/data/850209/000153949719000850/exh10-1.htm" TargetMode="External"/><Relationship Id="rId159" Type="http://schemas.openxmlformats.org/officeDocument/2006/relationships/hyperlink" Target="http://www.sec.gov/Archives/edgar/data/850209/000085020919000007/fl-20190803ex101ab38cb.htm" TargetMode="External"/><Relationship Id="rId160" Type="http://schemas.openxmlformats.org/officeDocument/2006/relationships/hyperlink" Target="http://www.sec.gov/Archives/edgar/data/850209/000120677409000650/exhibit_10-26.htm" TargetMode="External"/><Relationship Id="rId161" Type="http://schemas.openxmlformats.org/officeDocument/2006/relationships/hyperlink" Target="http://www.sec.gov/Archives/edgar/data/850209/000120677409000650/exhibit_10-27.htm" TargetMode="External"/><Relationship Id="rId162" Type="http://schemas.openxmlformats.org/officeDocument/2006/relationships/hyperlink" Target="http://www.sec.gov/Archives/edgar/data/850209/000120677409000650/exhibit_10-28.htm" TargetMode="External"/><Relationship Id="rId163" Type="http://schemas.openxmlformats.org/officeDocument/2006/relationships/hyperlink" Target="http://www.sec.gov/Archives/edgar/data/850209/000120677409000650/exhibit_10-32.htm" TargetMode="External"/><Relationship Id="rId164" Type="http://schemas.openxmlformats.org/officeDocument/2006/relationships/hyperlink" Target="http://www.sec.gov/Archives/edgar/data/850209/000095012301503422/y50352ex10-5.txt" TargetMode="External"/><Relationship Id="rId165" Type="http://schemas.openxmlformats.org/officeDocument/2006/relationships/hyperlink" Target="http://www.sec.gov/Archives/edgar/data/850209/000095012301503422/y50352ex10-4.txt" TargetMode="External"/><Relationship Id="rId166" Type="http://schemas.openxmlformats.org/officeDocument/2006/relationships/hyperlink" Target="http://www.sec.gov/Archives/edgar/data/850209/000093041314004495/c79195_ex10-2.htm" TargetMode="External"/><Relationship Id="rId167" Type="http://schemas.openxmlformats.org/officeDocument/2006/relationships/hyperlink" Target="http://www.sec.gov/Archives/edgar/data/850209/000093041315001838/c81054_ex10-1.htm" TargetMode="External"/><Relationship Id="rId168" Type="http://schemas.openxmlformats.org/officeDocument/2006/relationships/hyperlink" Target="http://www.sec.gov/Archives/edgar/data/850209/000114420416090138/v429676_ex10x19.htm" TargetMode="External"/><Relationship Id="rId169" Type="http://schemas.openxmlformats.org/officeDocument/2006/relationships/hyperlink" Target="https://www.sec.gov/Archives/edgar/data/0000850209/000153949720001149/exh_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2021-03-26T19:16:20Z</dcterms:created>
  <dcterms:modified xsi:type="dcterms:W3CDTF">2021-03-26T19:16:20Z</dcterms:modified>
</cp:coreProperties>
</file>