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3950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83820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4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7"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spacing w:after="0" w:line="294" w:lineRule="exact"/>
        <w:rPr>
          <w:sz w:val="24"/>
          <w:szCs w:val="24"/>
          <w:color w:val="auto"/>
        </w:rPr>
      </w:pPr>
    </w:p>
    <w:p>
      <w:pPr>
        <w:ind w:left="3720" w:right="2000" w:hanging="3429"/>
        <w:spacing w:after="0" w:line="486" w:lineRule="auto"/>
        <w:tabs>
          <w:tab w:leader="none" w:pos="70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w:t>
      </w:r>
      <w:r>
        <w:rPr>
          <w:rFonts w:ascii="Arial" w:cs="Arial" w:eastAsia="Arial" w:hAnsi="Arial"/>
          <w:sz w:val="14"/>
          <w:szCs w:val="14"/>
          <w:color w:val="auto"/>
        </w:rPr>
        <w:t>For the quarterly period ended: May 1, 2021</w:t>
      </w:r>
    </w:p>
    <w:p>
      <w:pPr>
        <w:ind w:left="5020"/>
        <w:spacing w:after="0"/>
        <w:rPr>
          <w:rFonts w:ascii="MS PGothic" w:cs="MS PGothic" w:eastAsia="MS PGothic" w:hAnsi="MS PGothic"/>
          <w:sz w:val="14"/>
          <w:szCs w:val="14"/>
          <w:color w:val="auto"/>
        </w:rPr>
      </w:pPr>
      <w:r>
        <w:rPr>
          <w:rFonts w:ascii="Arial" w:cs="Arial" w:eastAsia="Arial" w:hAnsi="Arial"/>
          <w:sz w:val="14"/>
          <w:szCs w:val="14"/>
          <w:color w:val="auto"/>
        </w:rPr>
        <w:t>OR</w:t>
      </w:r>
    </w:p>
    <w:p>
      <w:pPr>
        <w:spacing w:after="0" w:line="307" w:lineRule="exact"/>
        <w:rPr>
          <w:sz w:val="24"/>
          <w:szCs w:val="24"/>
          <w:color w:val="auto"/>
        </w:rPr>
      </w:pPr>
    </w:p>
    <w:p>
      <w:pPr>
        <w:ind w:left="3280" w:right="2000" w:hanging="2989"/>
        <w:spacing w:after="0" w:line="476" w:lineRule="auto"/>
        <w:tabs>
          <w:tab w:leader="none" w:pos="702"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4020"/>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288925</wp:posOffset>
            </wp:positionV>
            <wp:extent cx="2425700"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2832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143510</wp:posOffset>
            </wp:positionV>
            <wp:extent cx="15944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143510</wp:posOffset>
            </wp:positionV>
            <wp:extent cx="15944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ectPr>
          <w:pgSz w:w="11900" w:h="16838" w:orient="portrait"/>
          <w:cols w:equalWidth="0" w:num="1">
            <w:col w:w="10080"/>
          </w:cols>
          <w:pgMar w:left="980" w:top="665"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4" w:lineRule="exact"/>
        <w:rPr>
          <w:sz w:val="24"/>
          <w:szCs w:val="24"/>
          <w:color w:val="auto"/>
        </w:rPr>
      </w:pPr>
    </w:p>
    <w:p>
      <w:pPr>
        <w:jc w:val="center"/>
        <w:ind w:right="1340"/>
        <w:spacing w:after="0"/>
        <w:rPr>
          <w:sz w:val="20"/>
          <w:szCs w:val="20"/>
          <w:color w:val="auto"/>
        </w:rPr>
      </w:pPr>
      <w:r>
        <w:rPr>
          <w:rFonts w:ascii="Arial" w:cs="Arial" w:eastAsia="Arial" w:hAnsi="Arial"/>
          <w:sz w:val="14"/>
          <w:szCs w:val="14"/>
          <w:b w:val="1"/>
          <w:bCs w:val="1"/>
          <w:color w:val="auto"/>
        </w:rPr>
        <w:t>13-3513936</w:t>
      </w:r>
    </w:p>
    <w:p>
      <w:pPr>
        <w:spacing w:after="0" w:line="19" w:lineRule="exact"/>
        <w:rPr>
          <w:sz w:val="24"/>
          <w:szCs w:val="24"/>
          <w:color w:val="auto"/>
        </w:rPr>
      </w:pPr>
    </w:p>
    <w:p>
      <w:pPr>
        <w:jc w:val="center"/>
        <w:ind w:right="1340"/>
        <w:spacing w:after="0"/>
        <w:rPr>
          <w:sz w:val="20"/>
          <w:szCs w:val="20"/>
          <w:color w:val="auto"/>
        </w:rPr>
      </w:pPr>
      <w:r>
        <w:rPr>
          <w:rFonts w:ascii="Arial" w:cs="Arial" w:eastAsia="Arial" w:hAnsi="Arial"/>
          <w:sz w:val="14"/>
          <w:szCs w:val="14"/>
          <w:color w:val="auto"/>
        </w:rPr>
        <w:t>(I.R.S. Employer Identification No.)</w:t>
      </w:r>
    </w:p>
    <w:p>
      <w:pPr>
        <w:spacing w:after="0" w:line="84" w:lineRule="exact"/>
        <w:rPr>
          <w:sz w:val="24"/>
          <w:szCs w:val="24"/>
          <w:color w:val="auto"/>
        </w:rPr>
      </w:pPr>
    </w:p>
    <w:p>
      <w:pPr>
        <w:sectPr>
          <w:pgSz w:w="11900" w:h="16838" w:orient="portrait"/>
          <w:cols w:equalWidth="0" w:num="2">
            <w:col w:w="5820" w:space="720"/>
            <w:col w:w="3540"/>
          </w:cols>
          <w:pgMar w:left="980" w:top="665" w:right="83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Street, New York, New York 10001</w:t>
      </w: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(212-720-3700)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38" w:lineRule="exact"/>
        <w:rPr>
          <w:sz w:val="24"/>
          <w:szCs w:val="24"/>
          <w:color w:val="auto"/>
        </w:rPr>
      </w:pPr>
    </w:p>
    <w:tbl>
      <w:tblPr>
        <w:tblLayout w:type="fixed"/>
        <w:tblInd w:w="1350" w:type="dxa"/>
        <w:tblCellMar>
          <w:top w:w="0" w:type="dxa"/>
          <w:left w:w="0" w:type="dxa"/>
          <w:bottom w:w="0" w:type="dxa"/>
          <w:right w:w="0" w:type="dxa"/>
        </w:tblCellMar>
      </w:tblPr>
      <w:tr>
        <w:trPr>
          <w:trHeight w:val="162"/>
        </w:trPr>
        <w:tc>
          <w:tcPr>
            <w:tcW w:w="3060" w:type="dxa"/>
            <w:vAlign w:val="bottom"/>
            <w:tcBorders>
              <w:top w:val="single" w:sz="8" w:color="auto"/>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Title of each class</w:t>
            </w:r>
          </w:p>
        </w:tc>
        <w:tc>
          <w:tcPr>
            <w:tcW w:w="132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Trading</w:t>
            </w:r>
          </w:p>
        </w:tc>
        <w:tc>
          <w:tcPr>
            <w:tcW w:w="306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w:t>
            </w:r>
          </w:p>
        </w:tc>
      </w:tr>
      <w:tr>
        <w:trPr>
          <w:trHeight w:val="190"/>
        </w:trPr>
        <w:tc>
          <w:tcPr>
            <w:tcW w:w="306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Symbol(s)</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registered</w:t>
            </w:r>
          </w:p>
        </w:tc>
      </w:tr>
      <w:tr>
        <w:trPr>
          <w:trHeight w:val="133"/>
        </w:trPr>
        <w:tc>
          <w:tcPr>
            <w:tcW w:w="306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3060" w:type="dxa"/>
            <w:vAlign w:val="bottom"/>
            <w:tcBorders>
              <w:bottom w:val="single" w:sz="8" w:color="auto"/>
              <w:right w:val="single" w:sz="8" w:color="auto"/>
            </w:tcBorders>
          </w:tcPr>
          <w:p>
            <w:pPr>
              <w:spacing w:after="0"/>
              <w:rPr>
                <w:sz w:val="11"/>
                <w:szCs w:val="11"/>
                <w:color w:val="auto"/>
              </w:rPr>
            </w:pPr>
          </w:p>
        </w:tc>
      </w:tr>
      <w:tr>
        <w:trPr>
          <w:trHeight w:val="160"/>
        </w:trPr>
        <w:tc>
          <w:tcPr>
            <w:tcW w:w="3060" w:type="dxa"/>
            <w:vAlign w:val="bottom"/>
            <w:tcBorders>
              <w:left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rPr>
              <w:t>Common Stock, par value $0.01</w:t>
            </w:r>
          </w:p>
        </w:tc>
        <w:tc>
          <w:tcPr>
            <w:tcW w:w="132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w w:val="97"/>
              </w:rPr>
              <w:t>FL</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rPr>
              <w:t>New York Stock Exchange</w:t>
            </w:r>
          </w:p>
        </w:tc>
      </w:tr>
      <w:tr>
        <w:trPr>
          <w:trHeight w:val="157"/>
        </w:trPr>
        <w:tc>
          <w:tcPr>
            <w:tcW w:w="3060" w:type="dxa"/>
            <w:vAlign w:val="bottom"/>
            <w:tcBorders>
              <w:left w:val="single" w:sz="8" w:color="auto"/>
              <w:bottom w:val="single" w:sz="8" w:color="auto"/>
              <w:right w:val="single" w:sz="8" w:color="auto"/>
            </w:tcBorders>
          </w:tcPr>
          <w:p>
            <w:pPr>
              <w:jc w:val="center"/>
              <w:ind w:left="88"/>
              <w:spacing w:after="0" w:line="157" w:lineRule="exact"/>
              <w:rPr>
                <w:sz w:val="20"/>
                <w:szCs w:val="20"/>
                <w:color w:val="auto"/>
              </w:rPr>
            </w:pPr>
            <w:r>
              <w:rPr>
                <w:rFonts w:ascii="Arial" w:cs="Arial" w:eastAsia="Arial" w:hAnsi="Arial"/>
                <w:sz w:val="14"/>
                <w:szCs w:val="14"/>
                <w:color w:val="auto"/>
              </w:rPr>
              <w:t>Preferred Stock Purchase Rights</w:t>
            </w:r>
          </w:p>
        </w:tc>
        <w:tc>
          <w:tcPr>
            <w:tcW w:w="132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tcPr>
          <w:p>
            <w:pPr>
              <w:jc w:val="center"/>
              <w:ind w:left="48"/>
              <w:spacing w:after="0" w:line="157" w:lineRule="exact"/>
              <w:rPr>
                <w:sz w:val="20"/>
                <w:szCs w:val="20"/>
                <w:color w:val="auto"/>
              </w:rPr>
            </w:pPr>
            <w:r>
              <w:rPr>
                <w:rFonts w:ascii="Arial" w:cs="Arial" w:eastAsia="Arial" w:hAnsi="Arial"/>
                <w:sz w:val="14"/>
                <w:szCs w:val="14"/>
                <w:color w:val="auto"/>
              </w:rPr>
              <w:t>New York Stock Exchange</w:t>
            </w:r>
          </w:p>
        </w:tc>
      </w:tr>
    </w:tbl>
    <w:p>
      <w:pPr>
        <w:spacing w:after="0" w:line="167" w:lineRule="exact"/>
        <w:rPr>
          <w:sz w:val="24"/>
          <w:szCs w:val="24"/>
          <w:color w:val="auto"/>
        </w:rPr>
      </w:pPr>
    </w:p>
    <w:p>
      <w:pPr>
        <w:jc w:val="both"/>
        <w:ind w:left="180" w:right="20"/>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7" w:lineRule="exact"/>
        <w:rPr>
          <w:sz w:val="24"/>
          <w:szCs w:val="24"/>
          <w:color w:val="auto"/>
        </w:rPr>
      </w:pPr>
    </w:p>
    <w:p>
      <w:pPr>
        <w:jc w:val="both"/>
        <w:ind w:left="18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p>
      <w:pPr>
        <w:ind w:left="180" w:right="480"/>
        <w:spacing w:after="0" w:line="20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50" w:lineRule="exact"/>
        <w:rPr>
          <w:sz w:val="24"/>
          <w:szCs w:val="24"/>
          <w:color w:val="auto"/>
        </w:rPr>
      </w:pPr>
    </w:p>
    <w:p>
      <w:pPr>
        <w:ind w:left="180" w:right="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180" w:right="1880"/>
        <w:spacing w:after="0" w:line="26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June 4, 2021: 103,544,361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556895</wp:posOffset>
            </wp:positionV>
            <wp:extent cx="639508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508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8255</wp:posOffset>
            </wp:positionV>
            <wp:extent cx="63950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39508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34290"/>
                    </a:xfrm>
                    <a:prstGeom prst="rect">
                      <a:avLst/>
                    </a:prstGeom>
                    <a:noFill/>
                  </pic:spPr>
                </pic:pic>
              </a:graphicData>
            </a:graphic>
          </wp:anchor>
        </w:drawing>
      </w:r>
    </w:p>
    <w:p>
      <w:pPr>
        <w:sectPr>
          <w:pgSz w:w="11900" w:h="16838" w:orient="portrait"/>
          <w:cols w:equalWidth="0" w:num="1">
            <w:col w:w="10080"/>
          </w:cols>
          <w:pgMar w:left="980" w:top="665" w:right="839" w:bottom="1440" w:gutter="0" w:footer="0" w:header="0"/>
          <w:type w:val="continuous"/>
        </w:sectPr>
      </w:pPr>
    </w:p>
    <w:bookmarkStart w:id="1" w:name="page2"/>
    <w:bookmarkEnd w:id="1"/>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40" w:type="dxa"/>
            <w:vAlign w:val="bottom"/>
            <w:gridSpan w:val="10"/>
          </w:tcPr>
          <w:p>
            <w:pPr>
              <w:ind w:left="1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Page</w:t>
            </w:r>
          </w:p>
        </w:tc>
      </w:tr>
      <w:tr>
        <w:trPr>
          <w:trHeight w:val="156"/>
        </w:trPr>
        <w:tc>
          <w:tcPr>
            <w:tcW w:w="760" w:type="dxa"/>
            <w:vAlign w:val="bottom"/>
            <w:tcBorders>
              <w:top w:val="single" w:sz="8" w:color="CCEEFF"/>
            </w:tcBorders>
            <w:gridSpan w:val="3"/>
            <w:shd w:val="clear" w:color="auto" w:fill="CCEEFF"/>
          </w:tcPr>
          <w:p>
            <w:pPr>
              <w:spacing w:after="0" w:line="136" w:lineRule="exact"/>
              <w:rPr>
                <w:rFonts w:ascii="Arial" w:cs="Arial" w:eastAsia="Arial" w:hAnsi="Arial"/>
                <w:sz w:val="15"/>
                <w:szCs w:val="15"/>
                <w:color w:val="0000EE"/>
              </w:rPr>
            </w:pPr>
            <w:hyperlink w:anchor="page4">
              <w:r>
                <w:rPr>
                  <w:rFonts w:ascii="Arial" w:cs="Arial" w:eastAsia="Arial" w:hAnsi="Arial"/>
                  <w:sz w:val="15"/>
                  <w:szCs w:val="15"/>
                  <w:color w:val="0000EE"/>
                </w:rPr>
                <w:t>PART I</w:t>
              </w:r>
            </w:hyperlink>
          </w:p>
        </w:tc>
        <w:tc>
          <w:tcPr>
            <w:tcW w:w="7380" w:type="dxa"/>
            <w:vAlign w:val="bottom"/>
            <w:tcBorders>
              <w:top w:val="single" w:sz="8" w:color="CCEEFF"/>
            </w:tcBorders>
            <w:gridSpan w:val="21"/>
            <w:shd w:val="clear" w:color="auto" w:fill="CCEEFF"/>
          </w:tcPr>
          <w:p>
            <w:pPr>
              <w:ind w:left="120"/>
              <w:spacing w:after="0" w:line="136" w:lineRule="exact"/>
              <w:rPr>
                <w:rFonts w:ascii="Arial" w:cs="Arial" w:eastAsia="Arial" w:hAnsi="Arial"/>
                <w:sz w:val="15"/>
                <w:szCs w:val="15"/>
                <w:color w:val="0000EE"/>
              </w:rPr>
            </w:pPr>
            <w:hyperlink w:anchor="page4">
              <w:r>
                <w:rPr>
                  <w:rFonts w:ascii="Arial" w:cs="Arial" w:eastAsia="Arial" w:hAnsi="Arial"/>
                  <w:sz w:val="15"/>
                  <w:szCs w:val="15"/>
                  <w:color w:val="0000EE"/>
                </w:rPr>
                <w:t>FINANCIAL INFORMATION</w:t>
              </w:r>
            </w:hyperlink>
          </w:p>
        </w:tc>
        <w:tc>
          <w:tcPr>
            <w:tcW w:w="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5"/>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520" w:type="dxa"/>
            <w:vAlign w:val="bottom"/>
            <w:gridSpan w:val="1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520" w:type="dxa"/>
            <w:vAlign w:val="bottom"/>
            <w:gridSpan w:val="1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5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Comprehensive Income (Loss)</w:t>
              </w:r>
            </w:hyperlink>
          </w:p>
        </w:tc>
        <w:tc>
          <w:tcPr>
            <w:tcW w:w="820" w:type="dxa"/>
            <w:vAlign w:val="bottom"/>
            <w:tcBorders>
              <w:bottom w:val="single" w:sz="8" w:color="CCEEFF"/>
            </w:tcBorders>
            <w:gridSpan w:val="3"/>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9"/>
                <w:szCs w:val="19"/>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520" w:type="dxa"/>
            <w:vAlign w:val="bottom"/>
            <w:gridSpan w:val="1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Shareholders’ Equity</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16"/>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520" w:type="dxa"/>
            <w:vAlign w:val="bottom"/>
            <w:gridSpan w:val="16"/>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Unaudited Condensed Consolidated Financial Statements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Item 2.</w:t>
              </w:r>
            </w:hyperlink>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61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Management’s Discussion and Analysis of Financial Condition and Results of</w:t>
              </w:r>
            </w:hyperlink>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17</w:t>
            </w:r>
          </w:p>
        </w:tc>
        <w:tc>
          <w:tcPr>
            <w:tcW w:w="20" w:type="dxa"/>
            <w:vAlign w:val="bottom"/>
          </w:tcPr>
          <w:p>
            <w:pPr>
              <w:spacing w:after="0"/>
              <w:rPr>
                <w:sz w:val="15"/>
                <w:szCs w:val="15"/>
                <w:color w:val="auto"/>
              </w:rPr>
            </w:pPr>
          </w:p>
        </w:tc>
      </w:tr>
      <w:tr>
        <w:trPr>
          <w:trHeight w:val="183"/>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16"/>
            <w:shd w:val="clear" w:color="auto" w:fill="CCEEFF"/>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Operations</w:t>
              </w:r>
            </w:hyperlink>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5"/>
          </w:tcPr>
          <w:p>
            <w:pPr>
              <w:ind w:left="1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6520" w:type="dxa"/>
            <w:vAlign w:val="bottom"/>
            <w:gridSpan w:val="1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27</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760" w:type="dxa"/>
            <w:vAlign w:val="bottom"/>
            <w:gridSpan w:val="3"/>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PART II</w:t>
              </w:r>
            </w:hyperlink>
          </w:p>
        </w:tc>
        <w:tc>
          <w:tcPr>
            <w:tcW w:w="7380" w:type="dxa"/>
            <w:vAlign w:val="bottom"/>
            <w:gridSpan w:val="21"/>
          </w:tcPr>
          <w:p>
            <w:pPr>
              <w:ind w:left="1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27</w:t>
            </w:r>
          </w:p>
        </w:tc>
        <w:tc>
          <w:tcPr>
            <w:tcW w:w="20" w:type="dxa"/>
            <w:vAlign w:val="bottom"/>
          </w:tcPr>
          <w:p>
            <w:pPr>
              <w:spacing w:after="0"/>
              <w:rPr>
                <w:sz w:val="15"/>
                <w:szCs w:val="15"/>
                <w:color w:val="auto"/>
              </w:rPr>
            </w:pPr>
          </w:p>
        </w:tc>
      </w:tr>
      <w:tr>
        <w:trPr>
          <w:trHeight w:val="48"/>
        </w:trPr>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Item 1.</w:t>
              </w:r>
            </w:hyperlink>
          </w:p>
        </w:tc>
        <w:tc>
          <w:tcPr>
            <w:tcW w:w="180" w:type="dxa"/>
            <w:vAlign w:val="bottom"/>
            <w:gridSpan w:val="2"/>
            <w:shd w:val="clear" w:color="auto" w:fill="CCEEFF"/>
          </w:tcPr>
          <w:p>
            <w:pPr>
              <w:spacing w:after="0"/>
              <w:rPr>
                <w:sz w:val="15"/>
                <w:szCs w:val="15"/>
                <w:color w:val="auto"/>
              </w:rPr>
            </w:pPr>
          </w:p>
        </w:tc>
        <w:tc>
          <w:tcPr>
            <w:tcW w:w="6520" w:type="dxa"/>
            <w:vAlign w:val="bottom"/>
            <w:gridSpan w:val="16"/>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27</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6520" w:type="dxa"/>
            <w:vAlign w:val="bottom"/>
            <w:gridSpan w:val="1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27</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Item 2.</w:t>
              </w:r>
            </w:hyperlink>
          </w:p>
        </w:tc>
        <w:tc>
          <w:tcPr>
            <w:tcW w:w="180" w:type="dxa"/>
            <w:vAlign w:val="bottom"/>
            <w:gridSpan w:val="2"/>
            <w:shd w:val="clear" w:color="auto" w:fill="CCEEFF"/>
          </w:tcPr>
          <w:p>
            <w:pPr>
              <w:spacing w:after="0"/>
              <w:rPr>
                <w:sz w:val="19"/>
                <w:szCs w:val="19"/>
                <w:color w:val="auto"/>
              </w:rPr>
            </w:pPr>
          </w:p>
        </w:tc>
        <w:tc>
          <w:tcPr>
            <w:tcW w:w="6520" w:type="dxa"/>
            <w:vAlign w:val="bottom"/>
            <w:gridSpan w:val="16"/>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28</w:t>
            </w:r>
          </w:p>
        </w:tc>
        <w:tc>
          <w:tcPr>
            <w:tcW w:w="20" w:type="dxa"/>
            <w:vAlign w:val="bottom"/>
          </w:tcPr>
          <w:p>
            <w:pPr>
              <w:spacing w:after="0"/>
              <w:rPr>
                <w:sz w:val="19"/>
                <w:szCs w:val="19"/>
                <w:color w:val="auto"/>
              </w:rPr>
            </w:pPr>
          </w:p>
        </w:tc>
      </w:tr>
      <w:tr>
        <w:trPr>
          <w:trHeight w:val="175"/>
        </w:trPr>
        <w:tc>
          <w:tcPr>
            <w:tcW w:w="5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60" w:type="dxa"/>
            <w:vAlign w:val="bottom"/>
            <w:tcBorders>
              <w:top w:val="single" w:sz="8" w:color="0000EE"/>
            </w:tcBorders>
            <w:gridSpan w:val="2"/>
          </w:tcPr>
          <w:p>
            <w:pPr>
              <w:spacing w:after="0" w:line="17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Item 6.</w:t>
              </w:r>
            </w:hyperlink>
          </w:p>
        </w:tc>
        <w:tc>
          <w:tcPr>
            <w:tcW w:w="180" w:type="dxa"/>
            <w:vAlign w:val="bottom"/>
            <w:tcBorders>
              <w:top w:val="single" w:sz="8" w:color="CCEEFF"/>
            </w:tcBorders>
            <w:gridSpan w:val="2"/>
          </w:tcPr>
          <w:p>
            <w:pPr>
              <w:spacing w:after="0"/>
              <w:rPr>
                <w:sz w:val="15"/>
                <w:szCs w:val="15"/>
                <w:color w:val="auto"/>
              </w:rPr>
            </w:pPr>
          </w:p>
        </w:tc>
        <w:tc>
          <w:tcPr>
            <w:tcW w:w="486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1660" w:type="dxa"/>
            <w:vAlign w:val="bottom"/>
            <w:tcBorders>
              <w:top w:val="single" w:sz="8" w:color="CCEEFF"/>
            </w:tcBorders>
            <w:gridSpan w:val="5"/>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29</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1620" w:type="dxa"/>
            <w:vAlign w:val="bottom"/>
            <w:gridSpan w:val="8"/>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SIGNATURE</w:t>
              </w:r>
            </w:hyperlink>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30</w:t>
            </w:r>
          </w:p>
        </w:tc>
        <w:tc>
          <w:tcPr>
            <w:tcW w:w="20" w:type="dxa"/>
            <w:vAlign w:val="bottom"/>
          </w:tcPr>
          <w:p>
            <w:pPr>
              <w:spacing w:after="0"/>
              <w:rPr>
                <w:sz w:val="15"/>
                <w:szCs w:val="15"/>
                <w:color w:val="auto"/>
              </w:rPr>
            </w:pPr>
          </w:p>
        </w:tc>
      </w:tr>
      <w:tr>
        <w:trPr>
          <w:trHeight w:val="1270"/>
        </w:trPr>
        <w:tc>
          <w:tcPr>
            <w:tcW w:w="5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jc w:val="both"/>
        <w:ind w:left="80" w:right="99"/>
        <w:spacing w:after="0" w:line="235"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These statements include statements relating to trends in or expectations relating to the expected effects of our initiatives, strategies and plans, as well as trends in or expectations regarding our financial results and long-term growth model and drivers, tax rates, business opportunities and expansion, strategic acquisitions or investments, expenses, dividends, share repurchases, and our mitigation strategies, liquidity, cash flow from operations, use of cash and cash requirements, investments, borrowing capacity and use of proceeds, repatriation of cash to the U.S., and the effects of the coronavirus pandemic (COVID-19), supply chain issues, and social unrest on our financial results.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These forward-looking statements are all based on currently available operating, financial, and competitive information and are subject to various risks and uncertainties, many of which are unforeseeable and beyond our control, such as the ongoing uncertainty caused by the COVID-19 pandemic. Additional risks and uncertainties that we do not presently know about or that we currently consider to be insignificant may also affect our business operations and financial performance.</w:t>
      </w:r>
    </w:p>
    <w:p>
      <w:pPr>
        <w:spacing w:after="0" w:line="199" w:lineRule="exact"/>
        <w:rPr>
          <w:sz w:val="20"/>
          <w:szCs w:val="20"/>
          <w:color w:val="auto"/>
        </w:rPr>
      </w:pPr>
    </w:p>
    <w:p>
      <w:pPr>
        <w:jc w:val="both"/>
        <w:ind w:left="80" w:right="99"/>
        <w:spacing w:after="0" w:line="236" w:lineRule="auto"/>
        <w:rPr>
          <w:sz w:val="20"/>
          <w:szCs w:val="20"/>
          <w:color w:val="auto"/>
        </w:rPr>
      </w:pPr>
      <w:r>
        <w:rPr>
          <w:rFonts w:ascii="Arial" w:cs="Arial" w:eastAsia="Arial" w:hAnsi="Arial"/>
          <w:sz w:val="18"/>
          <w:szCs w:val="18"/>
          <w:color w:val="auto"/>
        </w:rPr>
        <w:t>Please refer to “Item 1A. Risk Factors” of our most recent Annual Report on Form 10-K filed with the U.S. Securities and Exchange Commission. Given these risks and uncertainties, you should not rely on forward-looking statements as a prediction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621030</wp:posOffset>
            </wp:positionV>
            <wp:extent cx="56064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80010</wp:posOffset>
            </wp:positionV>
            <wp:extent cx="183451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459"/>
              <w:spacing w:after="0"/>
              <w:rPr>
                <w:sz w:val="20"/>
                <w:szCs w:val="20"/>
                <w:color w:val="auto"/>
              </w:rPr>
            </w:pPr>
            <w:r>
              <w:rPr>
                <w:rFonts w:ascii="Arial" w:cs="Arial" w:eastAsia="Arial" w:hAnsi="Arial"/>
                <w:sz w:val="16"/>
                <w:szCs w:val="16"/>
                <w:b w:val="1"/>
                <w:bCs w:val="1"/>
                <w:color w:val="auto"/>
              </w:rPr>
              <w:t>May 1,</w:t>
            </w:r>
          </w:p>
        </w:tc>
        <w:tc>
          <w:tcPr>
            <w:tcW w:w="360" w:type="dxa"/>
            <w:vAlign w:val="bottom"/>
          </w:tcPr>
          <w:p>
            <w:pPr>
              <w:spacing w:after="0"/>
              <w:rPr>
                <w:sz w:val="16"/>
                <w:szCs w:val="16"/>
                <w:color w:val="auto"/>
              </w:rPr>
            </w:pPr>
          </w:p>
        </w:tc>
        <w:tc>
          <w:tcPr>
            <w:tcW w:w="1200" w:type="dxa"/>
            <w:vAlign w:val="bottom"/>
          </w:tcPr>
          <w:p>
            <w:pPr>
              <w:jc w:val="right"/>
              <w:ind w:right="459"/>
              <w:spacing w:after="0"/>
              <w:rPr>
                <w:sz w:val="20"/>
                <w:szCs w:val="20"/>
                <w:color w:val="auto"/>
              </w:rPr>
            </w:pPr>
            <w:r>
              <w:rPr>
                <w:rFonts w:ascii="Arial" w:cs="Arial" w:eastAsia="Arial" w:hAnsi="Arial"/>
                <w:sz w:val="16"/>
                <w:szCs w:val="16"/>
                <w:b w:val="1"/>
                <w:bCs w:val="1"/>
                <w:color w:val="auto"/>
              </w:rPr>
              <w:t>May 2,</w:t>
            </w:r>
          </w:p>
        </w:tc>
        <w:tc>
          <w:tcPr>
            <w:tcW w:w="260" w:type="dxa"/>
            <w:vAlign w:val="bottom"/>
          </w:tcPr>
          <w:p>
            <w:pPr>
              <w:spacing w:after="0"/>
              <w:rPr>
                <w:sz w:val="16"/>
                <w:szCs w:val="16"/>
                <w:color w:val="auto"/>
              </w:rPr>
            </w:pPr>
          </w:p>
        </w:tc>
        <w:tc>
          <w:tcPr>
            <w:tcW w:w="1440" w:type="dxa"/>
            <w:vAlign w:val="bottom"/>
          </w:tcPr>
          <w:p>
            <w:pPr>
              <w:jc w:val="right"/>
              <w:ind w:right="399"/>
              <w:spacing w:after="0"/>
              <w:rPr>
                <w:sz w:val="20"/>
                <w:szCs w:val="20"/>
                <w:color w:val="auto"/>
              </w:rPr>
            </w:pPr>
            <w:r>
              <w:rPr>
                <w:rFonts w:ascii="Arial" w:cs="Arial" w:eastAsia="Arial" w:hAnsi="Arial"/>
                <w:sz w:val="16"/>
                <w:szCs w:val="16"/>
                <w:b w:val="1"/>
                <w:bCs w:val="1"/>
                <w:color w:val="auto"/>
              </w:rPr>
              <w:t>January 30,</w:t>
            </w:r>
          </w:p>
        </w:tc>
        <w:tc>
          <w:tcPr>
            <w:tcW w:w="0" w:type="dxa"/>
            <w:vAlign w:val="bottom"/>
          </w:tcPr>
          <w:p>
            <w:pPr>
              <w:spacing w:after="0"/>
              <w:rPr>
                <w:sz w:val="1"/>
                <w:szCs w:val="1"/>
                <w:color w:val="auto"/>
              </w:rPr>
            </w:pPr>
          </w:p>
        </w:tc>
      </w:tr>
      <w:tr>
        <w:trPr>
          <w:trHeight w:val="207"/>
        </w:trPr>
        <w:tc>
          <w:tcPr>
            <w:tcW w:w="4040" w:type="dxa"/>
            <w:vAlign w:val="bottom"/>
            <w:gridSpan w:val="2"/>
          </w:tcPr>
          <w:p>
            <w:pPr>
              <w:spacing w:after="0"/>
              <w:rPr>
                <w:sz w:val="20"/>
                <w:szCs w:val="20"/>
                <w:color w:val="auto"/>
              </w:rPr>
            </w:pPr>
            <w:r>
              <w:rPr>
                <w:rFonts w:ascii="Arial" w:cs="Arial" w:eastAsia="Arial" w:hAnsi="Arial"/>
                <w:sz w:val="16"/>
                <w:szCs w:val="16"/>
                <w:color w:val="auto"/>
              </w:rPr>
              <w:t>($ in millions, except share amounts)</w:t>
            </w:r>
          </w:p>
        </w:tc>
        <w:tc>
          <w:tcPr>
            <w:tcW w:w="40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1440" w:type="dxa"/>
            <w:vAlign w:val="bottom"/>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4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Cash and cash equivalents</w:t>
            </w:r>
          </w:p>
        </w:tc>
        <w:tc>
          <w:tcPr>
            <w:tcW w:w="4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1,963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1,012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Merchandise inventories</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1,021</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1,458</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current assets</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283</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268</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3,267</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2,738</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2,835</w:t>
            </w: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4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769</w:t>
            </w:r>
          </w:p>
        </w:tc>
        <w:tc>
          <w:tcPr>
            <w:tcW w:w="3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787</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2,700</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2,807</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2,716</w:t>
            </w: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Deferred taxes</w:t>
            </w:r>
          </w:p>
        </w:tc>
        <w:tc>
          <w:tcPr>
            <w:tcW w:w="4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101</w:t>
            </w:r>
          </w:p>
        </w:tc>
        <w:tc>
          <w:tcPr>
            <w:tcW w:w="3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63</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159</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156</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Other intangible assets, net</w:t>
            </w:r>
          </w:p>
        </w:tc>
        <w:tc>
          <w:tcPr>
            <w:tcW w:w="4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16</w:t>
            </w:r>
          </w:p>
        </w:tc>
        <w:tc>
          <w:tcPr>
            <w:tcW w:w="3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Minority investments</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342</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4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88</w:t>
            </w:r>
          </w:p>
        </w:tc>
        <w:tc>
          <w:tcPr>
            <w:tcW w:w="3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7,442</w:t>
            </w:r>
          </w:p>
        </w:tc>
        <w:tc>
          <w:tcPr>
            <w:tcW w:w="36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6,796</w:t>
            </w:r>
          </w:p>
        </w:tc>
        <w:tc>
          <w:tcPr>
            <w:tcW w:w="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7,043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4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658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468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Accrued and other liabilities</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572</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264</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Current portion of debt and obligations under finance</w:t>
            </w:r>
          </w:p>
        </w:tc>
        <w:tc>
          <w:tcPr>
            <w:tcW w:w="400" w:type="dxa"/>
            <w:vAlign w:val="bottom"/>
          </w:tcPr>
          <w:p>
            <w:pPr>
              <w:spacing w:after="0"/>
              <w:rPr>
                <w:sz w:val="16"/>
                <w:szCs w:val="16"/>
                <w:color w:val="auto"/>
              </w:rPr>
            </w:pPr>
          </w:p>
        </w:tc>
        <w:tc>
          <w:tcPr>
            <w:tcW w:w="12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101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tcPr>
          <w:p>
            <w:pPr>
              <w:ind w:left="240"/>
              <w:spacing w:after="0"/>
              <w:rPr>
                <w:sz w:val="20"/>
                <w:szCs w:val="20"/>
                <w:color w:val="auto"/>
              </w:rPr>
            </w:pPr>
            <w:r>
              <w:rPr>
                <w:rFonts w:ascii="Arial" w:cs="Arial" w:eastAsia="Arial" w:hAnsi="Arial"/>
                <w:sz w:val="16"/>
                <w:szCs w:val="16"/>
                <w:color w:val="auto"/>
              </w:rPr>
              <w:t>leases</w:t>
            </w:r>
          </w:p>
        </w:tc>
        <w:tc>
          <w:tcPr>
            <w:tcW w:w="4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Current portion of lease obligations</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582</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581</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Revolving credit facility</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330</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1,913</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1,643</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Long-term debt and obligations under finance leases</w:t>
            </w:r>
          </w:p>
        </w:tc>
        <w:tc>
          <w:tcPr>
            <w:tcW w:w="4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8</w:t>
            </w:r>
          </w:p>
        </w:tc>
        <w:tc>
          <w:tcPr>
            <w:tcW w:w="3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121</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Long-term lease obligations</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2,470</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2,591</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4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121</w:t>
            </w:r>
          </w:p>
        </w:tc>
        <w:tc>
          <w:tcPr>
            <w:tcW w:w="3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127</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Total liabilities</w:t>
            </w:r>
          </w:p>
        </w:tc>
        <w:tc>
          <w:tcPr>
            <w:tcW w:w="4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4,512</w:t>
            </w:r>
          </w:p>
        </w:tc>
        <w:tc>
          <w:tcPr>
            <w:tcW w:w="3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4,482</w:t>
            </w:r>
          </w:p>
        </w:tc>
        <w:tc>
          <w:tcPr>
            <w:tcW w:w="2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4,267</w:t>
            </w: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Commitments and contingencies</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Common stock and paid-in capital: 104,286,151;</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ind w:left="200"/>
              <w:spacing w:after="0"/>
              <w:rPr>
                <w:sz w:val="20"/>
                <w:szCs w:val="20"/>
                <w:color w:val="auto"/>
              </w:rPr>
            </w:pPr>
            <w:r>
              <w:rPr>
                <w:rFonts w:ascii="Arial" w:cs="Arial" w:eastAsia="Arial" w:hAnsi="Arial"/>
                <w:sz w:val="16"/>
                <w:szCs w:val="16"/>
                <w:color w:val="auto"/>
              </w:rPr>
              <w:t>104,245,181; and 103,693,359 shares issued,</w:t>
            </w:r>
          </w:p>
        </w:tc>
        <w:tc>
          <w:tcPr>
            <w:tcW w:w="400" w:type="dxa"/>
            <w:vAlign w:val="bottom"/>
          </w:tcPr>
          <w:p>
            <w:pPr>
              <w:spacing w:after="0"/>
              <w:rPr>
                <w:sz w:val="16"/>
                <w:szCs w:val="16"/>
                <w:color w:val="auto"/>
              </w:rPr>
            </w:pPr>
          </w:p>
        </w:tc>
        <w:tc>
          <w:tcPr>
            <w:tcW w:w="12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791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4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767</w:t>
            </w:r>
          </w:p>
        </w:tc>
        <w:tc>
          <w:tcPr>
            <w:tcW w:w="26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2,507</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1,951</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2,326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(326)</w:t>
            </w:r>
          </w:p>
        </w:tc>
        <w:tc>
          <w:tcPr>
            <w:tcW w:w="36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260" w:type="dxa"/>
            <w:vAlign w:val="bottom"/>
          </w:tcPr>
          <w:p>
            <w:pPr>
              <w:spacing w:after="0"/>
              <w:rPr>
                <w:sz w:val="16"/>
                <w:szCs w:val="16"/>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Less: Treasury stock at cost: 886,661; 22,879;</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ind w:left="200"/>
              <w:spacing w:after="0"/>
              <w:rPr>
                <w:sz w:val="20"/>
                <w:szCs w:val="20"/>
                <w:color w:val="auto"/>
              </w:rPr>
            </w:pPr>
            <w:r>
              <w:rPr>
                <w:rFonts w:ascii="Arial" w:cs="Arial" w:eastAsia="Arial" w:hAnsi="Arial"/>
                <w:sz w:val="16"/>
                <w:szCs w:val="16"/>
                <w:color w:val="auto"/>
              </w:rPr>
              <w:t>and 74,236 shares, respectively</w:t>
            </w:r>
          </w:p>
        </w:tc>
        <w:tc>
          <w:tcPr>
            <w:tcW w:w="40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(47)</w:t>
            </w:r>
          </w:p>
        </w:tc>
        <w:tc>
          <w:tcPr>
            <w:tcW w:w="3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Noncontrolling interest</w:t>
            </w:r>
          </w:p>
        </w:tc>
        <w:tc>
          <w:tcPr>
            <w:tcW w:w="4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line="183" w:lineRule="exact"/>
              <w:rPr>
                <w:sz w:val="20"/>
                <w:szCs w:val="20"/>
                <w:color w:val="auto"/>
              </w:rPr>
            </w:pPr>
            <w:r>
              <w:rPr>
                <w:rFonts w:ascii="Arial" w:cs="Arial" w:eastAsia="Arial" w:hAnsi="Arial"/>
                <w:sz w:val="16"/>
                <w:szCs w:val="16"/>
                <w:color w:val="auto"/>
              </w:rPr>
              <w:t>Total shareholders' equity</w:t>
            </w:r>
          </w:p>
        </w:tc>
        <w:tc>
          <w:tcPr>
            <w:tcW w:w="400" w:type="dxa"/>
            <w:vAlign w:val="bottom"/>
          </w:tcPr>
          <w:p>
            <w:pPr>
              <w:spacing w:after="0"/>
              <w:rPr>
                <w:sz w:val="15"/>
                <w:szCs w:val="15"/>
                <w:color w:val="auto"/>
              </w:rPr>
            </w:pPr>
          </w:p>
        </w:tc>
        <w:tc>
          <w:tcPr>
            <w:tcW w:w="120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2,930</w:t>
            </w:r>
          </w:p>
        </w:tc>
        <w:tc>
          <w:tcPr>
            <w:tcW w:w="360" w:type="dxa"/>
            <w:vAlign w:val="bottom"/>
          </w:tcPr>
          <w:p>
            <w:pPr>
              <w:spacing w:after="0"/>
              <w:rPr>
                <w:sz w:val="15"/>
                <w:szCs w:val="15"/>
                <w:color w:val="auto"/>
              </w:rPr>
            </w:pPr>
          </w:p>
        </w:tc>
        <w:tc>
          <w:tcPr>
            <w:tcW w:w="12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2,314</w:t>
            </w:r>
          </w:p>
        </w:tc>
        <w:tc>
          <w:tcPr>
            <w:tcW w:w="260" w:type="dxa"/>
            <w:vAlign w:val="bottom"/>
          </w:tcPr>
          <w:p>
            <w:pPr>
              <w:spacing w:after="0"/>
              <w:rPr>
                <w:sz w:val="15"/>
                <w:szCs w:val="15"/>
                <w:color w:val="auto"/>
              </w:rPr>
            </w:pPr>
          </w:p>
        </w:tc>
        <w:tc>
          <w:tcPr>
            <w:tcW w:w="144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2,776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7,442</w:t>
            </w:r>
          </w:p>
        </w:tc>
        <w:tc>
          <w:tcPr>
            <w:tcW w:w="36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6,796</w:t>
            </w:r>
          </w:p>
        </w:tc>
        <w:tc>
          <w:tcPr>
            <w:tcW w:w="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rPr>
              <w:t>7,043</w:t>
            </w:r>
          </w:p>
        </w:tc>
        <w:tc>
          <w:tcPr>
            <w:tcW w:w="0" w:type="dxa"/>
            <w:vAlign w:val="bottom"/>
          </w:tcPr>
          <w:p>
            <w:pPr>
              <w:spacing w:after="0"/>
              <w:rPr>
                <w:sz w:val="1"/>
                <w:szCs w:val="1"/>
                <w:color w:val="auto"/>
              </w:rPr>
            </w:pPr>
          </w:p>
        </w:tc>
      </w:tr>
    </w:tbl>
    <w:p>
      <w:pPr>
        <w:spacing w:after="0" w:line="21" w:lineRule="exact"/>
        <w:rPr>
          <w:sz w:val="20"/>
          <w:szCs w:val="20"/>
          <w:color w:val="auto"/>
        </w:rPr>
      </w:pPr>
    </w:p>
    <w:p>
      <w:pPr>
        <w:jc w:val="both"/>
        <w:ind w:left="380" w:right="79" w:hanging="330"/>
        <w:spacing w:after="0" w:line="181" w:lineRule="auto"/>
        <w:tabs>
          <w:tab w:leader="none" w:pos="380" w:val="left"/>
        </w:tabs>
        <w:numPr>
          <w:ilvl w:val="0"/>
          <w:numId w:val="3"/>
        </w:numPr>
        <w:rPr>
          <w:rFonts w:ascii="Arial" w:cs="Arial" w:eastAsia="Arial" w:hAnsi="Arial"/>
          <w:sz w:val="28"/>
          <w:szCs w:val="28"/>
          <w:color w:val="auto"/>
          <w:vertAlign w:val="subscript"/>
        </w:rPr>
      </w:pPr>
      <w:r>
        <w:rPr>
          <w:rFonts w:ascii="Arial" w:cs="Arial" w:eastAsia="Arial" w:hAnsi="Arial"/>
          <w:sz w:val="12"/>
          <w:szCs w:val="12"/>
          <w:color w:val="auto"/>
        </w:rPr>
        <w:t>The balance sheet at January 30, 2021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-356870</wp:posOffset>
            </wp:positionV>
            <wp:extent cx="5648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First Quarter 2021 Form 10-Q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2" w:lineRule="exact"/>
        <w:rPr>
          <w:sz w:val="20"/>
          <w:szCs w:val="20"/>
          <w:color w:val="auto"/>
        </w:rPr>
      </w:pPr>
    </w:p>
    <w:p>
      <w:pPr>
        <w:ind w:left="628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9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495"/>
              <w:spacing w:after="0" w:line="156" w:lineRule="exact"/>
              <w:rPr>
                <w:sz w:val="20"/>
                <w:szCs w:val="20"/>
                <w:color w:val="auto"/>
              </w:rPr>
            </w:pPr>
            <w:r>
              <w:rPr>
                <w:rFonts w:ascii="Arial" w:cs="Arial" w:eastAsia="Arial" w:hAnsi="Arial"/>
                <w:sz w:val="17"/>
                <w:szCs w:val="17"/>
                <w:b w:val="1"/>
                <w:bCs w:val="1"/>
                <w:color w:val="auto"/>
              </w:rPr>
              <w:t>May 1,</w:t>
            </w:r>
          </w:p>
        </w:tc>
        <w:tc>
          <w:tcPr>
            <w:tcW w:w="3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15"/>
              <w:spacing w:after="0" w:line="156" w:lineRule="exact"/>
              <w:rPr>
                <w:sz w:val="20"/>
                <w:szCs w:val="20"/>
                <w:color w:val="auto"/>
              </w:rPr>
            </w:pPr>
            <w:r>
              <w:rPr>
                <w:rFonts w:ascii="Arial" w:cs="Arial" w:eastAsia="Arial" w:hAnsi="Arial"/>
                <w:sz w:val="17"/>
                <w:szCs w:val="17"/>
                <w:b w:val="1"/>
                <w:bCs w:val="1"/>
                <w:color w:val="auto"/>
              </w:rPr>
              <w:t>May 2,</w:t>
            </w:r>
          </w:p>
        </w:tc>
        <w:tc>
          <w:tcPr>
            <w:tcW w:w="0" w:type="dxa"/>
            <w:vAlign w:val="bottom"/>
          </w:tcPr>
          <w:p>
            <w:pPr>
              <w:spacing w:after="0"/>
              <w:rPr>
                <w:sz w:val="1"/>
                <w:szCs w:val="1"/>
                <w:color w:val="auto"/>
              </w:rPr>
            </w:pPr>
          </w:p>
        </w:tc>
      </w:tr>
      <w:tr>
        <w:trPr>
          <w:trHeight w:val="215"/>
        </w:trPr>
        <w:tc>
          <w:tcPr>
            <w:tcW w:w="4980" w:type="dxa"/>
            <w:vAlign w:val="bottom"/>
            <w:gridSpan w:val="2"/>
          </w:tcPr>
          <w:p>
            <w:pPr>
              <w:spacing w:after="0"/>
              <w:rPr>
                <w:sz w:val="20"/>
                <w:szCs w:val="20"/>
                <w:color w:val="auto"/>
              </w:rPr>
            </w:pPr>
            <w:r>
              <w:rPr>
                <w:rFonts w:ascii="Arial" w:cs="Arial" w:eastAsia="Arial" w:hAnsi="Arial"/>
                <w:sz w:val="17"/>
                <w:szCs w:val="17"/>
                <w:color w:val="auto"/>
              </w:rPr>
              <w:t>($ in millions, expect per share amounts)</w:t>
            </w:r>
          </w:p>
        </w:tc>
        <w:tc>
          <w:tcPr>
            <w:tcW w:w="860" w:type="dxa"/>
            <w:vAlign w:val="bottom"/>
          </w:tcPr>
          <w:p>
            <w:pPr>
              <w:spacing w:after="0"/>
              <w:rPr>
                <w:sz w:val="18"/>
                <w:szCs w:val="18"/>
                <w:color w:val="auto"/>
              </w:rPr>
            </w:pPr>
          </w:p>
        </w:tc>
        <w:tc>
          <w:tcPr>
            <w:tcW w:w="1280" w:type="dxa"/>
            <w:vAlign w:val="bottom"/>
          </w:tcPr>
          <w:p>
            <w:pPr>
              <w:jc w:val="right"/>
              <w:ind w:right="555"/>
              <w:spacing w:after="0"/>
              <w:rPr>
                <w:sz w:val="20"/>
                <w:szCs w:val="20"/>
                <w:color w:val="auto"/>
              </w:rPr>
            </w:pPr>
            <w:r>
              <w:rPr>
                <w:rFonts w:ascii="Arial" w:cs="Arial" w:eastAsia="Arial" w:hAnsi="Arial"/>
                <w:sz w:val="17"/>
                <w:szCs w:val="17"/>
                <w:b w:val="1"/>
                <w:bCs w:val="1"/>
                <w:color w:val="auto"/>
              </w:rPr>
              <w:t>2021</w:t>
            </w:r>
          </w:p>
        </w:tc>
        <w:tc>
          <w:tcPr>
            <w:tcW w:w="380" w:type="dxa"/>
            <w:vAlign w:val="bottom"/>
          </w:tcPr>
          <w:p>
            <w:pPr>
              <w:spacing w:after="0"/>
              <w:rPr>
                <w:sz w:val="18"/>
                <w:szCs w:val="18"/>
                <w:color w:val="auto"/>
              </w:rPr>
            </w:pPr>
          </w:p>
        </w:tc>
        <w:tc>
          <w:tcPr>
            <w:tcW w:w="1400" w:type="dxa"/>
            <w:vAlign w:val="bottom"/>
          </w:tcPr>
          <w:p>
            <w:pPr>
              <w:jc w:val="right"/>
              <w:ind w:right="67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86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2,153</w:t>
            </w:r>
          </w:p>
        </w:tc>
        <w:tc>
          <w:tcPr>
            <w:tcW w:w="38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1,176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8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1,404</w:t>
            </w: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860" w:type="dxa"/>
            <w:vAlign w:val="bottom"/>
          </w:tcPr>
          <w:p>
            <w:pPr>
              <w:spacing w:after="0"/>
              <w:rPr>
                <w:sz w:val="16"/>
                <w:szCs w:val="16"/>
                <w:color w:val="auto"/>
              </w:rPr>
            </w:pPr>
          </w:p>
        </w:tc>
        <w:tc>
          <w:tcPr>
            <w:tcW w:w="12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418</w:t>
            </w:r>
          </w:p>
        </w:tc>
        <w:tc>
          <w:tcPr>
            <w:tcW w:w="380" w:type="dxa"/>
            <w:vAlign w:val="bottom"/>
          </w:tcPr>
          <w:p>
            <w:pPr>
              <w:spacing w:after="0"/>
              <w:rPr>
                <w:sz w:val="16"/>
                <w:szCs w:val="16"/>
                <w:color w:val="auto"/>
              </w:rPr>
            </w:pPr>
          </w:p>
        </w:tc>
        <w:tc>
          <w:tcPr>
            <w:tcW w:w="140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8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45</w:t>
            </w: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 charges</w:t>
            </w: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4</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(loss) from operations</w:t>
            </w:r>
          </w:p>
        </w:tc>
        <w:tc>
          <w:tcPr>
            <w:tcW w:w="8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282</w:t>
            </w:r>
          </w:p>
        </w:tc>
        <w:tc>
          <w:tcPr>
            <w:tcW w:w="3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 net</w:t>
            </w:r>
          </w:p>
        </w:tc>
        <w:tc>
          <w:tcPr>
            <w:tcW w:w="8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 net</w:t>
            </w: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4</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(loss) before income taxes</w:t>
            </w:r>
          </w:p>
        </w:tc>
        <w:tc>
          <w:tcPr>
            <w:tcW w:w="8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284</w:t>
            </w:r>
          </w:p>
        </w:tc>
        <w:tc>
          <w:tcPr>
            <w:tcW w:w="3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82</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 (loss)</w:t>
            </w:r>
          </w:p>
        </w:tc>
        <w:tc>
          <w:tcPr>
            <w:tcW w:w="8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202</w:t>
            </w:r>
          </w:p>
        </w:tc>
        <w:tc>
          <w:tcPr>
            <w:tcW w:w="3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Basic earnings (loss) per share</w:t>
            </w:r>
          </w:p>
        </w:tc>
        <w:tc>
          <w:tcPr>
            <w:tcW w:w="8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1.95</w:t>
            </w:r>
          </w:p>
        </w:tc>
        <w:tc>
          <w:tcPr>
            <w:tcW w:w="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Pr>
          <w:p>
            <w:pPr>
              <w:ind w:left="80"/>
              <w:spacing w:after="0" w:line="189" w:lineRule="exact"/>
              <w:rPr>
                <w:sz w:val="20"/>
                <w:szCs w:val="20"/>
                <w:color w:val="auto"/>
              </w:rPr>
            </w:pPr>
            <w:r>
              <w:rPr>
                <w:rFonts w:ascii="Arial" w:cs="Arial" w:eastAsia="Arial" w:hAnsi="Arial"/>
                <w:sz w:val="17"/>
                <w:szCs w:val="17"/>
                <w:color w:val="auto"/>
              </w:rPr>
              <w:t>Weighted-average shares outstanding</w:t>
            </w:r>
          </w:p>
        </w:tc>
        <w:tc>
          <w:tcPr>
            <w:tcW w:w="860" w:type="dxa"/>
            <w:vAlign w:val="bottom"/>
          </w:tcPr>
          <w:p>
            <w:pPr>
              <w:spacing w:after="0"/>
              <w:rPr>
                <w:sz w:val="16"/>
                <w:szCs w:val="16"/>
                <w:color w:val="auto"/>
              </w:rPr>
            </w:pPr>
          </w:p>
        </w:tc>
        <w:tc>
          <w:tcPr>
            <w:tcW w:w="12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103.6</w:t>
            </w:r>
          </w:p>
        </w:tc>
        <w:tc>
          <w:tcPr>
            <w:tcW w:w="380" w:type="dxa"/>
            <w:vAlign w:val="bottom"/>
          </w:tcPr>
          <w:p>
            <w:pPr>
              <w:spacing w:after="0"/>
              <w:rPr>
                <w:sz w:val="16"/>
                <w:szCs w:val="16"/>
                <w:color w:val="auto"/>
              </w:rPr>
            </w:pPr>
          </w:p>
        </w:tc>
        <w:tc>
          <w:tcPr>
            <w:tcW w:w="140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Pr>
          <w:p>
            <w:pPr>
              <w:ind w:left="80"/>
              <w:spacing w:after="0" w:line="189" w:lineRule="exact"/>
              <w:rPr>
                <w:sz w:val="20"/>
                <w:szCs w:val="20"/>
                <w:color w:val="auto"/>
              </w:rPr>
            </w:pPr>
            <w:r>
              <w:rPr>
                <w:rFonts w:ascii="Arial" w:cs="Arial" w:eastAsia="Arial" w:hAnsi="Arial"/>
                <w:sz w:val="17"/>
                <w:szCs w:val="17"/>
                <w:color w:val="auto"/>
              </w:rPr>
              <w:t>Diluted earnings (loss) per share</w:t>
            </w:r>
          </w:p>
        </w:tc>
        <w:tc>
          <w:tcPr>
            <w:tcW w:w="8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1.93</w:t>
            </w:r>
          </w:p>
        </w:tc>
        <w:tc>
          <w:tcPr>
            <w:tcW w:w="3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40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Weighted-average shares outstanding, assuming dilution</w:t>
            </w:r>
          </w:p>
        </w:tc>
        <w:tc>
          <w:tcPr>
            <w:tcW w:w="8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105.0</w:t>
            </w:r>
          </w:p>
        </w:tc>
        <w:tc>
          <w:tcPr>
            <w:tcW w:w="3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First Quarter 2021 Form 10-Q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p>
      <w:pPr>
        <w:ind w:left="65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57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1,</w:t>
            </w:r>
          </w:p>
        </w:tc>
        <w:tc>
          <w:tcPr>
            <w:tcW w:w="4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95"/>
              <w:spacing w:after="0" w:line="156" w:lineRule="exact"/>
              <w:rPr>
                <w:sz w:val="20"/>
                <w:szCs w:val="20"/>
                <w:color w:val="auto"/>
              </w:rPr>
            </w:pPr>
            <w:r>
              <w:rPr>
                <w:rFonts w:ascii="Arial" w:cs="Arial" w:eastAsia="Arial" w:hAnsi="Arial"/>
                <w:sz w:val="17"/>
                <w:szCs w:val="17"/>
                <w:b w:val="1"/>
                <w:bCs w:val="1"/>
                <w:color w:val="auto"/>
              </w:rPr>
              <w:t>May 2,</w:t>
            </w:r>
          </w:p>
        </w:tc>
        <w:tc>
          <w:tcPr>
            <w:tcW w:w="0" w:type="dxa"/>
            <w:vAlign w:val="bottom"/>
          </w:tcPr>
          <w:p>
            <w:pPr>
              <w:spacing w:after="0"/>
              <w:rPr>
                <w:sz w:val="1"/>
                <w:szCs w:val="1"/>
                <w:color w:val="auto"/>
              </w:rPr>
            </w:pPr>
          </w:p>
        </w:tc>
      </w:tr>
      <w:tr>
        <w:trPr>
          <w:trHeight w:val="21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57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Net income (loss)</w:t>
            </w:r>
          </w:p>
        </w:tc>
        <w:tc>
          <w:tcPr>
            <w:tcW w:w="114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w w:val="98"/>
              </w:rPr>
              <w:t>202</w:t>
            </w:r>
          </w:p>
        </w:tc>
        <w:tc>
          <w:tcPr>
            <w:tcW w:w="3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line="189" w:lineRule="exact"/>
              <w:rPr>
                <w:sz w:val="20"/>
                <w:szCs w:val="20"/>
                <w:color w:val="auto"/>
              </w:rPr>
            </w:pPr>
            <w:r>
              <w:rPr>
                <w:rFonts w:ascii="Arial" w:cs="Arial" w:eastAsia="Arial" w:hAnsi="Arial"/>
                <w:sz w:val="17"/>
                <w:szCs w:val="17"/>
                <w:color w:val="auto"/>
              </w:rPr>
              <w:t>Other comprehensive income (loss), net of income tax</w:t>
            </w: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Translation adjustment arising during the period, net of income tax</w:t>
            </w:r>
          </w:p>
        </w:tc>
        <w:tc>
          <w:tcPr>
            <w:tcW w:w="114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expense (benefit) of $1 and $(2), respectively</w:t>
            </w:r>
          </w:p>
        </w:tc>
        <w:tc>
          <w:tcPr>
            <w:tcW w:w="1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Cash flow hedges:</w:t>
            </w:r>
          </w:p>
        </w:tc>
        <w:tc>
          <w:tcPr>
            <w:tcW w:w="1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tcPr>
          <w:p>
            <w:pPr>
              <w:ind w:left="120"/>
              <w:spacing w:after="0" w:line="183" w:lineRule="exact"/>
              <w:rPr>
                <w:sz w:val="20"/>
                <w:szCs w:val="20"/>
                <w:color w:val="auto"/>
              </w:rPr>
            </w:pPr>
            <w:r>
              <w:rPr>
                <w:rFonts w:ascii="Arial" w:cs="Arial" w:eastAsia="Arial" w:hAnsi="Arial"/>
                <w:sz w:val="17"/>
                <w:szCs w:val="17"/>
                <w:color w:val="auto"/>
              </w:rPr>
              <w:t>Change in fair value of derivatives, net of income tax expense of $- and</w:t>
            </w:r>
          </w:p>
        </w:tc>
        <w:tc>
          <w:tcPr>
            <w:tcW w:w="1140" w:type="dxa"/>
            <w:vAlign w:val="bottom"/>
          </w:tcPr>
          <w:p>
            <w:pPr>
              <w:spacing w:after="0"/>
              <w:rPr>
                <w:sz w:val="15"/>
                <w:szCs w:val="15"/>
                <w:color w:val="auto"/>
              </w:rPr>
            </w:pPr>
          </w:p>
        </w:tc>
        <w:tc>
          <w:tcPr>
            <w:tcW w:w="44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00" w:type="dxa"/>
            <w:vAlign w:val="bottom"/>
          </w:tcPr>
          <w:p>
            <w:pPr>
              <w:ind w:left="120"/>
              <w:spacing w:after="0"/>
              <w:rPr>
                <w:sz w:val="20"/>
                <w:szCs w:val="20"/>
                <w:color w:val="auto"/>
              </w:rPr>
            </w:pPr>
            <w:r>
              <w:rPr>
                <w:rFonts w:ascii="Arial" w:cs="Arial" w:eastAsia="Arial" w:hAnsi="Arial"/>
                <w:sz w:val="17"/>
                <w:szCs w:val="17"/>
                <w:color w:val="auto"/>
              </w:rPr>
              <w:t>$1, respectively</w:t>
            </w:r>
          </w:p>
        </w:tc>
        <w:tc>
          <w:tcPr>
            <w:tcW w:w="1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Amortization of net actuarial gain/loss and prior service cost included in</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net periodic benefit costs, net of income tax expense of $1 and $1,</w:t>
            </w:r>
          </w:p>
        </w:tc>
        <w:tc>
          <w:tcPr>
            <w:tcW w:w="114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respectively</w:t>
            </w:r>
          </w:p>
        </w:tc>
        <w:tc>
          <w:tcPr>
            <w:tcW w:w="11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Comprehensive income (loss)</w:t>
            </w:r>
          </w:p>
        </w:tc>
        <w:tc>
          <w:tcPr>
            <w:tcW w:w="1140" w:type="dxa"/>
            <w:vAlign w:val="bottom"/>
            <w:tcBorders>
              <w:bottom w:val="single" w:sz="8" w:color="auto"/>
            </w:tcBorders>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w w:val="98"/>
              </w:rPr>
              <w:t>207</w:t>
            </w:r>
          </w:p>
        </w:tc>
        <w:tc>
          <w:tcPr>
            <w:tcW w:w="3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40" w:right="260"/>
        <w:spacing w:after="0" w:line="271" w:lineRule="auto"/>
        <w:rPr>
          <w:sz w:val="20"/>
          <w:szCs w:val="20"/>
          <w:color w:val="auto"/>
        </w:rPr>
      </w:pPr>
      <w:r>
        <w:rPr>
          <w:rFonts w:ascii="Arial" w:cs="Arial" w:eastAsia="Arial" w:hAnsi="Arial"/>
          <w:sz w:val="18"/>
          <w:szCs w:val="18"/>
          <w:b w:val="1"/>
          <w:bCs w:val="1"/>
          <w:color w:val="auto"/>
        </w:rPr>
        <w:t xml:space="preserve">CONDENSED CONSOLIDATED STATEMENTS OF CHANGES IN SHAREHOLDERS’ EQUITY </w:t>
      </w:r>
      <w:r>
        <w:rPr>
          <w:rFonts w:ascii="Arial" w:cs="Arial" w:eastAsia="Arial" w:hAnsi="Arial"/>
          <w:sz w:val="18"/>
          <w:szCs w:val="18"/>
          <w:color w:val="auto"/>
        </w:rPr>
        <w:t>(Unaudited)</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Additional Paid-In</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8"/>
        </w:trPr>
        <w:tc>
          <w:tcPr>
            <w:tcW w:w="2820" w:type="dxa"/>
            <w:vAlign w:val="bottom"/>
          </w:tcPr>
          <w:p>
            <w:pPr>
              <w:spacing w:after="0"/>
              <w:rPr>
                <w:sz w:val="12"/>
                <w:szCs w:val="12"/>
                <w:color w:val="auto"/>
              </w:rPr>
            </w:pPr>
          </w:p>
        </w:tc>
        <w:tc>
          <w:tcPr>
            <w:tcW w:w="880" w:type="dxa"/>
            <w:vAlign w:val="bottom"/>
            <w:gridSpan w:val="2"/>
          </w:tcPr>
          <w:p>
            <w:pPr>
              <w:jc w:val="center"/>
              <w:ind w:left="213"/>
              <w:spacing w:after="0"/>
              <w:rPr>
                <w:sz w:val="20"/>
                <w:szCs w:val="20"/>
                <w:color w:val="auto"/>
              </w:rPr>
            </w:pPr>
            <w:r>
              <w:rPr>
                <w:rFonts w:ascii="Arial" w:cs="Arial" w:eastAsia="Arial" w:hAnsi="Arial"/>
                <w:sz w:val="13"/>
                <w:szCs w:val="13"/>
                <w:b w:val="1"/>
                <w:bCs w:val="1"/>
                <w:color w:val="auto"/>
              </w:rPr>
              <w:t>Capital &amp;</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213"/>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3"/>
                <w:szCs w:val="13"/>
                <w:b w:val="1"/>
                <w:bCs w:val="1"/>
                <w:color w:val="auto"/>
              </w:rPr>
              <w:t>Total</w:t>
            </w:r>
          </w:p>
        </w:tc>
      </w:tr>
      <w:tr>
        <w:trPr>
          <w:trHeight w:val="165"/>
        </w:trPr>
        <w:tc>
          <w:tcPr>
            <w:tcW w:w="2820" w:type="dxa"/>
            <w:vAlign w:val="bottom"/>
          </w:tcPr>
          <w:p>
            <w:pPr>
              <w:spacing w:after="0"/>
              <w:rPr>
                <w:sz w:val="14"/>
                <w:szCs w:val="14"/>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Common Stock</w:t>
            </w:r>
          </w:p>
        </w:tc>
        <w:tc>
          <w:tcPr>
            <w:tcW w:w="1160" w:type="dxa"/>
            <w:vAlign w:val="bottom"/>
            <w:gridSpan w:val="4"/>
          </w:tcPr>
          <w:p>
            <w:pPr>
              <w:ind w:left="60"/>
              <w:spacing w:after="0"/>
              <w:rPr>
                <w:sz w:val="20"/>
                <w:szCs w:val="20"/>
                <w:color w:val="auto"/>
              </w:rPr>
            </w:pPr>
            <w:r>
              <w:rPr>
                <w:rFonts w:ascii="Arial" w:cs="Arial" w:eastAsia="Arial" w:hAnsi="Arial"/>
                <w:sz w:val="13"/>
                <w:szCs w:val="13"/>
                <w:b w:val="1"/>
                <w:bCs w:val="1"/>
                <w:color w:val="auto"/>
              </w:rPr>
              <w:t>Treasury Stock</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Retained</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Comprehensive</w:t>
            </w: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Noncontrolling</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Shareholders'</w:t>
            </w:r>
          </w:p>
        </w:tc>
      </w:tr>
      <w:tr>
        <w:trPr>
          <w:trHeight w:val="142"/>
        </w:trPr>
        <w:tc>
          <w:tcPr>
            <w:tcW w:w="28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(shares in thousands, amounts in millions)</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Shares</w:t>
            </w:r>
          </w:p>
        </w:tc>
        <w:tc>
          <w:tcPr>
            <w:tcW w:w="58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Shares</w:t>
            </w:r>
          </w:p>
        </w:tc>
        <w:tc>
          <w:tcPr>
            <w:tcW w:w="58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Earnings</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13"/>
              <w:spacing w:after="0" w:line="142" w:lineRule="exact"/>
              <w:rPr>
                <w:sz w:val="20"/>
                <w:szCs w:val="20"/>
                <w:color w:val="auto"/>
              </w:rPr>
            </w:pPr>
            <w:r>
              <w:rPr>
                <w:rFonts w:ascii="Arial" w:cs="Arial" w:eastAsia="Arial" w:hAnsi="Arial"/>
                <w:sz w:val="13"/>
                <w:szCs w:val="13"/>
                <w:b w:val="1"/>
                <w:bCs w:val="1"/>
                <w:color w:val="auto"/>
              </w:rPr>
              <w:t>Loss</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interests</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33"/>
              <w:spacing w:after="0" w:line="142" w:lineRule="exact"/>
              <w:rPr>
                <w:sz w:val="20"/>
                <w:szCs w:val="20"/>
                <w:color w:val="auto"/>
              </w:rPr>
            </w:pPr>
            <w:r>
              <w:rPr>
                <w:rFonts w:ascii="Arial" w:cs="Arial" w:eastAsia="Arial" w:hAnsi="Arial"/>
                <w:sz w:val="13"/>
                <w:szCs w:val="13"/>
                <w:b w:val="1"/>
                <w:bCs w:val="1"/>
                <w:color w:val="auto"/>
              </w:rPr>
              <w:t>Equity</w:t>
            </w:r>
          </w:p>
        </w:tc>
      </w:tr>
      <w:tr>
        <w:trPr>
          <w:trHeight w:val="142"/>
        </w:trPr>
        <w:tc>
          <w:tcPr>
            <w:tcW w:w="28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January 30, 2021</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103,693</w:t>
            </w:r>
          </w:p>
        </w:tc>
        <w:tc>
          <w:tcPr>
            <w:tcW w:w="300" w:type="dxa"/>
            <w:vAlign w:val="bottom"/>
            <w:shd w:val="clear" w:color="auto" w:fill="CCEEFF"/>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779</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(74)</w:t>
            </w:r>
          </w:p>
        </w:tc>
        <w:tc>
          <w:tcPr>
            <w:tcW w:w="24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(3)</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jc w:val="right"/>
              <w:ind w:right="33"/>
              <w:spacing w:after="0" w:line="142" w:lineRule="exact"/>
              <w:rPr>
                <w:sz w:val="20"/>
                <w:szCs w:val="20"/>
                <w:color w:val="auto"/>
              </w:rPr>
            </w:pPr>
            <w:r>
              <w:rPr>
                <w:rFonts w:ascii="Arial" w:cs="Arial" w:eastAsia="Arial" w:hAnsi="Arial"/>
                <w:sz w:val="13"/>
                <w:szCs w:val="13"/>
                <w:b w:val="1"/>
                <w:bCs w:val="1"/>
                <w:color w:val="auto"/>
              </w:rPr>
              <w:t>2,326</w:t>
            </w:r>
          </w:p>
        </w:tc>
        <w:tc>
          <w:tcPr>
            <w:tcW w:w="260" w:type="dxa"/>
            <w:vAlign w:val="bottom"/>
            <w:shd w:val="clear" w:color="auto" w:fill="CCEEFF"/>
          </w:tcPr>
          <w:p>
            <w:pPr>
              <w:jc w:val="right"/>
              <w:ind w:right="33"/>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(331)</w:t>
            </w:r>
          </w:p>
        </w:tc>
        <w:tc>
          <w:tcPr>
            <w:tcW w:w="20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3"/>
              <w:spacing w:after="0" w:line="142" w:lineRule="exact"/>
              <w:rPr>
                <w:sz w:val="20"/>
                <w:szCs w:val="20"/>
                <w:color w:val="auto"/>
              </w:rPr>
            </w:pPr>
            <w:r>
              <w:rPr>
                <w:rFonts w:ascii="Arial" w:cs="Arial" w:eastAsia="Arial" w:hAnsi="Arial"/>
                <w:sz w:val="13"/>
                <w:szCs w:val="13"/>
                <w:b w:val="1"/>
                <w:bCs w:val="1"/>
                <w:color w:val="auto"/>
              </w:rPr>
              <w:t>5</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2,776</w:t>
            </w:r>
          </w:p>
        </w:tc>
      </w:tr>
      <w:tr>
        <w:trPr>
          <w:trHeight w:val="148"/>
        </w:trPr>
        <w:tc>
          <w:tcPr>
            <w:tcW w:w="2820" w:type="dxa"/>
            <w:vAlign w:val="bottom"/>
          </w:tcPr>
          <w:p>
            <w:pPr>
              <w:ind w:left="20"/>
              <w:spacing w:after="0"/>
              <w:rPr>
                <w:sz w:val="20"/>
                <w:szCs w:val="20"/>
                <w:color w:val="auto"/>
              </w:rPr>
            </w:pPr>
            <w:r>
              <w:rPr>
                <w:rFonts w:ascii="Arial" w:cs="Arial" w:eastAsia="Arial" w:hAnsi="Arial"/>
                <w:sz w:val="13"/>
                <w:szCs w:val="13"/>
                <w:color w:val="auto"/>
              </w:rPr>
              <w:t>Restricted stock units issued</w:t>
            </w:r>
          </w:p>
        </w:tc>
        <w:tc>
          <w:tcPr>
            <w:tcW w:w="580" w:type="dxa"/>
            <w:vAlign w:val="bottom"/>
          </w:tcPr>
          <w:p>
            <w:pPr>
              <w:jc w:val="right"/>
              <w:spacing w:after="0"/>
              <w:rPr>
                <w:sz w:val="20"/>
                <w:szCs w:val="20"/>
                <w:color w:val="auto"/>
              </w:rPr>
            </w:pPr>
            <w:r>
              <w:rPr>
                <w:rFonts w:ascii="Arial" w:cs="Arial" w:eastAsia="Arial" w:hAnsi="Arial"/>
                <w:sz w:val="13"/>
                <w:szCs w:val="13"/>
                <w:color w:val="auto"/>
              </w:rPr>
              <w:t>468</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Issued under director and stock plans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48"/>
        </w:trPr>
        <w:tc>
          <w:tcPr>
            <w:tcW w:w="282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48"/>
        </w:trPr>
        <w:tc>
          <w:tcPr>
            <w:tcW w:w="28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Shares of common stock used to satisfy tax</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withholding obligations</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48"/>
        </w:trPr>
        <w:tc>
          <w:tcPr>
            <w:tcW w:w="2820" w:type="dxa"/>
            <w:vAlign w:val="bottom"/>
          </w:tcPr>
          <w:p>
            <w:pPr>
              <w:ind w:left="20"/>
              <w:spacing w:after="0"/>
              <w:rPr>
                <w:sz w:val="20"/>
                <w:szCs w:val="20"/>
                <w:color w:val="auto"/>
              </w:rPr>
            </w:pPr>
            <w:r>
              <w:rPr>
                <w:rFonts w:ascii="Arial" w:cs="Arial" w:eastAsia="Arial" w:hAnsi="Arial"/>
                <w:sz w:val="13"/>
                <w:szCs w:val="13"/>
                <w:color w:val="auto"/>
              </w:rPr>
              <w:t>Share repurchases</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(621)</w:t>
            </w:r>
          </w:p>
        </w:tc>
        <w:tc>
          <w:tcPr>
            <w:tcW w:w="2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(34)</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4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202</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r>
      <w:tr>
        <w:trPr>
          <w:trHeight w:val="148"/>
        </w:trPr>
        <w:tc>
          <w:tcPr>
            <w:tcW w:w="2820" w:type="dxa"/>
            <w:vAlign w:val="bottom"/>
          </w:tcPr>
          <w:p>
            <w:pPr>
              <w:ind w:left="20"/>
              <w:spacing w:after="0" w:line="148" w:lineRule="exact"/>
              <w:rPr>
                <w:sz w:val="20"/>
                <w:szCs w:val="20"/>
                <w:color w:val="auto"/>
              </w:rPr>
            </w:pPr>
            <w:r>
              <w:rPr>
                <w:rFonts w:ascii="Arial" w:cs="Arial" w:eastAsia="Arial" w:hAnsi="Arial"/>
                <w:sz w:val="13"/>
                <w:szCs w:val="13"/>
                <w:color w:val="auto"/>
              </w:rPr>
              <w:t>Cash dividends declared on common stock</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820" w:type="dxa"/>
            <w:vAlign w:val="bottom"/>
          </w:tcPr>
          <w:p>
            <w:pPr>
              <w:ind w:left="20"/>
              <w:spacing w:after="0"/>
              <w:rPr>
                <w:sz w:val="20"/>
                <w:szCs w:val="20"/>
                <w:color w:val="auto"/>
              </w:rPr>
            </w:pPr>
            <w:r>
              <w:rPr>
                <w:rFonts w:ascii="Arial" w:cs="Arial" w:eastAsia="Arial" w:hAnsi="Arial"/>
                <w:sz w:val="13"/>
                <w:szCs w:val="13"/>
                <w:color w:val="auto"/>
              </w:rPr>
              <w:t>($0.20 per share)</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49"/>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Translation adjustment, net of tax</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48"/>
        </w:trPr>
        <w:tc>
          <w:tcPr>
            <w:tcW w:w="2820" w:type="dxa"/>
            <w:vAlign w:val="bottom"/>
          </w:tcPr>
          <w:p>
            <w:pPr>
              <w:ind w:left="20"/>
              <w:spacing w:after="0"/>
              <w:rPr>
                <w:sz w:val="20"/>
                <w:szCs w:val="20"/>
                <w:color w:val="auto"/>
              </w:rPr>
            </w:pPr>
            <w:r>
              <w:rPr>
                <w:rFonts w:ascii="Arial" w:cs="Arial" w:eastAsia="Arial" w:hAnsi="Arial"/>
                <w:sz w:val="13"/>
                <w:szCs w:val="13"/>
                <w:color w:val="auto"/>
              </w:rPr>
              <w:t>Change in cash flow hedges, net of tax</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8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Pension and postretirement adjustments, net</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of tax</w:t>
            </w:r>
          </w:p>
        </w:tc>
        <w:tc>
          <w:tcPr>
            <w:tcW w:w="5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42"/>
        </w:trPr>
        <w:tc>
          <w:tcPr>
            <w:tcW w:w="28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Balance at May 1, 2021</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104,286</w:t>
            </w:r>
          </w:p>
        </w:tc>
        <w:tc>
          <w:tcPr>
            <w:tcW w:w="3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791</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(887)</w:t>
            </w:r>
          </w:p>
        </w:tc>
        <w:tc>
          <w:tcPr>
            <w:tcW w:w="2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3"/>
                <w:szCs w:val="13"/>
                <w:b w:val="1"/>
                <w:bCs w:val="1"/>
                <w:color w:val="auto"/>
              </w:rPr>
              <w:t>(47)</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2,507</w:t>
            </w:r>
          </w:p>
        </w:tc>
        <w:tc>
          <w:tcPr>
            <w:tcW w:w="26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(326)</w:t>
            </w:r>
          </w:p>
        </w:tc>
        <w:tc>
          <w:tcPr>
            <w:tcW w:w="2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5</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2,930</w:t>
            </w:r>
          </w:p>
        </w:tc>
      </w:tr>
      <w:tr>
        <w:trPr>
          <w:trHeight w:val="382"/>
        </w:trPr>
        <w:tc>
          <w:tcPr>
            <w:tcW w:w="2820" w:type="dxa"/>
            <w:vAlign w:val="bottom"/>
          </w:tcPr>
          <w:p>
            <w:pPr>
              <w:spacing w:after="0"/>
              <w:rPr>
                <w:sz w:val="24"/>
                <w:szCs w:val="24"/>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Additional Paid-In</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48"/>
        </w:trPr>
        <w:tc>
          <w:tcPr>
            <w:tcW w:w="2820" w:type="dxa"/>
            <w:vAlign w:val="bottom"/>
          </w:tcPr>
          <w:p>
            <w:pPr>
              <w:spacing w:after="0"/>
              <w:rPr>
                <w:sz w:val="12"/>
                <w:szCs w:val="12"/>
                <w:color w:val="auto"/>
              </w:rPr>
            </w:pPr>
          </w:p>
        </w:tc>
        <w:tc>
          <w:tcPr>
            <w:tcW w:w="880" w:type="dxa"/>
            <w:vAlign w:val="bottom"/>
            <w:gridSpan w:val="2"/>
          </w:tcPr>
          <w:p>
            <w:pPr>
              <w:jc w:val="center"/>
              <w:ind w:left="213"/>
              <w:spacing w:after="0"/>
              <w:rPr>
                <w:sz w:val="20"/>
                <w:szCs w:val="20"/>
                <w:color w:val="auto"/>
              </w:rPr>
            </w:pPr>
            <w:r>
              <w:rPr>
                <w:rFonts w:ascii="Arial" w:cs="Arial" w:eastAsia="Arial" w:hAnsi="Arial"/>
                <w:sz w:val="13"/>
                <w:szCs w:val="13"/>
                <w:b w:val="1"/>
                <w:bCs w:val="1"/>
                <w:color w:val="auto"/>
              </w:rPr>
              <w:t>Capital &amp;</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213"/>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3"/>
                <w:szCs w:val="13"/>
                <w:b w:val="1"/>
                <w:bCs w:val="1"/>
                <w:color w:val="auto"/>
              </w:rPr>
              <w:t>Total</w:t>
            </w:r>
          </w:p>
        </w:tc>
      </w:tr>
      <w:tr>
        <w:trPr>
          <w:trHeight w:val="165"/>
        </w:trPr>
        <w:tc>
          <w:tcPr>
            <w:tcW w:w="2820" w:type="dxa"/>
            <w:vAlign w:val="bottom"/>
          </w:tcPr>
          <w:p>
            <w:pPr>
              <w:spacing w:after="0"/>
              <w:rPr>
                <w:sz w:val="14"/>
                <w:szCs w:val="14"/>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Common Stock</w:t>
            </w:r>
          </w:p>
        </w:tc>
        <w:tc>
          <w:tcPr>
            <w:tcW w:w="1160" w:type="dxa"/>
            <w:vAlign w:val="bottom"/>
            <w:gridSpan w:val="4"/>
          </w:tcPr>
          <w:p>
            <w:pPr>
              <w:ind w:left="60"/>
              <w:spacing w:after="0"/>
              <w:rPr>
                <w:sz w:val="20"/>
                <w:szCs w:val="20"/>
                <w:color w:val="auto"/>
              </w:rPr>
            </w:pPr>
            <w:r>
              <w:rPr>
                <w:rFonts w:ascii="Arial" w:cs="Arial" w:eastAsia="Arial" w:hAnsi="Arial"/>
                <w:sz w:val="13"/>
                <w:szCs w:val="13"/>
                <w:b w:val="1"/>
                <w:bCs w:val="1"/>
                <w:color w:val="auto"/>
              </w:rPr>
              <w:t>Treasury Stock</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Retained</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Comprehensive</w:t>
            </w: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Noncontrolling</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Shareholders'</w:t>
            </w:r>
          </w:p>
        </w:tc>
      </w:tr>
      <w:tr>
        <w:trPr>
          <w:trHeight w:val="142"/>
        </w:trPr>
        <w:tc>
          <w:tcPr>
            <w:tcW w:w="28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(shares in thousands, amounts in millions)</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Shares</w:t>
            </w:r>
          </w:p>
        </w:tc>
        <w:tc>
          <w:tcPr>
            <w:tcW w:w="58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Shares</w:t>
            </w:r>
          </w:p>
        </w:tc>
        <w:tc>
          <w:tcPr>
            <w:tcW w:w="58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Earnings</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13"/>
              <w:spacing w:after="0" w:line="142" w:lineRule="exact"/>
              <w:rPr>
                <w:sz w:val="20"/>
                <w:szCs w:val="20"/>
                <w:color w:val="auto"/>
              </w:rPr>
            </w:pPr>
            <w:r>
              <w:rPr>
                <w:rFonts w:ascii="Arial" w:cs="Arial" w:eastAsia="Arial" w:hAnsi="Arial"/>
                <w:sz w:val="13"/>
                <w:szCs w:val="13"/>
                <w:b w:val="1"/>
                <w:bCs w:val="1"/>
                <w:color w:val="auto"/>
              </w:rPr>
              <w:t>Loss</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interests</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33"/>
              <w:spacing w:after="0" w:line="142" w:lineRule="exact"/>
              <w:rPr>
                <w:sz w:val="20"/>
                <w:szCs w:val="20"/>
                <w:color w:val="auto"/>
              </w:rPr>
            </w:pPr>
            <w:r>
              <w:rPr>
                <w:rFonts w:ascii="Arial" w:cs="Arial" w:eastAsia="Arial" w:hAnsi="Arial"/>
                <w:sz w:val="13"/>
                <w:szCs w:val="13"/>
                <w:b w:val="1"/>
                <w:bCs w:val="1"/>
                <w:color w:val="auto"/>
              </w:rPr>
              <w:t>Equity</w:t>
            </w:r>
          </w:p>
        </w:tc>
      </w:tr>
      <w:tr>
        <w:trPr>
          <w:trHeight w:val="142"/>
        </w:trPr>
        <w:tc>
          <w:tcPr>
            <w:tcW w:w="28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February 1, 2020</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104,188</w:t>
            </w:r>
          </w:p>
        </w:tc>
        <w:tc>
          <w:tcPr>
            <w:tcW w:w="300" w:type="dxa"/>
            <w:vAlign w:val="bottom"/>
            <w:shd w:val="clear" w:color="auto" w:fill="CCEEFF"/>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764</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3"/>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jc w:val="right"/>
              <w:ind w:right="33"/>
              <w:spacing w:after="0" w:line="142" w:lineRule="exact"/>
              <w:rPr>
                <w:sz w:val="20"/>
                <w:szCs w:val="20"/>
                <w:color w:val="auto"/>
              </w:rPr>
            </w:pPr>
            <w:r>
              <w:rPr>
                <w:rFonts w:ascii="Arial" w:cs="Arial" w:eastAsia="Arial" w:hAnsi="Arial"/>
                <w:sz w:val="13"/>
                <w:szCs w:val="13"/>
                <w:b w:val="1"/>
                <w:bCs w:val="1"/>
                <w:color w:val="auto"/>
              </w:rPr>
              <w:t>2,103</w:t>
            </w:r>
          </w:p>
        </w:tc>
        <w:tc>
          <w:tcPr>
            <w:tcW w:w="260" w:type="dxa"/>
            <w:vAlign w:val="bottom"/>
            <w:shd w:val="clear" w:color="auto" w:fill="CCEEFF"/>
          </w:tcPr>
          <w:p>
            <w:pPr>
              <w:jc w:val="right"/>
              <w:ind w:right="33"/>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(394)</w:t>
            </w:r>
          </w:p>
        </w:tc>
        <w:tc>
          <w:tcPr>
            <w:tcW w:w="20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3"/>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2,473</w:t>
            </w:r>
          </w:p>
        </w:tc>
      </w:tr>
      <w:tr>
        <w:trPr>
          <w:trHeight w:val="148"/>
        </w:trPr>
        <w:tc>
          <w:tcPr>
            <w:tcW w:w="2820" w:type="dxa"/>
            <w:vAlign w:val="bottom"/>
          </w:tcPr>
          <w:p>
            <w:pPr>
              <w:ind w:left="20"/>
              <w:spacing w:after="0"/>
              <w:rPr>
                <w:sz w:val="20"/>
                <w:szCs w:val="20"/>
                <w:color w:val="auto"/>
              </w:rPr>
            </w:pPr>
            <w:r>
              <w:rPr>
                <w:rFonts w:ascii="Arial" w:cs="Arial" w:eastAsia="Arial" w:hAnsi="Arial"/>
                <w:sz w:val="13"/>
                <w:szCs w:val="13"/>
                <w:color w:val="auto"/>
              </w:rPr>
              <w:t>Restricted stock units issued</w:t>
            </w:r>
          </w:p>
        </w:tc>
        <w:tc>
          <w:tcPr>
            <w:tcW w:w="580" w:type="dxa"/>
            <w:vAlign w:val="bottom"/>
          </w:tcPr>
          <w:p>
            <w:pPr>
              <w:jc w:val="right"/>
              <w:spacing w:after="0"/>
              <w:rPr>
                <w:sz w:val="20"/>
                <w:szCs w:val="20"/>
                <w:color w:val="auto"/>
              </w:rPr>
            </w:pPr>
            <w:r>
              <w:rPr>
                <w:rFonts w:ascii="Arial" w:cs="Arial" w:eastAsia="Arial" w:hAnsi="Arial"/>
                <w:sz w:val="13"/>
                <w:szCs w:val="13"/>
                <w:color w:val="auto"/>
              </w:rPr>
              <w:t>54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Issued under director and stock plans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282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48"/>
        </w:trPr>
        <w:tc>
          <w:tcPr>
            <w:tcW w:w="28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Shares of common stock used to satisfy tax</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withholding obligations</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820" w:type="dxa"/>
            <w:vAlign w:val="bottom"/>
          </w:tcPr>
          <w:p>
            <w:pPr>
              <w:ind w:left="20"/>
              <w:spacing w:after="0"/>
              <w:rPr>
                <w:sz w:val="20"/>
                <w:szCs w:val="20"/>
                <w:color w:val="auto"/>
              </w:rPr>
            </w:pPr>
            <w:r>
              <w:rPr>
                <w:rFonts w:ascii="Arial" w:cs="Arial" w:eastAsia="Arial" w:hAnsi="Arial"/>
                <w:sz w:val="13"/>
                <w:szCs w:val="13"/>
                <w:color w:val="auto"/>
              </w:rPr>
              <w:t>Net loss</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(110)</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w:t>
            </w:r>
          </w:p>
        </w:tc>
      </w:tr>
      <w:tr>
        <w:trPr>
          <w:trHeight w:val="148"/>
        </w:trPr>
        <w:tc>
          <w:tcPr>
            <w:tcW w:w="28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dividends declared on common stock</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($0.40 per share)</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48"/>
        </w:trPr>
        <w:tc>
          <w:tcPr>
            <w:tcW w:w="2820" w:type="dxa"/>
            <w:vAlign w:val="bottom"/>
          </w:tcPr>
          <w:p>
            <w:pPr>
              <w:ind w:left="20"/>
              <w:spacing w:after="0"/>
              <w:rPr>
                <w:sz w:val="20"/>
                <w:szCs w:val="20"/>
                <w:color w:val="auto"/>
              </w:rPr>
            </w:pPr>
            <w:r>
              <w:rPr>
                <w:rFonts w:ascii="Arial" w:cs="Arial" w:eastAsia="Arial" w:hAnsi="Arial"/>
                <w:sz w:val="13"/>
                <w:szCs w:val="13"/>
                <w:color w:val="auto"/>
              </w:rPr>
              <w:t>Translation adjustment, net of tax</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4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cash flow hedges, net of tax</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48"/>
        </w:trPr>
        <w:tc>
          <w:tcPr>
            <w:tcW w:w="2820" w:type="dxa"/>
            <w:vAlign w:val="bottom"/>
          </w:tcPr>
          <w:p>
            <w:pPr>
              <w:ind w:left="20"/>
              <w:spacing w:after="0" w:line="148" w:lineRule="exact"/>
              <w:rPr>
                <w:sz w:val="20"/>
                <w:szCs w:val="20"/>
                <w:color w:val="auto"/>
              </w:rPr>
            </w:pPr>
            <w:r>
              <w:rPr>
                <w:rFonts w:ascii="Arial" w:cs="Arial" w:eastAsia="Arial" w:hAnsi="Arial"/>
                <w:sz w:val="13"/>
                <w:szCs w:val="13"/>
                <w:color w:val="auto"/>
              </w:rPr>
              <w:t>Pension and postretirement adjustments, net</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of tax</w:t>
            </w: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42"/>
        </w:trPr>
        <w:tc>
          <w:tcPr>
            <w:tcW w:w="2820" w:type="dxa"/>
            <w:vAlign w:val="bottom"/>
            <w:tcBorders>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May 2, 2020</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104,245</w:t>
            </w:r>
          </w:p>
        </w:tc>
        <w:tc>
          <w:tcPr>
            <w:tcW w:w="300" w:type="dxa"/>
            <w:vAlign w:val="bottom"/>
            <w:tcBorders>
              <w:bottom w:val="single" w:sz="8" w:color="auto"/>
            </w:tcBorders>
            <w:shd w:val="clear" w:color="auto" w:fill="CCEEFF"/>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767</w:t>
            </w: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(23)</w:t>
            </w:r>
          </w:p>
        </w:tc>
        <w:tc>
          <w:tcPr>
            <w:tcW w:w="24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b w:val="1"/>
                <w:bCs w:val="1"/>
                <w:color w:val="auto"/>
              </w:rPr>
              <w:t>1,951</w:t>
            </w:r>
          </w:p>
        </w:tc>
        <w:tc>
          <w:tcPr>
            <w:tcW w:w="26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(404)</w:t>
            </w:r>
          </w:p>
        </w:tc>
        <w:tc>
          <w:tcPr>
            <w:tcW w:w="20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2,314</w:t>
            </w:r>
          </w:p>
        </w:tc>
      </w:tr>
    </w:tbl>
    <w:p>
      <w:pPr>
        <w:spacing w:after="0" w:line="200" w:lineRule="exact"/>
        <w:rPr>
          <w:sz w:val="20"/>
          <w:szCs w:val="20"/>
          <w:color w:val="auto"/>
        </w:rPr>
      </w:pPr>
    </w:p>
    <w:p>
      <w:pPr>
        <w:spacing w:after="0" w:line="2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First Quarter 2021 Form 10-Q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220"/>
          </w:cols>
          <w:pgMar w:left="1440" w:top="517" w:right="1239"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846455</wp:posOffset>
            </wp:positionV>
            <wp:extent cx="183451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Thirteen weeks ended</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58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35"/>
              <w:spacing w:after="0" w:line="156" w:lineRule="exact"/>
              <w:rPr>
                <w:sz w:val="20"/>
                <w:szCs w:val="20"/>
                <w:color w:val="auto"/>
              </w:rPr>
            </w:pPr>
            <w:r>
              <w:rPr>
                <w:rFonts w:ascii="Arial" w:cs="Arial" w:eastAsia="Arial" w:hAnsi="Arial"/>
                <w:sz w:val="17"/>
                <w:szCs w:val="17"/>
                <w:b w:val="1"/>
                <w:bCs w:val="1"/>
                <w:color w:val="auto"/>
              </w:rPr>
              <w:t>May 1,</w:t>
            </w: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15"/>
              <w:spacing w:after="0" w:line="156" w:lineRule="exact"/>
              <w:rPr>
                <w:sz w:val="20"/>
                <w:szCs w:val="20"/>
                <w:color w:val="auto"/>
              </w:rPr>
            </w:pPr>
            <w:r>
              <w:rPr>
                <w:rFonts w:ascii="Arial" w:cs="Arial" w:eastAsia="Arial" w:hAnsi="Arial"/>
                <w:sz w:val="17"/>
                <w:szCs w:val="17"/>
                <w:b w:val="1"/>
                <w:bCs w:val="1"/>
                <w:color w:val="auto"/>
              </w:rPr>
              <w:t>May 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From operating activities: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Net income (loss)</w:t>
            </w:r>
          </w:p>
        </w:tc>
        <w:tc>
          <w:tcPr>
            <w:tcW w:w="3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202</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Adjustments to reconcile net income (loss) to net cash provided by</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activities: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220"/>
              <w:spacing w:after="0" w:line="189" w:lineRule="exact"/>
              <w:rPr>
                <w:sz w:val="20"/>
                <w:szCs w:val="20"/>
                <w:color w:val="auto"/>
              </w:rPr>
            </w:pPr>
            <w:r>
              <w:rPr>
                <w:rFonts w:ascii="Arial" w:cs="Arial" w:eastAsia="Arial" w:hAnsi="Arial"/>
                <w:sz w:val="17"/>
                <w:szCs w:val="17"/>
                <w:color w:val="auto"/>
              </w:rPr>
              <w:t>Impairment charges</w:t>
            </w:r>
          </w:p>
        </w:tc>
        <w:tc>
          <w:tcPr>
            <w:tcW w:w="380" w:type="dxa"/>
            <w:vAlign w:val="bottom"/>
          </w:tcPr>
          <w:p>
            <w:pPr>
              <w:spacing w:after="0"/>
              <w:rPr>
                <w:sz w:val="16"/>
                <w:szCs w:val="16"/>
                <w:color w:val="auto"/>
              </w:rPr>
            </w:pPr>
          </w:p>
        </w:tc>
        <w:tc>
          <w:tcPr>
            <w:tcW w:w="12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Depreciation and amortization</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45</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220"/>
              <w:spacing w:after="0" w:line="189" w:lineRule="exact"/>
              <w:rPr>
                <w:sz w:val="20"/>
                <w:szCs w:val="20"/>
                <w:color w:val="auto"/>
              </w:rPr>
            </w:pPr>
            <w:r>
              <w:rPr>
                <w:rFonts w:ascii="Arial" w:cs="Arial" w:eastAsia="Arial" w:hAnsi="Arial"/>
                <w:sz w:val="17"/>
                <w:szCs w:val="17"/>
                <w:color w:val="auto"/>
              </w:rPr>
              <w:t>Deferred income taxes</w:t>
            </w:r>
          </w:p>
        </w:tc>
        <w:tc>
          <w:tcPr>
            <w:tcW w:w="380" w:type="dxa"/>
            <w:vAlign w:val="bottom"/>
          </w:tcPr>
          <w:p>
            <w:pPr>
              <w:spacing w:after="0"/>
              <w:rPr>
                <w:sz w:val="16"/>
                <w:szCs w:val="16"/>
                <w:color w:val="auto"/>
              </w:rPr>
            </w:pPr>
          </w:p>
        </w:tc>
        <w:tc>
          <w:tcPr>
            <w:tcW w:w="12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Share-based compensation expense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8</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220"/>
              <w:spacing w:after="0" w:line="189" w:lineRule="exact"/>
              <w:rPr>
                <w:sz w:val="20"/>
                <w:szCs w:val="20"/>
                <w:color w:val="auto"/>
              </w:rPr>
            </w:pPr>
            <w:r>
              <w:rPr>
                <w:rFonts w:ascii="Arial" w:cs="Arial" w:eastAsia="Arial" w:hAnsi="Arial"/>
                <w:sz w:val="17"/>
                <w:szCs w:val="17"/>
                <w:color w:val="auto"/>
              </w:rPr>
              <w:t>Change in assets and liabilities: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Merchandise inventories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(94)</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340"/>
              <w:spacing w:after="0" w:line="189" w:lineRule="exact"/>
              <w:rPr>
                <w:sz w:val="20"/>
                <w:szCs w:val="20"/>
                <w:color w:val="auto"/>
              </w:rPr>
            </w:pPr>
            <w:r>
              <w:rPr>
                <w:rFonts w:ascii="Arial" w:cs="Arial" w:eastAsia="Arial" w:hAnsi="Arial"/>
                <w:sz w:val="17"/>
                <w:szCs w:val="17"/>
                <w:color w:val="auto"/>
              </w:rPr>
              <w:t>Accounts payable</w:t>
            </w:r>
          </w:p>
        </w:tc>
        <w:tc>
          <w:tcPr>
            <w:tcW w:w="380" w:type="dxa"/>
            <w:vAlign w:val="bottom"/>
          </w:tcPr>
          <w:p>
            <w:pPr>
              <w:spacing w:after="0"/>
              <w:rPr>
                <w:sz w:val="16"/>
                <w:szCs w:val="16"/>
                <w:color w:val="auto"/>
              </w:rPr>
            </w:pPr>
          </w:p>
        </w:tc>
        <w:tc>
          <w:tcPr>
            <w:tcW w:w="12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255</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Accrued and other liabilities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(25)</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340"/>
              <w:spacing w:after="0" w:line="189" w:lineRule="exact"/>
              <w:rPr>
                <w:sz w:val="20"/>
                <w:szCs w:val="20"/>
                <w:color w:val="auto"/>
              </w:rPr>
            </w:pPr>
            <w:r>
              <w:rPr>
                <w:rFonts w:ascii="Arial" w:cs="Arial" w:eastAsia="Arial" w:hAnsi="Arial"/>
                <w:sz w:val="17"/>
                <w:szCs w:val="17"/>
                <w:color w:val="auto"/>
              </w:rPr>
              <w:t>Insurance receivable for inventory loss</w:t>
            </w:r>
          </w:p>
        </w:tc>
        <w:tc>
          <w:tcPr>
            <w:tcW w:w="380" w:type="dxa"/>
            <w:vAlign w:val="bottom"/>
          </w:tcPr>
          <w:p>
            <w:pPr>
              <w:spacing w:after="0"/>
              <w:rPr>
                <w:sz w:val="16"/>
                <w:szCs w:val="16"/>
                <w:color w:val="auto"/>
              </w:rPr>
            </w:pPr>
          </w:p>
        </w:tc>
        <w:tc>
          <w:tcPr>
            <w:tcW w:w="12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8</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Borders>
              <w:bottom w:val="single" w:sz="8" w:color="auto"/>
            </w:tcBorders>
            <w:shd w:val="clear" w:color="auto" w:fill="CCEEFF"/>
          </w:tcPr>
          <w:p>
            <w:pPr>
              <w:ind w:left="340"/>
              <w:spacing w:after="0" w:line="189" w:lineRule="exact"/>
              <w:rPr>
                <w:sz w:val="20"/>
                <w:szCs w:val="20"/>
                <w:color w:val="auto"/>
              </w:rPr>
            </w:pPr>
            <w:r>
              <w:rPr>
                <w:rFonts w:ascii="Arial" w:cs="Arial" w:eastAsia="Arial" w:hAnsi="Arial"/>
                <w:sz w:val="17"/>
                <w:szCs w:val="17"/>
                <w:color w:val="auto"/>
              </w:rPr>
              <w:t>Other, net</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(10)</w:t>
            </w: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Net cash provided by (used in) operating activities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398</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From investing activities: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Capital expenditures</w:t>
            </w:r>
          </w:p>
        </w:tc>
        <w:tc>
          <w:tcPr>
            <w:tcW w:w="380" w:type="dxa"/>
            <w:vAlign w:val="bottom"/>
          </w:tcPr>
          <w:p>
            <w:pPr>
              <w:spacing w:after="0"/>
              <w:rPr>
                <w:sz w:val="16"/>
                <w:szCs w:val="16"/>
                <w:color w:val="auto"/>
              </w:rPr>
            </w:pPr>
          </w:p>
        </w:tc>
        <w:tc>
          <w:tcPr>
            <w:tcW w:w="12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(51)</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Minority investments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(8)</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Proceeds from sale of property</w:t>
            </w:r>
          </w:p>
        </w:tc>
        <w:tc>
          <w:tcPr>
            <w:tcW w:w="380" w:type="dxa"/>
            <w:vAlign w:val="bottom"/>
          </w:tcPr>
          <w:p>
            <w:pPr>
              <w:spacing w:after="0"/>
              <w:rPr>
                <w:sz w:val="16"/>
                <w:szCs w:val="16"/>
                <w:color w:val="auto"/>
              </w:rPr>
            </w:pPr>
          </w:p>
        </w:tc>
        <w:tc>
          <w:tcPr>
            <w:tcW w:w="12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3</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Insurance proceeds related to loss on property and equipment</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w:t>
            </w: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Net cash used in investing activities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(54)</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From financing activities: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Purchase of treasury shares</w:t>
            </w:r>
          </w:p>
        </w:tc>
        <w:tc>
          <w:tcPr>
            <w:tcW w:w="380" w:type="dxa"/>
            <w:vAlign w:val="bottom"/>
          </w:tcPr>
          <w:p>
            <w:pPr>
              <w:spacing w:after="0"/>
              <w:rPr>
                <w:sz w:val="16"/>
                <w:szCs w:val="16"/>
                <w:color w:val="auto"/>
              </w:rPr>
            </w:pPr>
          </w:p>
        </w:tc>
        <w:tc>
          <w:tcPr>
            <w:tcW w:w="12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(34)</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Dividends paid on common stock</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(21)</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Proceeds from exercise of stock options</w:t>
            </w:r>
          </w:p>
        </w:tc>
        <w:tc>
          <w:tcPr>
            <w:tcW w:w="380" w:type="dxa"/>
            <w:vAlign w:val="bottom"/>
          </w:tcPr>
          <w:p>
            <w:pPr>
              <w:spacing w:after="0"/>
              <w:rPr>
                <w:sz w:val="16"/>
                <w:szCs w:val="16"/>
                <w:color w:val="auto"/>
              </w:rPr>
            </w:pPr>
          </w:p>
        </w:tc>
        <w:tc>
          <w:tcPr>
            <w:tcW w:w="12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4</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Shares of common stock repurchased to satisfy tax withholding obligations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(10)</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Proceeds from the revolving credit facility</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cash (used in) provided by financing activities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(61)</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80" w:type="dxa"/>
            <w:vAlign w:val="bottom"/>
          </w:tcPr>
          <w:p>
            <w:pPr>
              <w:ind w:left="20"/>
              <w:spacing w:after="0" w:line="176" w:lineRule="exact"/>
              <w:rPr>
                <w:sz w:val="20"/>
                <w:szCs w:val="20"/>
                <w:color w:val="auto"/>
              </w:rPr>
            </w:pPr>
            <w:r>
              <w:rPr>
                <w:rFonts w:ascii="Arial" w:cs="Arial" w:eastAsia="Arial" w:hAnsi="Arial"/>
                <w:sz w:val="17"/>
                <w:szCs w:val="17"/>
                <w:color w:val="auto"/>
              </w:rPr>
              <w:t>Effect of exchange rate fluctuations on cash, cash equivalents, and</w:t>
            </w:r>
          </w:p>
        </w:tc>
        <w:tc>
          <w:tcPr>
            <w:tcW w:w="380" w:type="dxa"/>
            <w:vAlign w:val="bottom"/>
          </w:tcPr>
          <w:p>
            <w:pPr>
              <w:spacing w:after="0"/>
              <w:rPr>
                <w:sz w:val="15"/>
                <w:szCs w:val="15"/>
                <w:color w:val="auto"/>
              </w:rPr>
            </w:pPr>
          </w:p>
        </w:tc>
        <w:tc>
          <w:tcPr>
            <w:tcW w:w="120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8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3"/>
        </w:trPr>
        <w:tc>
          <w:tcPr>
            <w:tcW w:w="588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change in cash, cash equivalents, and restricted cash</w:t>
            </w:r>
          </w:p>
        </w:tc>
        <w:tc>
          <w:tcPr>
            <w:tcW w:w="3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283</w:t>
            </w:r>
          </w:p>
        </w:tc>
        <w:tc>
          <w:tcPr>
            <w:tcW w:w="3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Cash, cash equivalents, and restricted cash at beginning of year</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1,718</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3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2,001</w:t>
            </w:r>
          </w:p>
        </w:tc>
        <w:tc>
          <w:tcPr>
            <w:tcW w:w="3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Cash paid during the year:</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Interest</w:t>
            </w:r>
          </w:p>
        </w:tc>
        <w:tc>
          <w:tcPr>
            <w:tcW w:w="3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Income taxes</w:t>
            </w:r>
          </w:p>
        </w:tc>
        <w:tc>
          <w:tcPr>
            <w:tcW w:w="3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32</w:t>
            </w: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Non-cash investing activities: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7"/>
                <w:szCs w:val="17"/>
                <w:color w:val="auto"/>
              </w:rPr>
              <w:t>Cash paid for amounts included in measurement of lease liabilities</w:t>
            </w:r>
          </w:p>
        </w:tc>
        <w:tc>
          <w:tcPr>
            <w:tcW w:w="3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179</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Right-of-use assets obtained in exchange for operating lease obligations</w:t>
            </w:r>
          </w:p>
        </w:tc>
        <w:tc>
          <w:tcPr>
            <w:tcW w:w="3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114</w:t>
            </w:r>
          </w:p>
        </w:tc>
        <w:tc>
          <w:tcPr>
            <w:tcW w:w="3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79" w:lineRule="auto"/>
        <w:rPr>
          <w:sz w:val="20"/>
          <w:szCs w:val="20"/>
          <w:color w:val="auto"/>
        </w:rPr>
      </w:pPr>
      <w:r>
        <w:rPr>
          <w:rFonts w:ascii="Arial" w:cs="Arial" w:eastAsia="Arial" w:hAnsi="Arial"/>
          <w:sz w:val="18"/>
          <w:szCs w:val="18"/>
          <w:b w:val="1"/>
          <w:bCs w:val="1"/>
          <w:color w:val="auto"/>
        </w:rPr>
        <w:t>NOTES TO THE UNAUDITED CONDENSED CONSOLIDATED FINANCIAL STATEMENTS 1. Summary of Significant Accounting Policies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presented. As used in these Notes to the Unaudited Condensed Consolidated Financial Statements the terms “Foot Locker,” “Company,” “we,” “our,” and “us” refer to Foot Locker, Inc. and its consolidated subsidiaries.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us to make estimates and assumptions that affect the amounts reported in the accompanying Unaudited Condensed Consolidated Financial Statements and these Notes and related disclosures. Actual results may differ from those estimates. The results of operations for any interim period are not necessarily indicative of the results expected for the year. The results of operations for the period ended May 1, 2021 are not necessarily indicative of the results to be expected for the full fiscal year due to the continued uncertainty of general economic conditions that may affect us for the remainder of 2021. Specifically, the ongoing pandemic (“COVID-19”) including the dissemination and adoption of COVID-19 vaccines and their effectiveness against COVID-19 and its evolving strains, some of which may be more transmissible or virulent than the initial strain or additional widespread resurgences in COVID-19 infections are significant uncertainties. COVID-19, as well as port delays, may affect our sales, traffic to our stores, our distribution capabilities, and distribution capabilities of our suppliers.</w:t>
      </w:r>
    </w:p>
    <w:p>
      <w:pPr>
        <w:spacing w:after="0" w:line="20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accompanying unaudited condensed consolidated financial statements should be read in conjunction with the Notes to Consolidated Financial Statements contained in our Form 10-K for the year ended January 30, 2021, as filed with the U.S. Securities and Exchange Commission on March 25, 2021.</w:t>
      </w:r>
    </w:p>
    <w:p>
      <w:pPr>
        <w:spacing w:after="0" w:line="185"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color w:val="auto"/>
        </w:rPr>
        <w:t xml:space="preserve">There were no significant changes to the policies disclosed in Note 1,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our Annual Report on Form 10-K for the year ended January 30, 2021.</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Recently issued accounting pronouncements did not, or are not believed by management to, have a material effect on our present or future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Revenue</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table below presents sales disaggregated based upon sales channel. Sales are attributable to the channel in which the sales transaction is initiated.</w:t>
      </w:r>
    </w:p>
    <w:p>
      <w:pPr>
        <w:spacing w:after="0" w:line="185"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400" w:type="dxa"/>
            <w:vAlign w:val="bottom"/>
            <w:tcBorders>
              <w:top w:val="single" w:sz="8" w:color="auto"/>
            </w:tcBorders>
          </w:tcPr>
          <w:p>
            <w:pPr>
              <w:spacing w:after="0"/>
              <w:rPr>
                <w:sz w:val="13"/>
                <w:szCs w:val="13"/>
                <w:color w:val="auto"/>
              </w:rPr>
            </w:pPr>
          </w:p>
        </w:tc>
        <w:tc>
          <w:tcPr>
            <w:tcW w:w="30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1,</w:t>
            </w:r>
          </w:p>
        </w:tc>
        <w:tc>
          <w:tcPr>
            <w:tcW w:w="6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75"/>
              <w:spacing w:after="0" w:line="156" w:lineRule="exact"/>
              <w:rPr>
                <w:sz w:val="20"/>
                <w:szCs w:val="20"/>
                <w:color w:val="auto"/>
              </w:rPr>
            </w:pPr>
            <w:r>
              <w:rPr>
                <w:rFonts w:ascii="Arial" w:cs="Arial" w:eastAsia="Arial" w:hAnsi="Arial"/>
                <w:sz w:val="17"/>
                <w:szCs w:val="17"/>
                <w:b w:val="1"/>
                <w:bCs w:val="1"/>
                <w:color w:val="auto"/>
              </w:rPr>
              <w:t>May 2,</w:t>
            </w:r>
          </w:p>
        </w:tc>
      </w:tr>
      <w:tr>
        <w:trPr>
          <w:trHeight w:val="2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r>
      <w:tr>
        <w:trPr>
          <w:trHeight w:val="183"/>
        </w:trPr>
        <w:tc>
          <w:tcPr>
            <w:tcW w:w="340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Sales by Channel</w:t>
            </w:r>
          </w:p>
        </w:tc>
        <w:tc>
          <w:tcPr>
            <w:tcW w:w="3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9"/>
        </w:trPr>
        <w:tc>
          <w:tcPr>
            <w:tcW w:w="34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Stores</w:t>
            </w:r>
          </w:p>
        </w:tc>
        <w:tc>
          <w:tcPr>
            <w:tcW w:w="3020" w:type="dxa"/>
            <w:vAlign w:val="bottom"/>
            <w:shd w:val="clear" w:color="auto" w:fill="CCEEFF"/>
          </w:tcPr>
          <w:p>
            <w:pPr>
              <w:jc w:val="right"/>
              <w:ind w:right="93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1,620</w:t>
            </w:r>
          </w:p>
        </w:tc>
        <w:tc>
          <w:tcPr>
            <w:tcW w:w="5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814</w:t>
            </w:r>
          </w:p>
        </w:tc>
      </w:tr>
      <w:tr>
        <w:trPr>
          <w:trHeight w:val="189"/>
        </w:trPr>
        <w:tc>
          <w:tcPr>
            <w:tcW w:w="34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Direct-to-customers</w:t>
            </w:r>
          </w:p>
        </w:tc>
        <w:tc>
          <w:tcPr>
            <w:tcW w:w="30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533</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362</w:t>
            </w:r>
          </w:p>
        </w:tc>
      </w:tr>
      <w:tr>
        <w:trPr>
          <w:trHeight w:val="183"/>
        </w:trPr>
        <w:tc>
          <w:tcPr>
            <w:tcW w:w="34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sales</w:t>
            </w:r>
          </w:p>
        </w:tc>
        <w:tc>
          <w:tcPr>
            <w:tcW w:w="3020" w:type="dxa"/>
            <w:vAlign w:val="bottom"/>
            <w:tcBorders>
              <w:bottom w:val="single" w:sz="8" w:color="auto"/>
            </w:tcBorders>
            <w:shd w:val="clear" w:color="auto" w:fill="CCEEFF"/>
          </w:tcPr>
          <w:p>
            <w:pPr>
              <w:jc w:val="right"/>
              <w:ind w:right="93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2,153</w:t>
            </w:r>
          </w:p>
        </w:tc>
        <w:tc>
          <w:tcPr>
            <w:tcW w:w="50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1,176</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2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Sales disaggregated based upon geographic area is presented in the table below. Sales are attributable to the geographic area in which the sales transaction is fulfilled.</w:t>
      </w:r>
    </w:p>
    <w:p>
      <w:pPr>
        <w:spacing w:after="0" w:line="185"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480" w:type="dxa"/>
            <w:vAlign w:val="bottom"/>
            <w:tcBorders>
              <w:top w:val="single" w:sz="8" w:color="auto"/>
            </w:tcBorders>
          </w:tcPr>
          <w:p>
            <w:pPr>
              <w:spacing w:after="0"/>
              <w:rPr>
                <w:sz w:val="13"/>
                <w:szCs w:val="13"/>
                <w:color w:val="auto"/>
              </w:rPr>
            </w:pPr>
          </w:p>
        </w:tc>
        <w:tc>
          <w:tcPr>
            <w:tcW w:w="2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1,</w:t>
            </w:r>
          </w:p>
        </w:tc>
        <w:tc>
          <w:tcPr>
            <w:tcW w:w="6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75"/>
              <w:spacing w:after="0" w:line="156" w:lineRule="exact"/>
              <w:rPr>
                <w:sz w:val="20"/>
                <w:szCs w:val="20"/>
                <w:color w:val="auto"/>
              </w:rPr>
            </w:pPr>
            <w:r>
              <w:rPr>
                <w:rFonts w:ascii="Arial" w:cs="Arial" w:eastAsia="Arial" w:hAnsi="Arial"/>
                <w:sz w:val="17"/>
                <w:szCs w:val="17"/>
                <w:b w:val="1"/>
                <w:bCs w:val="1"/>
                <w:color w:val="auto"/>
              </w:rPr>
              <w:t>May 2,</w:t>
            </w:r>
          </w:p>
        </w:tc>
      </w:t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r>
      <w:tr>
        <w:trPr>
          <w:trHeight w:val="183"/>
        </w:trPr>
        <w:tc>
          <w:tcPr>
            <w:tcW w:w="348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Sales by Geography</w:t>
            </w:r>
          </w:p>
        </w:tc>
        <w:tc>
          <w:tcPr>
            <w:tcW w:w="2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United States</w:t>
            </w:r>
          </w:p>
        </w:tc>
        <w:tc>
          <w:tcPr>
            <w:tcW w:w="2940" w:type="dxa"/>
            <w:vAlign w:val="bottom"/>
            <w:shd w:val="clear" w:color="auto" w:fill="CCEEFF"/>
          </w:tcPr>
          <w:p>
            <w:pPr>
              <w:jc w:val="right"/>
              <w:ind w:right="93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1,713</w:t>
            </w:r>
          </w:p>
        </w:tc>
        <w:tc>
          <w:tcPr>
            <w:tcW w:w="5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911</w:t>
            </w:r>
          </w:p>
        </w:tc>
      </w:tr>
      <w:tr>
        <w:trPr>
          <w:trHeight w:val="189"/>
        </w:trPr>
        <w:tc>
          <w:tcPr>
            <w:tcW w:w="34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International</w:t>
            </w:r>
          </w:p>
        </w:tc>
        <w:tc>
          <w:tcPr>
            <w:tcW w:w="29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440</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265</w:t>
            </w:r>
          </w:p>
        </w:tc>
      </w:tr>
      <w:tr>
        <w:trPr>
          <w:trHeight w:val="183"/>
        </w:trPr>
        <w:tc>
          <w:tcPr>
            <w:tcW w:w="34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sales</w:t>
            </w:r>
          </w:p>
        </w:tc>
        <w:tc>
          <w:tcPr>
            <w:tcW w:w="2940" w:type="dxa"/>
            <w:vAlign w:val="bottom"/>
            <w:tcBorders>
              <w:bottom w:val="single" w:sz="8" w:color="auto"/>
            </w:tcBorders>
            <w:shd w:val="clear" w:color="auto" w:fill="CCEEFF"/>
          </w:tcPr>
          <w:p>
            <w:pPr>
              <w:jc w:val="right"/>
              <w:ind w:right="93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2,153</w:t>
            </w:r>
          </w:p>
        </w:tc>
        <w:tc>
          <w:tcPr>
            <w:tcW w:w="50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1,176</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Liabilities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We sell gift cards, which do not have expiration dates. Revenue from gift card sales is recorded when the gift cards are redeemed by customers. Breakage income is recognized as revenue </w:t>
      </w:r>
      <w:r>
        <w:rPr>
          <w:rFonts w:ascii="Arial" w:cs="Arial" w:eastAsia="Arial" w:hAnsi="Arial"/>
          <w:sz w:val="17"/>
          <w:szCs w:val="17"/>
          <w:color w:val="auto"/>
        </w:rPr>
        <w:t>in proportion to the pattern of</w:t>
      </w:r>
      <w:r>
        <w:rPr>
          <w:rFonts w:ascii="Arial" w:cs="Arial" w:eastAsia="Arial" w:hAnsi="Arial"/>
          <w:sz w:val="18"/>
          <w:szCs w:val="18"/>
          <w:color w:val="auto"/>
        </w:rPr>
        <w:t xml:space="preserve"> </w:t>
      </w:r>
      <w:r>
        <w:rPr>
          <w:rFonts w:ascii="Arial" w:cs="Arial" w:eastAsia="Arial" w:hAnsi="Arial"/>
          <w:sz w:val="17"/>
          <w:szCs w:val="17"/>
          <w:color w:val="auto"/>
        </w:rPr>
        <w:t>rights exercised by the customer. The table below presents the activity of our gift card liability balance:</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2460" w:type="dxa"/>
            <w:vAlign w:val="bottom"/>
          </w:tcPr>
          <w:p>
            <w:pPr>
              <w:jc w:val="right"/>
              <w:ind w:right="55"/>
              <w:spacing w:after="0"/>
              <w:rPr>
                <w:sz w:val="20"/>
                <w:szCs w:val="20"/>
                <w:color w:val="auto"/>
              </w:rPr>
            </w:pPr>
            <w:r>
              <w:rPr>
                <w:rFonts w:ascii="Arial" w:cs="Arial" w:eastAsia="Arial" w:hAnsi="Arial"/>
                <w:sz w:val="17"/>
                <w:szCs w:val="17"/>
                <w:b w:val="1"/>
                <w:bCs w:val="1"/>
                <w:color w:val="auto"/>
              </w:rPr>
              <w:t>May 1,</w:t>
            </w: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475"/>
              <w:spacing w:after="0"/>
              <w:rPr>
                <w:sz w:val="20"/>
                <w:szCs w:val="20"/>
                <w:color w:val="auto"/>
              </w:rPr>
            </w:pPr>
            <w:r>
              <w:rPr>
                <w:rFonts w:ascii="Arial" w:cs="Arial" w:eastAsia="Arial" w:hAnsi="Arial"/>
                <w:sz w:val="17"/>
                <w:szCs w:val="17"/>
                <w:b w:val="1"/>
                <w:bCs w:val="1"/>
                <w:color w:val="auto"/>
              </w:rPr>
              <w:t>May 2,</w:t>
            </w:r>
          </w:p>
        </w:tc>
      </w:tr>
      <w:tr>
        <w:trPr>
          <w:trHeight w:val="215"/>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4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r>
      <w:tr>
        <w:trPr>
          <w:trHeight w:val="183"/>
        </w:trPr>
        <w:tc>
          <w:tcPr>
            <w:tcW w:w="40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 at beginning of year</w:t>
            </w:r>
          </w:p>
        </w:tc>
        <w:tc>
          <w:tcPr>
            <w:tcW w:w="2460" w:type="dxa"/>
            <w:vAlign w:val="bottom"/>
            <w:shd w:val="clear" w:color="auto" w:fill="CCEEFF"/>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41</w:t>
            </w:r>
          </w:p>
        </w:tc>
        <w:tc>
          <w:tcPr>
            <w:tcW w:w="4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Redemptions</w:t>
            </w:r>
          </w:p>
        </w:tc>
        <w:tc>
          <w:tcPr>
            <w:tcW w:w="2460" w:type="dxa"/>
            <w:vAlign w:val="bottom"/>
          </w:tcPr>
          <w:p>
            <w:pPr>
              <w:spacing w:after="0"/>
              <w:rPr>
                <w:sz w:val="16"/>
                <w:szCs w:val="16"/>
                <w:color w:val="auto"/>
              </w:rPr>
            </w:pPr>
          </w:p>
        </w:tc>
        <w:tc>
          <w:tcPr>
            <w:tcW w:w="6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(56)</w:t>
            </w:r>
          </w:p>
        </w:tc>
        <w:tc>
          <w:tcPr>
            <w:tcW w:w="46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(15)</w:t>
            </w:r>
          </w:p>
        </w:tc>
      </w:tr>
      <w:tr>
        <w:trPr>
          <w:trHeight w:val="189"/>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24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(4)</w:t>
            </w:r>
          </w:p>
        </w:tc>
        <w:tc>
          <w:tcPr>
            <w:tcW w:w="4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Activations</w:t>
            </w:r>
          </w:p>
        </w:tc>
        <w:tc>
          <w:tcPr>
            <w:tcW w:w="2460" w:type="dxa"/>
            <w:vAlign w:val="bottom"/>
          </w:tcPr>
          <w:p>
            <w:pPr>
              <w:spacing w:after="0"/>
              <w:rPr>
                <w:sz w:val="16"/>
                <w:szCs w:val="16"/>
                <w:color w:val="auto"/>
              </w:rPr>
            </w:pPr>
          </w:p>
        </w:tc>
        <w:tc>
          <w:tcPr>
            <w:tcW w:w="6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62</w:t>
            </w:r>
          </w:p>
        </w:tc>
        <w:tc>
          <w:tcPr>
            <w:tcW w:w="46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r>
      <w:tr>
        <w:trPr>
          <w:trHeight w:val="189"/>
        </w:trPr>
        <w:tc>
          <w:tcPr>
            <w:tcW w:w="408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Foreign currency fluctuations</w:t>
            </w:r>
          </w:p>
        </w:tc>
        <w:tc>
          <w:tcPr>
            <w:tcW w:w="24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40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Gift card liability</w:t>
            </w:r>
          </w:p>
        </w:tc>
        <w:tc>
          <w:tcPr>
            <w:tcW w:w="2460" w:type="dxa"/>
            <w:vAlign w:val="bottom"/>
            <w:tcBorders>
              <w:bottom w:val="single" w:sz="8" w:color="auto"/>
            </w:tcBorders>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43</w:t>
            </w:r>
          </w:p>
        </w:tc>
        <w:tc>
          <w:tcPr>
            <w:tcW w:w="4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32</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elected not to disclose the information about remaining performance obligations since the amount of gift cards redeemed after 12 months is not significant.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Segment Information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integrated all available shopping channels including stores, websites, apps, social channels, and catalogs. Store sales are primarily fulfilled from the store’s inventory but may also be shipped from any of our distribution centers or from a different store location if an item is not available at the original store. Direct-to-customer orders are generally shipped to our customers through our distribution centers but may also be shipped from any store or a combination of our distribution centers and stores depending on the availability of particular items.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 non-operating income, and net interest (expense) income.</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14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1,</w:t>
            </w:r>
          </w:p>
        </w:tc>
        <w:tc>
          <w:tcPr>
            <w:tcW w:w="6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75"/>
              <w:spacing w:after="0" w:line="156" w:lineRule="exact"/>
              <w:rPr>
                <w:sz w:val="20"/>
                <w:szCs w:val="20"/>
                <w:color w:val="auto"/>
              </w:rPr>
            </w:pPr>
            <w:r>
              <w:rPr>
                <w:rFonts w:ascii="Arial" w:cs="Arial" w:eastAsia="Arial" w:hAnsi="Arial"/>
                <w:sz w:val="17"/>
                <w:szCs w:val="17"/>
                <w:b w:val="1"/>
                <w:bCs w:val="1"/>
                <w:color w:val="auto"/>
              </w:rPr>
              <w:t>May 2,</w:t>
            </w:r>
          </w:p>
        </w:tc>
        <w:tc>
          <w:tcPr>
            <w:tcW w:w="20" w:type="dxa"/>
            <w:vAlign w:val="bottom"/>
          </w:tcPr>
          <w:p>
            <w:pPr>
              <w:spacing w:after="0"/>
              <w:rPr>
                <w:sz w:val="13"/>
                <w:szCs w:val="13"/>
                <w:color w:val="auto"/>
              </w:rPr>
            </w:pPr>
          </w:p>
        </w:tc>
      </w:tr>
      <w:tr>
        <w:trPr>
          <w:trHeight w:val="215"/>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8"/>
                <w:szCs w:val="18"/>
                <w:color w:val="auto"/>
              </w:rPr>
            </w:pPr>
          </w:p>
        </w:tc>
      </w:tr>
      <w:tr>
        <w:trPr>
          <w:trHeight w:val="182"/>
        </w:trPr>
        <w:tc>
          <w:tcPr>
            <w:tcW w:w="41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w:t>
            </w:r>
          </w:p>
        </w:tc>
        <w:tc>
          <w:tcPr>
            <w:tcW w:w="2300" w:type="dxa"/>
            <w:vAlign w:val="bottom"/>
            <w:shd w:val="clear" w:color="auto" w:fill="CCEEFF"/>
          </w:tcPr>
          <w:p>
            <w:pPr>
              <w:jc w:val="right"/>
              <w:ind w:right="93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2,153</w:t>
            </w:r>
          </w:p>
        </w:tc>
        <w:tc>
          <w:tcPr>
            <w:tcW w:w="48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1,176</w:t>
            </w:r>
          </w:p>
        </w:tc>
        <w:tc>
          <w:tcPr>
            <w:tcW w:w="20" w:type="dxa"/>
            <w:vAlign w:val="bottom"/>
          </w:tcPr>
          <w:p>
            <w:pPr>
              <w:spacing w:after="0"/>
              <w:rPr>
                <w:sz w:val="15"/>
                <w:szCs w:val="15"/>
                <w:color w:val="auto"/>
              </w:rPr>
            </w:pPr>
          </w:p>
        </w:tc>
      </w:tr>
      <w:tr>
        <w:trPr>
          <w:trHeight w:val="189"/>
        </w:trPr>
        <w:tc>
          <w:tcPr>
            <w:tcW w:w="4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Operating Results</w:t>
            </w:r>
          </w:p>
        </w:tc>
        <w:tc>
          <w:tcPr>
            <w:tcW w:w="2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140" w:type="dxa"/>
            <w:vAlign w:val="bottom"/>
          </w:tcPr>
          <w:p>
            <w:pPr>
              <w:ind w:left="20"/>
              <w:spacing w:after="0" w:line="189" w:lineRule="exact"/>
              <w:rPr>
                <w:sz w:val="20"/>
                <w:szCs w:val="20"/>
                <w:color w:val="auto"/>
              </w:rPr>
            </w:pPr>
            <w:r>
              <w:rPr>
                <w:rFonts w:ascii="Arial" w:cs="Arial" w:eastAsia="Arial" w:hAnsi="Arial"/>
                <w:sz w:val="17"/>
                <w:szCs w:val="17"/>
                <w:color w:val="auto"/>
              </w:rPr>
              <w:t>Division (loss) profit</w:t>
            </w:r>
          </w:p>
        </w:tc>
        <w:tc>
          <w:tcPr>
            <w:tcW w:w="2300" w:type="dxa"/>
            <w:vAlign w:val="bottom"/>
          </w:tcPr>
          <w:p>
            <w:pPr>
              <w:spacing w:after="0"/>
              <w:rPr>
                <w:sz w:val="16"/>
                <w:szCs w:val="16"/>
                <w:color w:val="auto"/>
              </w:rPr>
            </w:pPr>
          </w:p>
        </w:tc>
        <w:tc>
          <w:tcPr>
            <w:tcW w:w="66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315</w:t>
            </w:r>
          </w:p>
        </w:tc>
        <w:tc>
          <w:tcPr>
            <w:tcW w:w="48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(79)</w:t>
            </w:r>
          </w:p>
        </w:tc>
        <w:tc>
          <w:tcPr>
            <w:tcW w:w="20" w:type="dxa"/>
            <w:vAlign w:val="bottom"/>
          </w:tcPr>
          <w:p>
            <w:pPr>
              <w:spacing w:after="0"/>
              <w:rPr>
                <w:sz w:val="16"/>
                <w:szCs w:val="16"/>
                <w:color w:val="auto"/>
              </w:rPr>
            </w:pPr>
          </w:p>
        </w:tc>
      </w:tr>
      <w:tr>
        <w:trPr>
          <w:trHeight w:val="189"/>
        </w:trPr>
        <w:tc>
          <w:tcPr>
            <w:tcW w:w="414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23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4</w:t>
            </w: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6"/>
                <w:szCs w:val="16"/>
                <w:color w:val="auto"/>
              </w:rPr>
            </w:pPr>
          </w:p>
        </w:tc>
      </w:tr>
      <w:tr>
        <w:trPr>
          <w:trHeight w:val="189"/>
        </w:trPr>
        <w:tc>
          <w:tcPr>
            <w:tcW w:w="41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2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29</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w:t>
            </w:r>
          </w:p>
        </w:tc>
        <w:tc>
          <w:tcPr>
            <w:tcW w:w="20" w:type="dxa"/>
            <w:vAlign w:val="bottom"/>
          </w:tcPr>
          <w:p>
            <w:pPr>
              <w:spacing w:after="0"/>
              <w:rPr>
                <w:sz w:val="16"/>
                <w:szCs w:val="16"/>
                <w:color w:val="auto"/>
              </w:rPr>
            </w:pPr>
          </w:p>
        </w:tc>
      </w:tr>
      <w:tr>
        <w:trPr>
          <w:trHeight w:val="183"/>
        </w:trPr>
        <w:tc>
          <w:tcPr>
            <w:tcW w:w="41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Income (loss) from operations</w:t>
            </w: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282</w:t>
            </w:r>
          </w:p>
        </w:tc>
        <w:tc>
          <w:tcPr>
            <w:tcW w:w="4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(105)</w:t>
            </w:r>
          </w:p>
        </w:tc>
        <w:tc>
          <w:tcPr>
            <w:tcW w:w="20" w:type="dxa"/>
            <w:vAlign w:val="bottom"/>
          </w:tcPr>
          <w:p>
            <w:pPr>
              <w:spacing w:after="0"/>
              <w:rPr>
                <w:sz w:val="15"/>
                <w:szCs w:val="15"/>
                <w:color w:val="auto"/>
              </w:rPr>
            </w:pPr>
          </w:p>
        </w:tc>
      </w:tr>
      <w:tr>
        <w:trPr>
          <w:trHeight w:val="189"/>
        </w:trPr>
        <w:tc>
          <w:tcPr>
            <w:tcW w:w="4140" w:type="dxa"/>
            <w:vAlign w:val="bottom"/>
          </w:tcPr>
          <w:p>
            <w:pPr>
              <w:ind w:left="20"/>
              <w:spacing w:after="0" w:line="189" w:lineRule="exact"/>
              <w:rPr>
                <w:sz w:val="20"/>
                <w:szCs w:val="20"/>
                <w:color w:val="auto"/>
              </w:rPr>
            </w:pPr>
            <w:r>
              <w:rPr>
                <w:rFonts w:ascii="Arial" w:cs="Arial" w:eastAsia="Arial" w:hAnsi="Arial"/>
                <w:sz w:val="17"/>
                <w:szCs w:val="17"/>
                <w:color w:val="auto"/>
              </w:rPr>
              <w:t>Interest expense, net</w:t>
            </w:r>
          </w:p>
        </w:tc>
        <w:tc>
          <w:tcPr>
            <w:tcW w:w="2300" w:type="dxa"/>
            <w:vAlign w:val="bottom"/>
          </w:tcPr>
          <w:p>
            <w:pPr>
              <w:spacing w:after="0"/>
              <w:rPr>
                <w:sz w:val="16"/>
                <w:szCs w:val="16"/>
                <w:color w:val="auto"/>
              </w:rPr>
            </w:pPr>
          </w:p>
        </w:tc>
        <w:tc>
          <w:tcPr>
            <w:tcW w:w="6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48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r>
        <w:trPr>
          <w:trHeight w:val="189"/>
        </w:trPr>
        <w:tc>
          <w:tcPr>
            <w:tcW w:w="41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Other income, net</w:t>
            </w:r>
          </w:p>
        </w:tc>
        <w:tc>
          <w:tcPr>
            <w:tcW w:w="2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4</w:t>
            </w:r>
          </w:p>
        </w:tc>
        <w:tc>
          <w:tcPr>
            <w:tcW w:w="4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r>
        <w:trPr>
          <w:trHeight w:val="183"/>
        </w:trPr>
        <w:tc>
          <w:tcPr>
            <w:tcW w:w="41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Income (loss) before income taxes</w:t>
            </w:r>
          </w:p>
        </w:tc>
        <w:tc>
          <w:tcPr>
            <w:tcW w:w="2300" w:type="dxa"/>
            <w:vAlign w:val="bottom"/>
            <w:tcBorders>
              <w:bottom w:val="single" w:sz="8" w:color="auto"/>
            </w:tcBorders>
          </w:tcPr>
          <w:p>
            <w:pPr>
              <w:jc w:val="right"/>
              <w:ind w:right="93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284</w:t>
            </w:r>
          </w:p>
        </w:tc>
        <w:tc>
          <w:tcPr>
            <w:tcW w:w="48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(105)</w:t>
            </w:r>
          </w:p>
        </w:tc>
        <w:tc>
          <w:tcPr>
            <w:tcW w:w="20" w:type="dxa"/>
            <w:vAlign w:val="bottom"/>
            <w:tcBorders>
              <w:bottom w:val="single" w:sz="8" w:color="auto"/>
            </w:tcBorders>
          </w:tcPr>
          <w:p>
            <w:pPr>
              <w:spacing w:after="0"/>
              <w:rPr>
                <w:sz w:val="15"/>
                <w:szCs w:val="15"/>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9"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During the thirteen weeks ended May 1, 2021, we recorded pre-tax charges as detailed in Note 4,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Impairment and Other Charges</w:t>
      </w:r>
    </w:p>
    <w:p>
      <w:pPr>
        <w:spacing w:after="0" w:line="222"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7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right"/>
              <w:ind w:right="75"/>
              <w:spacing w:after="0" w:line="156" w:lineRule="exact"/>
              <w:rPr>
                <w:sz w:val="20"/>
                <w:szCs w:val="20"/>
                <w:color w:val="auto"/>
              </w:rPr>
            </w:pPr>
            <w:r>
              <w:rPr>
                <w:rFonts w:ascii="Arial" w:cs="Arial" w:eastAsia="Arial" w:hAnsi="Arial"/>
                <w:sz w:val="17"/>
                <w:szCs w:val="17"/>
                <w:b w:val="1"/>
                <w:bCs w:val="1"/>
                <w:color w:val="auto"/>
              </w:rPr>
              <w:t>May 1,</w:t>
            </w:r>
          </w:p>
        </w:tc>
        <w:tc>
          <w:tcPr>
            <w:tcW w:w="5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75"/>
              <w:spacing w:after="0" w:line="156" w:lineRule="exact"/>
              <w:rPr>
                <w:sz w:val="20"/>
                <w:szCs w:val="20"/>
                <w:color w:val="auto"/>
              </w:rPr>
            </w:pPr>
            <w:r>
              <w:rPr>
                <w:rFonts w:ascii="Arial" w:cs="Arial" w:eastAsia="Arial" w:hAnsi="Arial"/>
                <w:sz w:val="17"/>
                <w:szCs w:val="17"/>
                <w:b w:val="1"/>
                <w:bCs w:val="1"/>
                <w:color w:val="auto"/>
              </w:rPr>
              <w:t>May 2,</w:t>
            </w:r>
          </w:p>
        </w:tc>
      </w:tr>
      <w:tr>
        <w:trPr>
          <w:trHeight w:val="21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8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r>
      <w:tr>
        <w:trPr>
          <w:trHeight w:val="183"/>
        </w:trPr>
        <w:tc>
          <w:tcPr>
            <w:tcW w:w="47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Impairment of investments</w:t>
            </w:r>
          </w:p>
        </w:tc>
        <w:tc>
          <w:tcPr>
            <w:tcW w:w="1820" w:type="dxa"/>
            <w:vAlign w:val="bottom"/>
            <w:shd w:val="clear" w:color="auto" w:fill="CCEEFF"/>
          </w:tcPr>
          <w:p>
            <w:pPr>
              <w:jc w:val="right"/>
              <w:ind w:right="105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w:t>
            </w:r>
          </w:p>
        </w:tc>
        <w:tc>
          <w:tcPr>
            <w:tcW w:w="50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r>
      <w:tr>
        <w:trPr>
          <w:trHeight w:val="189"/>
        </w:trPr>
        <w:tc>
          <w:tcPr>
            <w:tcW w:w="4740" w:type="dxa"/>
            <w:vAlign w:val="bottom"/>
          </w:tcPr>
          <w:p>
            <w:pPr>
              <w:ind w:left="20"/>
              <w:spacing w:after="0" w:line="189" w:lineRule="exact"/>
              <w:rPr>
                <w:sz w:val="20"/>
                <w:szCs w:val="20"/>
                <w:color w:val="auto"/>
              </w:rPr>
            </w:pPr>
            <w:r>
              <w:rPr>
                <w:rFonts w:ascii="Arial" w:cs="Arial" w:eastAsia="Arial" w:hAnsi="Arial"/>
                <w:sz w:val="17"/>
                <w:szCs w:val="17"/>
                <w:color w:val="auto"/>
              </w:rPr>
              <w:t>Reorganization costs</w:t>
            </w:r>
          </w:p>
        </w:tc>
        <w:tc>
          <w:tcPr>
            <w:tcW w:w="1820" w:type="dxa"/>
            <w:vAlign w:val="bottom"/>
          </w:tcPr>
          <w:p>
            <w:pPr>
              <w:spacing w:after="0"/>
              <w:rPr>
                <w:sz w:val="16"/>
                <w:szCs w:val="16"/>
                <w:color w:val="auto"/>
              </w:rPr>
            </w:pPr>
          </w:p>
        </w:tc>
        <w:tc>
          <w:tcPr>
            <w:tcW w:w="5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w:t>
            </w:r>
          </w:p>
        </w:tc>
        <w:tc>
          <w:tcPr>
            <w:tcW w:w="50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47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Impairment of long-lived assets and right-of-use assets</w:t>
            </w:r>
          </w:p>
        </w:tc>
        <w:tc>
          <w:tcPr>
            <w:tcW w:w="1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r>
      <w:tr>
        <w:trPr>
          <w:trHeight w:val="189"/>
        </w:trPr>
        <w:tc>
          <w:tcPr>
            <w:tcW w:w="47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Pension litigation related charges</w:t>
            </w:r>
          </w:p>
        </w:tc>
        <w:tc>
          <w:tcPr>
            <w:tcW w:w="1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47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impairment and other charges</w:t>
            </w:r>
          </w:p>
        </w:tc>
        <w:tc>
          <w:tcPr>
            <w:tcW w:w="1820" w:type="dxa"/>
            <w:vAlign w:val="bottom"/>
            <w:tcBorders>
              <w:bottom w:val="single" w:sz="8" w:color="auto"/>
            </w:tcBorders>
            <w:shd w:val="clear" w:color="auto" w:fill="CCEEFF"/>
          </w:tcPr>
          <w:p>
            <w:pPr>
              <w:jc w:val="right"/>
              <w:ind w:right="105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4</w:t>
            </w:r>
          </w:p>
        </w:tc>
        <w:tc>
          <w:tcPr>
            <w:tcW w:w="50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first quarter of 2021, we recorded an impairment charge of $2 million related to the underperformance of one of our minority investments. Additionally, in connection with the reorganization of certain support functions, we recorded severance charges of $2 million.</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May 2020, we made the strategic decision to close our Runners Point business. Certain Runners Point stores converted to other banners and approximately 40 Runners Point and Sidestep stores were closed. Also we conducted an impairment review for certain underperforming stores operating in Europe. We evaluated the long-lived assets, including the right-of-use assets, of 70 stores and recorded non-cash charges of $15 million to write down store fixtures, leasehold improvements, and right-of-use assets.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and the Company’s U.S. pension plan were involved in litigation related to the conversion of the plan to a cash balance plan. The court entered its final judgment in 2018, which required the plan to be reformed as directed by the court order. We recorded charges of $1 million for the thirteen weeks ended May 2, 2020 related to administrative expenses in connection with the reformation.</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0" w:lineRule="auto"/>
        <w:rPr>
          <w:sz w:val="20"/>
          <w:szCs w:val="20"/>
          <w:color w:val="auto"/>
        </w:rPr>
      </w:pPr>
      <w:r>
        <w:rPr>
          <w:rFonts w:ascii="Arial" w:cs="Arial" w:eastAsia="Arial" w:hAnsi="Arial"/>
          <w:sz w:val="18"/>
          <w:szCs w:val="18"/>
          <w:b w:val="1"/>
          <w:bCs w:val="1"/>
          <w:color w:val="auto"/>
        </w:rPr>
        <w:t>NOTES TO THE UNAUDITED CONDENSED CONSOLIDATED FINANCIAL STATEMENTS 5. Cash, Cash Equivalents, and Restricted Cash</w:t>
      </w:r>
    </w:p>
    <w:p>
      <w:pPr>
        <w:jc w:val="both"/>
        <w:ind w:left="60" w:right="59"/>
        <w:spacing w:after="0"/>
        <w:rPr>
          <w:sz w:val="20"/>
          <w:szCs w:val="20"/>
          <w:color w:val="auto"/>
        </w:rPr>
      </w:pPr>
      <w:r>
        <w:rPr>
          <w:rFonts w:ascii="Arial" w:cs="Arial" w:eastAsia="Arial" w:hAnsi="Arial"/>
          <w:sz w:val="18"/>
          <w:szCs w:val="18"/>
          <w:color w:val="auto"/>
        </w:rPr>
        <w:t>The table below provides a reconciliation of cash and cash equivalents, as reported on our Condensed Consolidated Balance Sheets, to cash, cash equivalents, and restricted cash, as reported on our Condensed Consolidated Statements of Cash Flows: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May 1,</w:t>
            </w: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jc w:val="right"/>
              <w:ind w:right="475"/>
              <w:spacing w:after="0"/>
              <w:rPr>
                <w:sz w:val="20"/>
                <w:szCs w:val="20"/>
                <w:color w:val="auto"/>
              </w:rPr>
            </w:pPr>
            <w:r>
              <w:rPr>
                <w:rFonts w:ascii="Arial" w:cs="Arial" w:eastAsia="Arial" w:hAnsi="Arial"/>
                <w:sz w:val="17"/>
                <w:szCs w:val="17"/>
                <w:b w:val="1"/>
                <w:bCs w:val="1"/>
                <w:color w:val="auto"/>
              </w:rPr>
              <w:t>May 2,</w:t>
            </w:r>
          </w:p>
        </w:tc>
      </w:tr>
      <w:tr>
        <w:trPr>
          <w:trHeight w:val="21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r>
      <w:tr>
        <w:trPr>
          <w:trHeight w:val="183"/>
        </w:trPr>
        <w:tc>
          <w:tcPr>
            <w:tcW w:w="46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Cash and cash equivalents</w:t>
            </w:r>
          </w:p>
        </w:tc>
        <w:tc>
          <w:tcPr>
            <w:tcW w:w="1800" w:type="dxa"/>
            <w:vAlign w:val="bottom"/>
            <w:shd w:val="clear" w:color="auto" w:fill="CCEEFF"/>
          </w:tcPr>
          <w:p>
            <w:pPr>
              <w:jc w:val="right"/>
              <w:ind w:right="93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1,963</w:t>
            </w:r>
          </w:p>
        </w:tc>
        <w:tc>
          <w:tcPr>
            <w:tcW w:w="50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1,012</w:t>
            </w:r>
          </w:p>
        </w:tc>
      </w:tr>
      <w:tr>
        <w:trPr>
          <w:trHeight w:val="189"/>
        </w:trPr>
        <w:tc>
          <w:tcPr>
            <w:tcW w:w="4640" w:type="dxa"/>
            <w:vAlign w:val="bottom"/>
          </w:tcPr>
          <w:p>
            <w:pPr>
              <w:ind w:left="20"/>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1800" w:type="dxa"/>
            <w:vAlign w:val="bottom"/>
          </w:tcPr>
          <w:p>
            <w:pPr>
              <w:spacing w:after="0"/>
              <w:rPr>
                <w:sz w:val="16"/>
                <w:szCs w:val="16"/>
                <w:color w:val="auto"/>
              </w:rPr>
            </w:pPr>
          </w:p>
        </w:tc>
        <w:tc>
          <w:tcPr>
            <w:tcW w:w="6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8</w:t>
            </w:r>
          </w:p>
        </w:tc>
        <w:tc>
          <w:tcPr>
            <w:tcW w:w="50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r>
      <w:tr>
        <w:trPr>
          <w:trHeight w:val="189"/>
        </w:trPr>
        <w:tc>
          <w:tcPr>
            <w:tcW w:w="46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18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30</w:t>
            </w:r>
          </w:p>
        </w:tc>
        <w:tc>
          <w:tcPr>
            <w:tcW w:w="5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w:t>
            </w:r>
          </w:p>
        </w:tc>
      </w:tr>
      <w:tr>
        <w:trPr>
          <w:trHeight w:val="183"/>
        </w:trPr>
        <w:tc>
          <w:tcPr>
            <w:tcW w:w="46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Cash, cash equivalents, and restricted cash</w:t>
            </w:r>
          </w:p>
        </w:tc>
        <w:tc>
          <w:tcPr>
            <w:tcW w:w="1800" w:type="dxa"/>
            <w:vAlign w:val="bottom"/>
            <w:tcBorders>
              <w:bottom w:val="single" w:sz="8" w:color="auto"/>
            </w:tcBorders>
          </w:tcPr>
          <w:p>
            <w:pPr>
              <w:jc w:val="right"/>
              <w:ind w:right="93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2,001</w:t>
            </w:r>
          </w:p>
        </w:tc>
        <w:tc>
          <w:tcPr>
            <w:tcW w:w="50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1,047</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Goodwill</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quantitative impairment test.</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results of the first quarter analysis did not result in an impairment since the fair value of each reporting unit exceeded its carrying value.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Other Intangible Assets, net</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May 1, 2021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May 2, 2020</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156"/>
        </w:trPr>
        <w:tc>
          <w:tcPr>
            <w:tcW w:w="2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jc w:val="right"/>
              <w:ind w:right="155"/>
              <w:spacing w:after="0" w:line="156" w:lineRule="exact"/>
              <w:rPr>
                <w:sz w:val="20"/>
                <w:szCs w:val="20"/>
                <w:color w:val="auto"/>
              </w:rPr>
            </w:pPr>
            <w:r>
              <w:rPr>
                <w:rFonts w:ascii="Arial" w:cs="Arial" w:eastAsia="Arial" w:hAnsi="Arial"/>
                <w:sz w:val="17"/>
                <w:szCs w:val="17"/>
                <w:b w:val="1"/>
                <w:bCs w:val="1"/>
                <w:color w:val="auto"/>
              </w:rPr>
              <w:t>Gross</w:t>
            </w:r>
          </w:p>
        </w:tc>
        <w:tc>
          <w:tcPr>
            <w:tcW w:w="200" w:type="dxa"/>
            <w:vAlign w:val="bottom"/>
          </w:tcPr>
          <w:p>
            <w:pPr>
              <w:spacing w:after="0"/>
              <w:rPr>
                <w:sz w:val="13"/>
                <w:szCs w:val="13"/>
                <w:color w:val="auto"/>
              </w:rPr>
            </w:pPr>
          </w:p>
        </w:tc>
        <w:tc>
          <w:tcPr>
            <w:tcW w:w="900" w:type="dxa"/>
            <w:vAlign w:val="bottom"/>
          </w:tcPr>
          <w:p>
            <w:pPr>
              <w:jc w:val="right"/>
              <w:ind w:right="175"/>
              <w:spacing w:after="0" w:line="156" w:lineRule="exact"/>
              <w:rPr>
                <w:sz w:val="20"/>
                <w:szCs w:val="20"/>
                <w:color w:val="auto"/>
              </w:rPr>
            </w:pPr>
            <w:r>
              <w:rPr>
                <w:rFonts w:ascii="Arial" w:cs="Arial" w:eastAsia="Arial" w:hAnsi="Arial"/>
                <w:sz w:val="17"/>
                <w:szCs w:val="17"/>
                <w:b w:val="1"/>
                <w:bCs w:val="1"/>
                <w:color w:val="auto"/>
              </w:rPr>
              <w:t>Accum.</w:t>
            </w:r>
          </w:p>
        </w:tc>
        <w:tc>
          <w:tcPr>
            <w:tcW w:w="180" w:type="dxa"/>
            <w:vAlign w:val="bottom"/>
          </w:tcPr>
          <w:p>
            <w:pPr>
              <w:spacing w:after="0"/>
              <w:rPr>
                <w:sz w:val="13"/>
                <w:szCs w:val="13"/>
                <w:color w:val="auto"/>
              </w:rPr>
            </w:pPr>
          </w:p>
        </w:tc>
        <w:tc>
          <w:tcPr>
            <w:tcW w:w="760" w:type="dxa"/>
            <w:vAlign w:val="bottom"/>
          </w:tcPr>
          <w:p>
            <w:pPr>
              <w:jc w:val="right"/>
              <w:ind w:right="255"/>
              <w:spacing w:after="0" w:line="156" w:lineRule="exact"/>
              <w:rPr>
                <w:sz w:val="20"/>
                <w:szCs w:val="20"/>
                <w:color w:val="auto"/>
              </w:rPr>
            </w:pPr>
            <w:r>
              <w:rPr>
                <w:rFonts w:ascii="Arial" w:cs="Arial" w:eastAsia="Arial" w:hAnsi="Arial"/>
                <w:sz w:val="17"/>
                <w:szCs w:val="17"/>
                <w:b w:val="1"/>
                <w:bCs w:val="1"/>
                <w:color w:val="auto"/>
              </w:rPr>
              <w:t>Net</w:t>
            </w:r>
          </w:p>
        </w:tc>
        <w:tc>
          <w:tcPr>
            <w:tcW w:w="240" w:type="dxa"/>
            <w:vAlign w:val="bottom"/>
          </w:tcPr>
          <w:p>
            <w:pPr>
              <w:spacing w:after="0"/>
              <w:rPr>
                <w:sz w:val="13"/>
                <w:szCs w:val="13"/>
                <w:color w:val="auto"/>
              </w:rPr>
            </w:pPr>
          </w:p>
        </w:tc>
        <w:tc>
          <w:tcPr>
            <w:tcW w:w="800" w:type="dxa"/>
            <w:vAlign w:val="bottom"/>
          </w:tcPr>
          <w:p>
            <w:pPr>
              <w:jc w:val="right"/>
              <w:ind w:right="175"/>
              <w:spacing w:after="0" w:line="156" w:lineRule="exact"/>
              <w:rPr>
                <w:sz w:val="20"/>
                <w:szCs w:val="20"/>
                <w:color w:val="auto"/>
              </w:rPr>
            </w:pPr>
            <w:r>
              <w:rPr>
                <w:rFonts w:ascii="Arial" w:cs="Arial" w:eastAsia="Arial" w:hAnsi="Arial"/>
                <w:sz w:val="17"/>
                <w:szCs w:val="17"/>
                <w:b w:val="1"/>
                <w:bCs w:val="1"/>
                <w:color w:val="auto"/>
              </w:rPr>
              <w:t>Gross</w:t>
            </w:r>
          </w:p>
        </w:tc>
        <w:tc>
          <w:tcPr>
            <w:tcW w:w="200" w:type="dxa"/>
            <w:vAlign w:val="bottom"/>
          </w:tcPr>
          <w:p>
            <w:pPr>
              <w:spacing w:after="0"/>
              <w:rPr>
                <w:sz w:val="13"/>
                <w:szCs w:val="13"/>
                <w:color w:val="auto"/>
              </w:rPr>
            </w:pPr>
          </w:p>
        </w:tc>
        <w:tc>
          <w:tcPr>
            <w:tcW w:w="900" w:type="dxa"/>
            <w:vAlign w:val="bottom"/>
          </w:tcPr>
          <w:p>
            <w:pPr>
              <w:jc w:val="right"/>
              <w:ind w:right="175"/>
              <w:spacing w:after="0" w:line="156" w:lineRule="exact"/>
              <w:rPr>
                <w:sz w:val="20"/>
                <w:szCs w:val="20"/>
                <w:color w:val="auto"/>
              </w:rPr>
            </w:pPr>
            <w:r>
              <w:rPr>
                <w:rFonts w:ascii="Arial" w:cs="Arial" w:eastAsia="Arial" w:hAnsi="Arial"/>
                <w:sz w:val="17"/>
                <w:szCs w:val="17"/>
                <w:b w:val="1"/>
                <w:bCs w:val="1"/>
                <w:color w:val="auto"/>
              </w:rPr>
              <w:t>Accum.</w:t>
            </w:r>
          </w:p>
        </w:tc>
        <w:tc>
          <w:tcPr>
            <w:tcW w:w="200" w:type="dxa"/>
            <w:vAlign w:val="bottom"/>
          </w:tcPr>
          <w:p>
            <w:pPr>
              <w:spacing w:after="0"/>
              <w:rPr>
                <w:sz w:val="13"/>
                <w:szCs w:val="13"/>
                <w:color w:val="auto"/>
              </w:rPr>
            </w:pPr>
          </w:p>
        </w:tc>
        <w:tc>
          <w:tcPr>
            <w:tcW w:w="740" w:type="dxa"/>
            <w:vAlign w:val="bottom"/>
          </w:tcPr>
          <w:p>
            <w:pPr>
              <w:jc w:val="right"/>
              <w:ind w:right="235"/>
              <w:spacing w:after="0" w:line="156" w:lineRule="exact"/>
              <w:rPr>
                <w:sz w:val="20"/>
                <w:szCs w:val="20"/>
                <w:color w:val="auto"/>
              </w:rPr>
            </w:pPr>
            <w:r>
              <w:rPr>
                <w:rFonts w:ascii="Arial" w:cs="Arial" w:eastAsia="Arial" w:hAnsi="Arial"/>
                <w:sz w:val="17"/>
                <w:szCs w:val="17"/>
                <w:b w:val="1"/>
                <w:bCs w:val="1"/>
                <w:color w:val="auto"/>
              </w:rPr>
              <w:t>Net</w:t>
            </w:r>
          </w:p>
        </w:tc>
      </w:tr>
      <w:tr>
        <w:trPr>
          <w:trHeight w:val="21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amort.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value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amort.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value</w:t>
            </w:r>
          </w:p>
        </w:tc>
      </w:tr>
      <w:tr>
        <w:trPr>
          <w:trHeight w:val="183"/>
        </w:trPr>
        <w:tc>
          <w:tcPr>
            <w:tcW w:w="268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9"/>
        </w:trPr>
        <w:tc>
          <w:tcPr>
            <w:tcW w:w="2680" w:type="dxa"/>
            <w:vAlign w:val="bottom"/>
          </w:tcPr>
          <w:p>
            <w:pPr>
              <w:ind w:left="220"/>
              <w:spacing w:after="0" w:line="189" w:lineRule="exact"/>
              <w:rPr>
                <w:sz w:val="20"/>
                <w:szCs w:val="20"/>
                <w:color w:val="auto"/>
              </w:rPr>
            </w:pPr>
            <w:r>
              <w:rPr>
                <w:rFonts w:ascii="Arial" w:cs="Arial" w:eastAsia="Arial" w:hAnsi="Arial"/>
                <w:sz w:val="17"/>
                <w:szCs w:val="17"/>
                <w:color w:val="auto"/>
              </w:rPr>
              <w:t>Lease acquisition costs</w:t>
            </w:r>
          </w:p>
        </w:tc>
        <w:tc>
          <w:tcPr>
            <w:tcW w:w="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119</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(115)</w:t>
            </w: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113</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(106)</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r>
      <w:tr>
        <w:trPr>
          <w:trHeight w:val="189"/>
        </w:trPr>
        <w:tc>
          <w:tcPr>
            <w:tcW w:w="268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Trademarks / trade names</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20</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(17)</w:t>
            </w: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20</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(16)</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3"/>
        </w:trPr>
        <w:tc>
          <w:tcPr>
            <w:tcW w:w="2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139</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(132)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133</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(122)</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w:t>
            </w:r>
          </w:p>
        </w:tc>
      </w:tr>
      <w:tr>
        <w:trPr>
          <w:trHeight w:val="183"/>
        </w:trPr>
        <w:tc>
          <w:tcPr>
            <w:tcW w:w="2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268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Trademarks / trade names</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9</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r>
      <w:tr>
        <w:trPr>
          <w:trHeight w:val="183"/>
        </w:trPr>
        <w:tc>
          <w:tcPr>
            <w:tcW w:w="26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Other intangible assets, net</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16</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19</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80" w:right="79" w:hanging="330"/>
        <w:spacing w:after="0" w:line="258"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change in the ending balances also reflects the effect of foreign currency fluctuations due primarily to movements of the euro in relation to the U.S. dollar.</w:t>
      </w:r>
    </w:p>
    <w:p>
      <w:pPr>
        <w:spacing w:after="0" w:line="188"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The annual review of intangible assets with indefinite lives performed during the first quarter of 2021 did not result in the recognition of impairment.</w:t>
      </w: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83" w:lineRule="auto"/>
        <w:rPr>
          <w:sz w:val="20"/>
          <w:szCs w:val="20"/>
          <w:color w:val="auto"/>
        </w:rPr>
      </w:pPr>
      <w:r>
        <w:rPr>
          <w:rFonts w:ascii="Arial" w:cs="Arial" w:eastAsia="Arial" w:hAnsi="Arial"/>
          <w:sz w:val="18"/>
          <w:szCs w:val="18"/>
          <w:b w:val="1"/>
          <w:bCs w:val="1"/>
          <w:color w:val="auto"/>
        </w:rPr>
        <w:t xml:space="preserve">NOTES TO THE UNAUDITED CONDENSED CONSOLIDATED FINANCIAL STATEMENTS </w:t>
      </w:r>
      <w:r>
        <w:rPr>
          <w:rFonts w:ascii="Arial" w:cs="Arial" w:eastAsia="Arial" w:hAnsi="Arial"/>
          <w:sz w:val="18"/>
          <w:szCs w:val="18"/>
          <w:color w:val="auto"/>
        </w:rPr>
        <w:t>Amortization expense recorded is as follows:</w:t>
      </w:r>
    </w:p>
    <w:p>
      <w:pPr>
        <w:spacing w:after="0" w:line="1" w:lineRule="exact"/>
        <w:rPr>
          <w:sz w:val="20"/>
          <w:szCs w:val="20"/>
          <w:color w:val="auto"/>
        </w:rPr>
      </w:pPr>
    </w:p>
    <w:p>
      <w:pPr>
        <w:ind w:left="642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4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21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275"/>
              <w:spacing w:after="0" w:line="183" w:lineRule="exact"/>
              <w:rPr>
                <w:sz w:val="20"/>
                <w:szCs w:val="20"/>
                <w:color w:val="auto"/>
              </w:rPr>
            </w:pPr>
            <w:r>
              <w:rPr>
                <w:rFonts w:ascii="Arial" w:cs="Arial" w:eastAsia="Arial" w:hAnsi="Arial"/>
                <w:sz w:val="17"/>
                <w:szCs w:val="17"/>
                <w:b w:val="1"/>
                <w:bCs w:val="1"/>
                <w:color w:val="auto"/>
              </w:rPr>
              <w:t>May 1, 2021</w:t>
            </w:r>
          </w:p>
        </w:tc>
        <w:tc>
          <w:tcPr>
            <w:tcW w:w="48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2"/>
          </w:tcPr>
          <w:p>
            <w:pPr>
              <w:ind w:left="120"/>
              <w:spacing w:after="0" w:line="183" w:lineRule="exact"/>
              <w:rPr>
                <w:sz w:val="20"/>
                <w:szCs w:val="20"/>
                <w:color w:val="auto"/>
              </w:rPr>
            </w:pPr>
            <w:r>
              <w:rPr>
                <w:rFonts w:ascii="Arial" w:cs="Arial" w:eastAsia="Arial" w:hAnsi="Arial"/>
                <w:sz w:val="17"/>
                <w:szCs w:val="17"/>
                <w:b w:val="1"/>
                <w:bCs w:val="1"/>
                <w:color w:val="auto"/>
              </w:rPr>
              <w:t>May 2, 2020</w:t>
            </w:r>
          </w:p>
        </w:tc>
      </w:tr>
      <w:tr>
        <w:trPr>
          <w:trHeight w:val="183"/>
        </w:trPr>
        <w:tc>
          <w:tcPr>
            <w:tcW w:w="34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21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w:t>
            </w:r>
          </w:p>
        </w:tc>
        <w:tc>
          <w:tcPr>
            <w:tcW w:w="4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Borders>
              <w:bottom w:val="single" w:sz="8" w:color="auto"/>
            </w:tcBorders>
            <w:shd w:val="clear" w:color="auto" w:fill="CCEEFF"/>
          </w:tcPr>
          <w:p>
            <w:pPr>
              <w:spacing w:after="0"/>
              <w:rPr>
                <w:sz w:val="15"/>
                <w:szCs w:val="15"/>
                <w:color w:val="auto"/>
              </w:rPr>
            </w:pPr>
          </w:p>
        </w:tc>
      </w:tr>
      <w:tr>
        <w:trPr>
          <w:trHeight w:val="426"/>
        </w:trPr>
        <w:tc>
          <w:tcPr>
            <w:tcW w:w="7060" w:type="dxa"/>
            <w:vAlign w:val="bottom"/>
            <w:gridSpan w:val="3"/>
          </w:tcPr>
          <w:p>
            <w:pPr>
              <w:ind w:left="20"/>
              <w:spacing w:after="0"/>
              <w:rPr>
                <w:sz w:val="20"/>
                <w:szCs w:val="20"/>
                <w:color w:val="auto"/>
              </w:rPr>
            </w:pPr>
            <w:r>
              <w:rPr>
                <w:rFonts w:ascii="Arial" w:cs="Arial" w:eastAsia="Arial" w:hAnsi="Arial"/>
                <w:sz w:val="18"/>
                <w:szCs w:val="18"/>
                <w:color w:val="auto"/>
              </w:rPr>
              <w:t>Estimated future amortization expense for finite-life intangible assets is as follows:</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34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Remainder of 2021</w:t>
            </w:r>
          </w:p>
        </w:tc>
        <w:tc>
          <w:tcPr>
            <w:tcW w:w="2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5"/>
                <w:szCs w:val="15"/>
                <w:color w:val="auto"/>
              </w:rPr>
            </w:pPr>
          </w:p>
        </w:tc>
      </w:tr>
      <w:tr>
        <w:trPr>
          <w:trHeight w:val="189"/>
        </w:trPr>
        <w:tc>
          <w:tcPr>
            <w:tcW w:w="3480" w:type="dxa"/>
            <w:vAlign w:val="bottom"/>
          </w:tcPr>
          <w:p>
            <w:pPr>
              <w:ind w:left="20"/>
              <w:spacing w:after="0" w:line="189" w:lineRule="exact"/>
              <w:rPr>
                <w:sz w:val="20"/>
                <w:szCs w:val="20"/>
                <w:color w:val="auto"/>
              </w:rPr>
            </w:pPr>
            <w:r>
              <w:rPr>
                <w:rFonts w:ascii="Arial" w:cs="Arial" w:eastAsia="Arial" w:hAnsi="Arial"/>
                <w:sz w:val="17"/>
                <w:szCs w:val="17"/>
                <w:color w:val="auto"/>
              </w:rPr>
              <w:t>2022</w:t>
            </w:r>
          </w:p>
        </w:tc>
        <w:tc>
          <w:tcPr>
            <w:tcW w:w="2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2023</w:t>
            </w:r>
          </w:p>
        </w:tc>
        <w:tc>
          <w:tcPr>
            <w:tcW w:w="2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r>
        <w:trPr>
          <w:trHeight w:val="189"/>
        </w:trPr>
        <w:tc>
          <w:tcPr>
            <w:tcW w:w="3480" w:type="dxa"/>
            <w:vAlign w:val="bottom"/>
          </w:tcPr>
          <w:p>
            <w:pPr>
              <w:ind w:left="20"/>
              <w:spacing w:after="0" w:line="189" w:lineRule="exact"/>
              <w:rPr>
                <w:sz w:val="20"/>
                <w:szCs w:val="20"/>
                <w:color w:val="auto"/>
              </w:rPr>
            </w:pPr>
            <w:r>
              <w:rPr>
                <w:rFonts w:ascii="Arial" w:cs="Arial" w:eastAsia="Arial" w:hAnsi="Arial"/>
                <w:sz w:val="17"/>
                <w:szCs w:val="17"/>
                <w:color w:val="auto"/>
              </w:rPr>
              <w:t>2024</w:t>
            </w:r>
          </w:p>
        </w:tc>
        <w:tc>
          <w:tcPr>
            <w:tcW w:w="2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r>
        <w:trPr>
          <w:trHeight w:val="189"/>
        </w:trPr>
        <w:tc>
          <w:tcPr>
            <w:tcW w:w="34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2025</w:t>
            </w:r>
          </w:p>
        </w:tc>
        <w:tc>
          <w:tcPr>
            <w:tcW w:w="2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other comprehensive loss (“AOCL”), net of tax, is comprised of the following:</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jc w:val="right"/>
              <w:ind w:right="435"/>
              <w:spacing w:after="0"/>
              <w:rPr>
                <w:sz w:val="20"/>
                <w:szCs w:val="20"/>
                <w:color w:val="auto"/>
              </w:rPr>
            </w:pPr>
            <w:r>
              <w:rPr>
                <w:rFonts w:ascii="Arial" w:cs="Arial" w:eastAsia="Arial" w:hAnsi="Arial"/>
                <w:sz w:val="17"/>
                <w:szCs w:val="17"/>
                <w:b w:val="1"/>
                <w:bCs w:val="1"/>
                <w:color w:val="auto"/>
              </w:rPr>
              <w:t>May 1,</w:t>
            </w:r>
          </w:p>
        </w:tc>
        <w:tc>
          <w:tcPr>
            <w:tcW w:w="360" w:type="dxa"/>
            <w:vAlign w:val="bottom"/>
          </w:tcPr>
          <w:p>
            <w:pPr>
              <w:spacing w:after="0"/>
              <w:rPr>
                <w:sz w:val="16"/>
                <w:szCs w:val="16"/>
                <w:color w:val="auto"/>
              </w:rPr>
            </w:pPr>
          </w:p>
        </w:tc>
        <w:tc>
          <w:tcPr>
            <w:tcW w:w="1180" w:type="dxa"/>
            <w:vAlign w:val="bottom"/>
          </w:tcPr>
          <w:p>
            <w:pPr>
              <w:jc w:val="right"/>
              <w:ind w:right="415"/>
              <w:spacing w:after="0"/>
              <w:rPr>
                <w:sz w:val="20"/>
                <w:szCs w:val="20"/>
                <w:color w:val="auto"/>
              </w:rPr>
            </w:pPr>
            <w:r>
              <w:rPr>
                <w:rFonts w:ascii="Arial" w:cs="Arial" w:eastAsia="Arial" w:hAnsi="Arial"/>
                <w:sz w:val="17"/>
                <w:szCs w:val="17"/>
                <w:b w:val="1"/>
                <w:bCs w:val="1"/>
                <w:color w:val="auto"/>
              </w:rPr>
              <w:t>May 2,</w:t>
            </w:r>
          </w:p>
        </w:tc>
        <w:tc>
          <w:tcPr>
            <w:tcW w:w="260" w:type="dxa"/>
            <w:vAlign w:val="bottom"/>
          </w:tcPr>
          <w:p>
            <w:pPr>
              <w:spacing w:after="0"/>
              <w:rPr>
                <w:sz w:val="16"/>
                <w:szCs w:val="16"/>
                <w:color w:val="auto"/>
              </w:rPr>
            </w:pPr>
          </w:p>
        </w:tc>
        <w:tc>
          <w:tcPr>
            <w:tcW w:w="1420" w:type="dxa"/>
            <w:vAlign w:val="bottom"/>
          </w:tcPr>
          <w:p>
            <w:pPr>
              <w:jc w:val="right"/>
              <w:ind w:right="335"/>
              <w:spacing w:after="0"/>
              <w:rPr>
                <w:sz w:val="20"/>
                <w:szCs w:val="20"/>
                <w:color w:val="auto"/>
              </w:rPr>
            </w:pPr>
            <w:r>
              <w:rPr>
                <w:rFonts w:ascii="Arial" w:cs="Arial" w:eastAsia="Arial" w:hAnsi="Arial"/>
                <w:sz w:val="17"/>
                <w:szCs w:val="17"/>
                <w:b w:val="1"/>
                <w:bCs w:val="1"/>
                <w:color w:val="auto"/>
              </w:rPr>
              <w:t>January 30,</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currency translation adjustments</w:t>
            </w:r>
          </w:p>
        </w:tc>
        <w:tc>
          <w:tcPr>
            <w:tcW w:w="6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(60)</w:t>
            </w:r>
          </w:p>
        </w:tc>
        <w:tc>
          <w:tcPr>
            <w:tcW w:w="3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(120)</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9"/>
        </w:trPr>
        <w:tc>
          <w:tcPr>
            <w:tcW w:w="3880" w:type="dxa"/>
            <w:vAlign w:val="bottom"/>
          </w:tcPr>
          <w:p>
            <w:pPr>
              <w:spacing w:after="0" w:line="189" w:lineRule="exact"/>
              <w:rPr>
                <w:sz w:val="20"/>
                <w:szCs w:val="20"/>
                <w:color w:val="auto"/>
              </w:rPr>
            </w:pPr>
            <w:r>
              <w:rPr>
                <w:rFonts w:ascii="Arial" w:cs="Arial" w:eastAsia="Arial" w:hAnsi="Arial"/>
                <w:sz w:val="17"/>
                <w:szCs w:val="17"/>
                <w:color w:val="auto"/>
              </w:rPr>
              <w:t>Cash flow hedges</w:t>
            </w:r>
          </w:p>
        </w:tc>
        <w:tc>
          <w:tcPr>
            <w:tcW w:w="62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360" w:type="dxa"/>
            <w:vAlign w:val="bottom"/>
          </w:tcPr>
          <w:p>
            <w:pPr>
              <w:spacing w:after="0"/>
              <w:rPr>
                <w:sz w:val="16"/>
                <w:szCs w:val="16"/>
                <w:color w:val="auto"/>
              </w:rPr>
            </w:pP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4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Unrecognized pension cost and postretirement</w:t>
            </w:r>
          </w:p>
        </w:tc>
        <w:tc>
          <w:tcPr>
            <w:tcW w:w="6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(265)</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benefit</w:t>
            </w:r>
          </w:p>
        </w:tc>
        <w:tc>
          <w:tcPr>
            <w:tcW w:w="6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(284)</w:t>
            </w:r>
          </w:p>
        </w:tc>
        <w:tc>
          <w:tcPr>
            <w:tcW w:w="2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(326)</w:t>
            </w:r>
          </w:p>
        </w:tc>
        <w:tc>
          <w:tcPr>
            <w:tcW w:w="3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(404)</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in AOCL for the thirteen weeks ended May 1, 2021 were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Items Related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Currency</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to Pension and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Translation</w:t>
            </w:r>
          </w:p>
        </w:tc>
        <w:tc>
          <w:tcPr>
            <w:tcW w:w="1240" w:type="dxa"/>
            <w:vAlign w:val="bottom"/>
            <w:gridSpan w:val="2"/>
          </w:tcPr>
          <w:p>
            <w:pPr>
              <w:jc w:val="right"/>
              <w:ind w:right="115"/>
              <w:spacing w:after="0" w:line="189" w:lineRule="exact"/>
              <w:rPr>
                <w:sz w:val="20"/>
                <w:szCs w:val="20"/>
                <w:color w:val="auto"/>
              </w:rPr>
            </w:pPr>
            <w:r>
              <w:rPr>
                <w:rFonts w:ascii="Arial" w:cs="Arial" w:eastAsia="Arial" w:hAnsi="Arial"/>
                <w:sz w:val="17"/>
                <w:szCs w:val="17"/>
                <w:b w:val="1"/>
                <w:bCs w:val="1"/>
                <w:color w:val="auto"/>
              </w:rPr>
              <w:t>Cash Flow</w:t>
            </w:r>
          </w:p>
        </w:tc>
        <w:tc>
          <w:tcPr>
            <w:tcW w:w="14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2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rPr>
              <w:t>Adjustments</w:t>
            </w:r>
          </w:p>
        </w:tc>
        <w:tc>
          <w:tcPr>
            <w:tcW w:w="26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Arial" w:cs="Arial" w:eastAsia="Arial" w:hAnsi="Arial"/>
                <w:sz w:val="17"/>
                <w:szCs w:val="17"/>
                <w:b w:val="1"/>
                <w:bCs w:val="1"/>
                <w:color w:val="auto"/>
              </w:rPr>
              <w:t>Hedges</w:t>
            </w:r>
          </w:p>
        </w:tc>
        <w:tc>
          <w:tcPr>
            <w:tcW w:w="300" w:type="dxa"/>
            <w:vAlign w:val="bottom"/>
          </w:tcPr>
          <w:p>
            <w:pPr>
              <w:spacing w:after="0"/>
              <w:rPr>
                <w:sz w:val="18"/>
                <w:szCs w:val="18"/>
                <w:color w:val="auto"/>
              </w:rPr>
            </w:pPr>
          </w:p>
        </w:tc>
        <w:tc>
          <w:tcPr>
            <w:tcW w:w="1140" w:type="dxa"/>
            <w:vAlign w:val="bottom"/>
          </w:tcPr>
          <w:p>
            <w:pPr>
              <w:jc w:val="right"/>
              <w:ind w:right="295"/>
              <w:spacing w:after="0"/>
              <w:rPr>
                <w:sz w:val="20"/>
                <w:szCs w:val="20"/>
                <w:color w:val="auto"/>
              </w:rPr>
            </w:pPr>
            <w:r>
              <w:rPr>
                <w:rFonts w:ascii="Arial" w:cs="Arial" w:eastAsia="Arial" w:hAnsi="Arial"/>
                <w:sz w:val="17"/>
                <w:szCs w:val="17"/>
                <w:b w:val="1"/>
                <w:bCs w:val="1"/>
                <w:color w:val="auto"/>
              </w:rPr>
              <w:t>Benefits</w:t>
            </w:r>
          </w:p>
        </w:tc>
        <w:tc>
          <w:tcPr>
            <w:tcW w:w="320" w:type="dxa"/>
            <w:vAlign w:val="bottom"/>
          </w:tcPr>
          <w:p>
            <w:pPr>
              <w:spacing w:after="0"/>
              <w:rPr>
                <w:sz w:val="18"/>
                <w:szCs w:val="18"/>
                <w:color w:val="auto"/>
              </w:rPr>
            </w:pPr>
          </w:p>
        </w:tc>
        <w:tc>
          <w:tcPr>
            <w:tcW w:w="860" w:type="dxa"/>
            <w:vAlign w:val="bottom"/>
          </w:tcPr>
          <w:p>
            <w:pPr>
              <w:jc w:val="right"/>
              <w:ind w:right="2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January 30, 2021</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(64)</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w:t>
            </w:r>
          </w:p>
        </w:tc>
        <w:tc>
          <w:tcPr>
            <w:tcW w:w="30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(266)</w:t>
            </w:r>
          </w:p>
        </w:tc>
        <w:tc>
          <w:tcPr>
            <w:tcW w:w="3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OCI before reclassification</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comprehensive income</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w:t>
            </w: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Balance as of May 1, 2021</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(60)</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(1)</w:t>
            </w:r>
          </w:p>
        </w:tc>
        <w:tc>
          <w:tcPr>
            <w:tcW w:w="3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(265)</w:t>
            </w:r>
          </w:p>
        </w:tc>
        <w:tc>
          <w:tcPr>
            <w:tcW w:w="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Reclassifications from AOCL for the thirteen weeks ended May 1, 2021 were as follows:</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 in millions)</w:t>
      </w:r>
    </w:p>
    <w:tbl>
      <w:tblPr>
        <w:tblLayout w:type="fixed"/>
        <w:tblInd w:w="6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7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loss:</w:t>
            </w:r>
          </w:p>
        </w:tc>
        <w:tc>
          <w:tcPr>
            <w:tcW w:w="3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780" w:type="dxa"/>
            <w:vAlign w:val="bottom"/>
          </w:tcPr>
          <w:p>
            <w:pPr>
              <w:spacing w:after="0" w:line="189" w:lineRule="exact"/>
              <w:rPr>
                <w:sz w:val="20"/>
                <w:szCs w:val="20"/>
                <w:color w:val="auto"/>
              </w:rPr>
            </w:pPr>
            <w:r>
              <w:rPr>
                <w:rFonts w:ascii="Arial" w:cs="Arial" w:eastAsia="Arial" w:hAnsi="Arial"/>
                <w:sz w:val="17"/>
                <w:szCs w:val="17"/>
                <w:color w:val="auto"/>
              </w:rPr>
              <w:t>Pension benefits</w:t>
            </w:r>
          </w:p>
        </w:tc>
        <w:tc>
          <w:tcPr>
            <w:tcW w:w="3260" w:type="dxa"/>
            <w:vAlign w:val="bottom"/>
          </w:tcPr>
          <w:p>
            <w:pPr>
              <w:jc w:val="right"/>
              <w:ind w:right="535"/>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w:t>
            </w:r>
          </w:p>
        </w:tc>
      </w:tr>
      <w:tr>
        <w:trPr>
          <w:trHeight w:val="189"/>
        </w:trPr>
        <w:tc>
          <w:tcPr>
            <w:tcW w:w="20" w:type="dxa"/>
            <w:vAlign w:val="bottom"/>
          </w:tcPr>
          <w:p>
            <w:pPr>
              <w:spacing w:after="0"/>
              <w:rPr>
                <w:sz w:val="16"/>
                <w:szCs w:val="16"/>
                <w:color w:val="auto"/>
              </w:rPr>
            </w:pPr>
          </w:p>
        </w:tc>
        <w:tc>
          <w:tcPr>
            <w:tcW w:w="47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3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w:t>
            </w:r>
          </w:p>
        </w:tc>
      </w:tr>
      <w:tr>
        <w:trPr>
          <w:trHeight w:val="183"/>
        </w:trPr>
        <w:tc>
          <w:tcPr>
            <w:tcW w:w="2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3260" w:type="dxa"/>
            <w:vAlign w:val="bottom"/>
            <w:tcBorders>
              <w:bottom w:val="single" w:sz="8" w:color="auto"/>
            </w:tcBorders>
          </w:tcPr>
          <w:p>
            <w:pPr>
              <w:jc w:val="right"/>
              <w:ind w:right="535"/>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w:t>
            </w:r>
          </w:p>
        </w:tc>
      </w:tr>
      <w:tr>
        <w:trPr>
          <w:trHeight w:val="20"/>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0" w:lineRule="auto"/>
        <w:rPr>
          <w:sz w:val="20"/>
          <w:szCs w:val="20"/>
          <w:color w:val="auto"/>
        </w:rPr>
      </w:pPr>
      <w:r>
        <w:rPr>
          <w:rFonts w:ascii="Arial" w:cs="Arial" w:eastAsia="Arial" w:hAnsi="Arial"/>
          <w:sz w:val="18"/>
          <w:szCs w:val="18"/>
          <w:b w:val="1"/>
          <w:bCs w:val="1"/>
          <w:color w:val="auto"/>
        </w:rPr>
        <w:t>NOTES TO THE UNAUDITED CONDENSED CONSOLIDATED FINANCIAL STATEMENTS 9. Fair Value Measurements</w:t>
      </w:r>
    </w:p>
    <w:p>
      <w:pPr>
        <w:ind w:left="60" w:right="59"/>
        <w:spacing w:after="0" w:line="246" w:lineRule="auto"/>
        <w:rPr>
          <w:sz w:val="20"/>
          <w:szCs w:val="20"/>
          <w:color w:val="auto"/>
        </w:rPr>
      </w:pPr>
      <w:r>
        <w:rPr>
          <w:rFonts w:ascii="Arial" w:cs="Arial" w:eastAsia="Arial" w:hAnsi="Arial"/>
          <w:sz w:val="18"/>
          <w:szCs w:val="18"/>
          <w:color w:val="auto"/>
        </w:rPr>
        <w:t>Our financial assets are recorded at fair value, using a three-level fair value hierarchy that prioritizes the inputs used to measure fair value. The three levels of inputs used to measure fair value are categorized as follows:</w:t>
      </w:r>
    </w:p>
    <w:p>
      <w:pPr>
        <w:spacing w:after="0" w:line="175"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212" w:lineRule="exact"/>
        <w:rPr>
          <w:sz w:val="20"/>
          <w:szCs w:val="20"/>
          <w:color w:val="auto"/>
        </w:rPr>
      </w:pPr>
    </w:p>
    <w:p>
      <w:pPr>
        <w:jc w:val="both"/>
        <w:ind w:left="1340" w:right="79" w:hanging="971"/>
        <w:spacing w:after="0" w:line="238" w:lineRule="auto"/>
        <w:tabs>
          <w:tab w:leader="none" w:pos="132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205" w:lineRule="exact"/>
        <w:rPr>
          <w:sz w:val="20"/>
          <w:szCs w:val="20"/>
          <w:color w:val="auto"/>
        </w:rPr>
      </w:pPr>
    </w:p>
    <w:p>
      <w:pPr>
        <w:jc w:val="both"/>
        <w:ind w:left="1340" w:right="79" w:hanging="971"/>
        <w:spacing w:after="0" w:line="246" w:lineRule="auto"/>
        <w:tabs>
          <w:tab w:leader="none" w:pos="13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21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fair value of the auction rate security, classified as available-for-sale, is determined by using quoted prices for similar instruments in active markets and accordingly is classified as a Level 2 instrument.</w:t>
      </w:r>
    </w:p>
    <w:p>
      <w:pPr>
        <w:spacing w:after="0" w:line="19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4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As of May 1, 2021</w:t>
            </w: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As of May 2, 2020</w:t>
            </w:r>
          </w:p>
        </w:tc>
        <w:tc>
          <w:tcPr>
            <w:tcW w:w="760" w:type="dxa"/>
            <w:vAlign w:val="bottom"/>
            <w:tcBorders>
              <w:bottom w:val="single" w:sz="8" w:color="auto"/>
            </w:tcBorders>
          </w:tcPr>
          <w:p>
            <w:pPr>
              <w:spacing w:after="0"/>
              <w:rPr>
                <w:sz w:val="18"/>
                <w:szCs w:val="18"/>
                <w:color w:val="auto"/>
              </w:rPr>
            </w:pPr>
          </w:p>
        </w:tc>
      </w:tr>
      <w:tr>
        <w:trPr>
          <w:trHeight w:val="371"/>
        </w:trPr>
        <w:tc>
          <w:tcPr>
            <w:tcW w:w="2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1</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Level 2</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Level 3</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Level 1</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Level 2</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Level 3</w:t>
            </w:r>
          </w:p>
        </w:tc>
      </w:tr>
      <w:tr>
        <w:trPr>
          <w:trHeight w:val="183"/>
        </w:trPr>
        <w:tc>
          <w:tcPr>
            <w:tcW w:w="23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Assets</w:t>
            </w: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9"/>
        </w:trPr>
        <w:tc>
          <w:tcPr>
            <w:tcW w:w="2340" w:type="dxa"/>
            <w:vAlign w:val="bottom"/>
          </w:tcPr>
          <w:p>
            <w:pPr>
              <w:ind w:left="20"/>
              <w:spacing w:after="0" w:line="189" w:lineRule="exact"/>
              <w:rPr>
                <w:sz w:val="20"/>
                <w:szCs w:val="20"/>
                <w:color w:val="auto"/>
              </w:rPr>
            </w:pPr>
            <w:r>
              <w:rPr>
                <w:rFonts w:ascii="Arial" w:cs="Arial" w:eastAsia="Arial" w:hAnsi="Arial"/>
                <w:sz w:val="17"/>
                <w:szCs w:val="17"/>
                <w:color w:val="auto"/>
              </w:rPr>
              <w:t>Available-for-sale security</w:t>
            </w:r>
          </w:p>
        </w:tc>
        <w:tc>
          <w:tcPr>
            <w:tcW w:w="480" w:type="dxa"/>
            <w:vAlign w:val="bottom"/>
          </w:tcPr>
          <w:p>
            <w:pPr>
              <w:spacing w:after="0"/>
              <w:rPr>
                <w:sz w:val="16"/>
                <w:szCs w:val="16"/>
                <w:color w:val="auto"/>
              </w:rPr>
            </w:pPr>
          </w:p>
        </w:tc>
        <w:tc>
          <w:tcPr>
            <w:tcW w:w="800" w:type="dxa"/>
            <w:vAlign w:val="bottom"/>
          </w:tcPr>
          <w:p>
            <w:pPr>
              <w:ind w:left="50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7</w:t>
            </w:r>
          </w:p>
        </w:tc>
        <w:tc>
          <w:tcPr>
            <w:tcW w:w="240" w:type="dxa"/>
            <w:vAlign w:val="bottom"/>
          </w:tcPr>
          <w:p>
            <w:pPr>
              <w:spacing w:after="0"/>
              <w:rPr>
                <w:sz w:val="16"/>
                <w:szCs w:val="16"/>
                <w:color w:val="auto"/>
              </w:rPr>
            </w:pPr>
          </w:p>
        </w:tc>
        <w:tc>
          <w:tcPr>
            <w:tcW w:w="840" w:type="dxa"/>
            <w:vAlign w:val="bottom"/>
          </w:tcPr>
          <w:p>
            <w:pPr>
              <w:ind w:left="54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20" w:type="dxa"/>
            <w:vAlign w:val="bottom"/>
          </w:tcPr>
          <w:p>
            <w:pPr>
              <w:ind w:left="52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6</w:t>
            </w:r>
          </w:p>
        </w:tc>
        <w:tc>
          <w:tcPr>
            <w:tcW w:w="260" w:type="dxa"/>
            <w:vAlign w:val="bottom"/>
          </w:tcPr>
          <w:p>
            <w:pPr>
              <w:spacing w:after="0"/>
              <w:rPr>
                <w:sz w:val="16"/>
                <w:szCs w:val="16"/>
                <w:color w:val="auto"/>
              </w:rPr>
            </w:pPr>
          </w:p>
        </w:tc>
        <w:tc>
          <w:tcPr>
            <w:tcW w:w="760" w:type="dxa"/>
            <w:vAlign w:val="bottom"/>
          </w:tcPr>
          <w:p>
            <w:pPr>
              <w:ind w:left="540"/>
              <w:spacing w:after="0" w:line="189" w:lineRule="exact"/>
              <w:rPr>
                <w:sz w:val="20"/>
                <w:szCs w:val="20"/>
                <w:color w:val="auto"/>
              </w:rPr>
            </w:pPr>
            <w:r>
              <w:rPr>
                <w:rFonts w:ascii="Arial" w:cs="Arial" w:eastAsia="Arial" w:hAnsi="Arial"/>
                <w:sz w:val="17"/>
                <w:szCs w:val="17"/>
                <w:color w:val="auto"/>
              </w:rPr>
              <w:t>—</w:t>
            </w:r>
          </w:p>
        </w:tc>
      </w:tr>
      <w:tr>
        <w:trPr>
          <w:trHeight w:val="183"/>
        </w:trPr>
        <w:tc>
          <w:tcPr>
            <w:tcW w:w="23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Foreign exchange forward</w:t>
            </w: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5"/>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contracts</w:t>
            </w:r>
          </w:p>
        </w:tc>
        <w:tc>
          <w:tcPr>
            <w:tcW w:w="4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w:t>
            </w:r>
          </w:p>
        </w:tc>
      </w:tr>
      <w:tr>
        <w:trPr>
          <w:trHeight w:val="223"/>
        </w:trPr>
        <w:tc>
          <w:tcPr>
            <w:tcW w:w="23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Assets</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8</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7"/>
                <w:szCs w:val="17"/>
                <w:color w:val="auto"/>
              </w:rPr>
              <w:t>—</w:t>
            </w:r>
          </w:p>
        </w:tc>
      </w:tr>
      <w:tr>
        <w:trPr>
          <w:trHeight w:val="170"/>
        </w:trPr>
        <w:tc>
          <w:tcPr>
            <w:tcW w:w="2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9"/>
        </w:trPr>
        <w:tc>
          <w:tcPr>
            <w:tcW w:w="234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Liabilities</w:t>
            </w: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3"/>
        </w:trPr>
        <w:tc>
          <w:tcPr>
            <w:tcW w:w="23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Foreign exchange forward</w:t>
            </w: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5"/>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contracts</w:t>
            </w:r>
          </w:p>
        </w:tc>
        <w:tc>
          <w:tcPr>
            <w:tcW w:w="4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w:t>
            </w:r>
          </w:p>
        </w:tc>
      </w:tr>
      <w:tr>
        <w:trPr>
          <w:trHeight w:val="183"/>
        </w:trPr>
        <w:tc>
          <w:tcPr>
            <w:tcW w:w="23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Liabilities</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4</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7"/>
                <w:szCs w:val="17"/>
                <w:color w:val="auto"/>
              </w:rPr>
              <w:t>—</w:t>
            </w: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Minority investments measured using the fair value measurement alternative had a carrying value of $323 million and $142 million as of May 1, 2021 and May 2, 2020, respectively. During the first quarter of 2021,</w:t>
      </w: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2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recorded a non-cash charge of $2 million related to the write-down of one of our minority investments, resulting in $13 million of cumulative impairments.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carrying value and estimated fair value of long-term debt were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1, 2021</w:t>
            </w: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May 2, 2020</w:t>
            </w:r>
          </w:p>
        </w:tc>
      </w:tr>
      <w:tr>
        <w:trPr>
          <w:trHeight w:val="183"/>
        </w:trPr>
        <w:tc>
          <w:tcPr>
            <w:tcW w:w="32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Carrying value</w:t>
            </w:r>
          </w:p>
        </w:tc>
        <w:tc>
          <w:tcPr>
            <w:tcW w:w="3400" w:type="dxa"/>
            <w:vAlign w:val="bottom"/>
            <w:shd w:val="clear" w:color="auto" w:fill="CCEEFF"/>
          </w:tcPr>
          <w:p>
            <w:pPr>
              <w:jc w:val="right"/>
              <w:ind w:right="1115"/>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99</w:t>
            </w:r>
          </w:p>
        </w:tc>
        <w:tc>
          <w:tcPr>
            <w:tcW w:w="4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121</w:t>
            </w:r>
          </w:p>
        </w:tc>
      </w:tr>
      <w:tr>
        <w:trPr>
          <w:trHeight w:val="189"/>
        </w:trPr>
        <w:tc>
          <w:tcPr>
            <w:tcW w:w="32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Fair value</w:t>
            </w:r>
          </w:p>
        </w:tc>
        <w:tc>
          <w:tcPr>
            <w:tcW w:w="3400" w:type="dxa"/>
            <w:vAlign w:val="bottom"/>
            <w:tcBorders>
              <w:bottom w:val="single" w:sz="8" w:color="auto"/>
            </w:tcBorders>
          </w:tcPr>
          <w:p>
            <w:pPr>
              <w:jc w:val="right"/>
              <w:ind w:right="1115"/>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w w:val="91"/>
              </w:rPr>
              <w:t>104</w:t>
            </w:r>
          </w:p>
        </w:tc>
        <w:tc>
          <w:tcPr>
            <w:tcW w:w="4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121</w:t>
            </w:r>
          </w:p>
        </w:tc>
      </w:tr>
    </w:tbl>
    <w:p>
      <w:pPr>
        <w:spacing w:after="0" w:line="21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carrying values of cash and cash equivalents, and other current receivables and payables approximate their fair value.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Earnings Per Share</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account for earnings per share (“EPS”) using the treasury stock method. Basic EPS is computed by dividing net income (loss) for the period by the weighted-average number of common shares outstanding at the end of the period. Diluted earnings per share reflects the weighted-average number of common shares outstanding during the period used in the basic EPS computation plus dilutive common stock equivalents. The computation of diluted earnings per share does not assume conversion, exercise, or contingent issuance of securities that would have an anti-dilutive effect on EPS.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computation of basic and diluted EPS is as follows:</w:t>
      </w:r>
    </w:p>
    <w:p>
      <w:pPr>
        <w:spacing w:after="0" w:line="200"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1,</w:t>
            </w:r>
          </w:p>
        </w:tc>
        <w:tc>
          <w:tcPr>
            <w:tcW w:w="6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95"/>
              <w:spacing w:after="0" w:line="156" w:lineRule="exact"/>
              <w:rPr>
                <w:sz w:val="20"/>
                <w:szCs w:val="20"/>
                <w:color w:val="auto"/>
              </w:rPr>
            </w:pPr>
            <w:r>
              <w:rPr>
                <w:rFonts w:ascii="Arial" w:cs="Arial" w:eastAsia="Arial" w:hAnsi="Arial"/>
                <w:sz w:val="17"/>
                <w:szCs w:val="17"/>
                <w:b w:val="1"/>
                <w:bCs w:val="1"/>
                <w:color w:val="auto"/>
              </w:rPr>
              <w:t>May 2,</w:t>
            </w:r>
          </w:p>
        </w:tc>
        <w:tc>
          <w:tcPr>
            <w:tcW w:w="0" w:type="dxa"/>
            <w:vAlign w:val="bottom"/>
          </w:tcPr>
          <w:p>
            <w:pPr>
              <w:spacing w:after="0"/>
              <w:rPr>
                <w:sz w:val="1"/>
                <w:szCs w:val="1"/>
                <w:color w:val="auto"/>
              </w:rPr>
            </w:pPr>
          </w:p>
        </w:tc>
      </w:tr>
      <w:tr>
        <w:trPr>
          <w:trHeight w:val="215"/>
        </w:trPr>
        <w:tc>
          <w:tcPr>
            <w:tcW w:w="5140" w:type="dxa"/>
            <w:vAlign w:val="bottom"/>
            <w:gridSpan w:val="2"/>
          </w:tcPr>
          <w:p>
            <w:pPr>
              <w:spacing w:after="0"/>
              <w:rPr>
                <w:sz w:val="20"/>
                <w:szCs w:val="20"/>
                <w:color w:val="auto"/>
              </w:rPr>
            </w:pPr>
            <w:r>
              <w:rPr>
                <w:rFonts w:ascii="Arial" w:cs="Arial" w:eastAsia="Arial" w:hAnsi="Arial"/>
                <w:sz w:val="17"/>
                <w:szCs w:val="17"/>
                <w:color w:val="auto"/>
              </w:rPr>
              <w:t>(in millions, except per share data)</w:t>
            </w: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2021</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right"/>
              <w:ind w:right="57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income (loss)</w:t>
            </w:r>
          </w:p>
        </w:tc>
        <w:tc>
          <w:tcPr>
            <w:tcW w:w="1280" w:type="dxa"/>
            <w:vAlign w:val="bottom"/>
            <w:tcBorders>
              <w:top w:val="single" w:sz="8" w:color="auto"/>
            </w:tcBorders>
            <w:shd w:val="clear" w:color="auto" w:fill="CCEEFF"/>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202</w:t>
            </w:r>
          </w:p>
        </w:tc>
        <w:tc>
          <w:tcPr>
            <w:tcW w:w="520" w:type="dxa"/>
            <w:vAlign w:val="bottom"/>
            <w:tcBorders>
              <w:top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Weighted-average common shares outstanding</w:t>
            </w:r>
          </w:p>
        </w:tc>
        <w:tc>
          <w:tcPr>
            <w:tcW w:w="1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103.6</w:t>
            </w:r>
          </w:p>
        </w:tc>
        <w:tc>
          <w:tcPr>
            <w:tcW w:w="5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1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1.4</w:t>
            </w: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Weighted-average common shares outstanding assuming dilution</w:t>
            </w:r>
          </w:p>
        </w:tc>
        <w:tc>
          <w:tcPr>
            <w:tcW w:w="1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105.0</w:t>
            </w:r>
          </w:p>
        </w:tc>
        <w:tc>
          <w:tcPr>
            <w:tcW w:w="5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(loss) per share - basic</w:t>
            </w:r>
          </w:p>
        </w:tc>
        <w:tc>
          <w:tcPr>
            <w:tcW w:w="1280" w:type="dxa"/>
            <w:vAlign w:val="bottom"/>
            <w:shd w:val="clear" w:color="auto" w:fill="CCEEFF"/>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1.95</w:t>
            </w:r>
          </w:p>
        </w:tc>
        <w:tc>
          <w:tcPr>
            <w:tcW w:w="5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tcPr>
          <w:p>
            <w:pPr>
              <w:spacing w:after="0" w:line="189" w:lineRule="exact"/>
              <w:rPr>
                <w:sz w:val="20"/>
                <w:szCs w:val="20"/>
                <w:color w:val="auto"/>
              </w:rPr>
            </w:pPr>
            <w:r>
              <w:rPr>
                <w:rFonts w:ascii="Arial" w:cs="Arial" w:eastAsia="Arial" w:hAnsi="Arial"/>
                <w:sz w:val="17"/>
                <w:szCs w:val="17"/>
                <w:color w:val="auto"/>
              </w:rPr>
              <w:t>Earnings (loss) per share - diluted</w:t>
            </w:r>
          </w:p>
        </w:tc>
        <w:tc>
          <w:tcPr>
            <w:tcW w:w="1280" w:type="dxa"/>
            <w:vAlign w:val="bottom"/>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1.93</w:t>
            </w:r>
          </w:p>
        </w:tc>
        <w:tc>
          <w:tcPr>
            <w:tcW w:w="5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51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Anti-dilutive share-based awards excluded from diluted calculation</w:t>
            </w:r>
          </w:p>
        </w:tc>
        <w:tc>
          <w:tcPr>
            <w:tcW w:w="1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1.7</w:t>
            </w: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Performance stock units related to our long-term incentive programs of 0.8 million and 0.5 million have been excluded from diluted weighted-average shares for the periods ended May 1, 2021 and May 2, 2020, respectively. The issuance of these shares are contingent on our performance metrics as compared to the pre-established performance goals, which have not been achieved.</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0" w:lineRule="auto"/>
        <w:rPr>
          <w:sz w:val="20"/>
          <w:szCs w:val="20"/>
          <w:color w:val="auto"/>
        </w:rPr>
      </w:pPr>
      <w:r>
        <w:rPr>
          <w:rFonts w:ascii="Arial" w:cs="Arial" w:eastAsia="Arial" w:hAnsi="Arial"/>
          <w:sz w:val="18"/>
          <w:szCs w:val="18"/>
          <w:b w:val="1"/>
          <w:bCs w:val="1"/>
          <w:color w:val="auto"/>
        </w:rPr>
        <w:t>NOTES TO THE UNAUDITED CONDENSED CONSOLIDATED FINANCIAL STATEMENTS 11. Pension</w:t>
      </w:r>
    </w:p>
    <w:p>
      <w:pPr>
        <w:jc w:val="both"/>
        <w:ind w:left="60" w:right="79"/>
        <w:spacing w:after="0" w:line="246" w:lineRule="auto"/>
        <w:rPr>
          <w:sz w:val="20"/>
          <w:szCs w:val="20"/>
          <w:color w:val="auto"/>
        </w:rPr>
      </w:pPr>
      <w:r>
        <w:rPr>
          <w:rFonts w:ascii="Arial" w:cs="Arial" w:eastAsia="Arial" w:hAnsi="Arial"/>
          <w:sz w:val="18"/>
          <w:szCs w:val="18"/>
          <w:color w:val="auto"/>
        </w:rPr>
        <w:t>The components of net periodic pension benefit expense are presented in the table below. Service cost is recognized as part of SG&amp;A expense, while the other components are recognized as part of Other income, net.</w:t>
      </w:r>
    </w:p>
    <w:p>
      <w:pPr>
        <w:spacing w:after="0" w:line="185" w:lineRule="exact"/>
        <w:rPr>
          <w:sz w:val="20"/>
          <w:szCs w:val="20"/>
          <w:color w:val="auto"/>
        </w:rPr>
      </w:pPr>
    </w:p>
    <w:p>
      <w:pPr>
        <w:ind w:left="630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88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May 1,</w:t>
            </w:r>
          </w:p>
        </w:tc>
        <w:tc>
          <w:tcPr>
            <w:tcW w:w="4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75"/>
              <w:spacing w:after="0" w:line="156" w:lineRule="exact"/>
              <w:rPr>
                <w:sz w:val="20"/>
                <w:szCs w:val="20"/>
                <w:color w:val="auto"/>
              </w:rPr>
            </w:pPr>
            <w:r>
              <w:rPr>
                <w:rFonts w:ascii="Arial" w:cs="Arial" w:eastAsia="Arial" w:hAnsi="Arial"/>
                <w:sz w:val="17"/>
                <w:szCs w:val="17"/>
                <w:b w:val="1"/>
                <w:bCs w:val="1"/>
                <w:color w:val="auto"/>
              </w:rPr>
              <w:t>May 2,</w:t>
            </w:r>
          </w:p>
        </w:tc>
        <w:tc>
          <w:tcPr>
            <w:tcW w:w="20" w:type="dxa"/>
            <w:vAlign w:val="bottom"/>
          </w:tcPr>
          <w:p>
            <w:pPr>
              <w:spacing w:after="0"/>
              <w:rPr>
                <w:sz w:val="13"/>
                <w:szCs w:val="13"/>
                <w:color w:val="auto"/>
              </w:rPr>
            </w:pPr>
          </w:p>
        </w:tc>
      </w:tr>
      <w:tr>
        <w:trPr>
          <w:trHeight w:val="21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7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8"/>
                <w:szCs w:val="18"/>
                <w:color w:val="auto"/>
              </w:rPr>
            </w:pPr>
          </w:p>
        </w:tc>
      </w:tr>
      <w:tr>
        <w:trPr>
          <w:trHeight w:val="183"/>
        </w:trPr>
        <w:tc>
          <w:tcPr>
            <w:tcW w:w="38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Service cost</w:t>
            </w:r>
          </w:p>
        </w:tc>
        <w:tc>
          <w:tcPr>
            <w:tcW w:w="2780" w:type="dxa"/>
            <w:vAlign w:val="bottom"/>
            <w:shd w:val="clear" w:color="auto" w:fill="CCEEFF"/>
          </w:tcPr>
          <w:p>
            <w:pPr>
              <w:jc w:val="right"/>
              <w:ind w:right="1075"/>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4</w:t>
            </w:r>
          </w:p>
        </w:tc>
        <w:tc>
          <w:tcPr>
            <w:tcW w:w="52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5"/>
                <w:szCs w:val="15"/>
                <w:color w:val="auto"/>
              </w:rPr>
            </w:pPr>
          </w:p>
        </w:tc>
      </w:tr>
      <w:tr>
        <w:trPr>
          <w:trHeight w:val="189"/>
        </w:trPr>
        <w:tc>
          <w:tcPr>
            <w:tcW w:w="3880" w:type="dxa"/>
            <w:vAlign w:val="bottom"/>
          </w:tcPr>
          <w:p>
            <w:pPr>
              <w:ind w:left="20"/>
              <w:spacing w:after="0" w:line="189" w:lineRule="exact"/>
              <w:rPr>
                <w:sz w:val="20"/>
                <w:szCs w:val="20"/>
                <w:color w:val="auto"/>
              </w:rPr>
            </w:pPr>
            <w:r>
              <w:rPr>
                <w:rFonts w:ascii="Arial" w:cs="Arial" w:eastAsia="Arial" w:hAnsi="Arial"/>
                <w:sz w:val="17"/>
                <w:szCs w:val="17"/>
                <w:color w:val="auto"/>
              </w:rPr>
              <w:t>Interest cost</w:t>
            </w:r>
          </w:p>
        </w:tc>
        <w:tc>
          <w:tcPr>
            <w:tcW w:w="2780" w:type="dxa"/>
            <w:vAlign w:val="bottom"/>
          </w:tcPr>
          <w:p>
            <w:pPr>
              <w:spacing w:after="0"/>
              <w:rPr>
                <w:sz w:val="16"/>
                <w:szCs w:val="16"/>
                <w:color w:val="auto"/>
              </w:rPr>
            </w:pPr>
          </w:p>
        </w:tc>
        <w:tc>
          <w:tcPr>
            <w:tcW w:w="4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4</w:t>
            </w:r>
          </w:p>
        </w:tc>
        <w:tc>
          <w:tcPr>
            <w:tcW w:w="5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Expected return on plan assets</w:t>
            </w:r>
          </w:p>
        </w:tc>
        <w:tc>
          <w:tcPr>
            <w:tcW w:w="27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(9)</w:t>
            </w: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6"/>
                <w:szCs w:val="16"/>
                <w:color w:val="auto"/>
              </w:rPr>
            </w:pPr>
          </w:p>
        </w:tc>
      </w:tr>
      <w:tr>
        <w:trPr>
          <w:trHeight w:val="189"/>
        </w:trPr>
        <w:tc>
          <w:tcPr>
            <w:tcW w:w="38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Amortization of net loss</w:t>
            </w:r>
          </w:p>
        </w:tc>
        <w:tc>
          <w:tcPr>
            <w:tcW w:w="2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3</w:t>
            </w: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r>
      <w:tr>
        <w:trPr>
          <w:trHeight w:val="183"/>
        </w:trPr>
        <w:tc>
          <w:tcPr>
            <w:tcW w:w="38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benefit expense</w:t>
            </w:r>
          </w:p>
        </w:tc>
        <w:tc>
          <w:tcPr>
            <w:tcW w:w="2780" w:type="dxa"/>
            <w:vAlign w:val="bottom"/>
            <w:tcBorders>
              <w:bottom w:val="single" w:sz="8" w:color="auto"/>
            </w:tcBorders>
            <w:shd w:val="clear" w:color="auto" w:fill="CCEEFF"/>
          </w:tcPr>
          <w:p>
            <w:pPr>
              <w:jc w:val="right"/>
              <w:ind w:right="1075"/>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2</w:t>
            </w:r>
          </w:p>
        </w:tc>
        <w:tc>
          <w:tcPr>
            <w:tcW w:w="52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5"/>
                <w:szCs w:val="15"/>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Share-Based Compensation</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our share-based compensation plans, were as follows:</w:t>
      </w:r>
    </w:p>
    <w:p>
      <w:pPr>
        <w:spacing w:after="0" w:line="185"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50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115"/>
              <w:spacing w:after="0" w:line="156" w:lineRule="exact"/>
              <w:rPr>
                <w:sz w:val="20"/>
                <w:szCs w:val="20"/>
                <w:color w:val="auto"/>
              </w:rPr>
            </w:pPr>
            <w:r>
              <w:rPr>
                <w:rFonts w:ascii="Arial" w:cs="Arial" w:eastAsia="Arial" w:hAnsi="Arial"/>
                <w:sz w:val="17"/>
                <w:szCs w:val="17"/>
                <w:b w:val="1"/>
                <w:bCs w:val="1"/>
                <w:color w:val="auto"/>
              </w:rPr>
              <w:t>May 1,</w:t>
            </w:r>
          </w:p>
        </w:tc>
        <w:tc>
          <w:tcPr>
            <w:tcW w:w="4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75"/>
              <w:spacing w:after="0" w:line="156" w:lineRule="exact"/>
              <w:rPr>
                <w:sz w:val="20"/>
                <w:szCs w:val="20"/>
                <w:color w:val="auto"/>
              </w:rPr>
            </w:pPr>
            <w:r>
              <w:rPr>
                <w:rFonts w:ascii="Arial" w:cs="Arial" w:eastAsia="Arial" w:hAnsi="Arial"/>
                <w:sz w:val="17"/>
                <w:szCs w:val="17"/>
                <w:b w:val="1"/>
                <w:bCs w:val="1"/>
                <w:color w:val="auto"/>
              </w:rPr>
              <w:t>May 2,</w:t>
            </w:r>
          </w:p>
        </w:tc>
      </w:tr>
      <w:tr>
        <w:trPr>
          <w:trHeight w:val="215"/>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6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r>
      <w:tr>
        <w:trPr>
          <w:trHeight w:val="183"/>
        </w:trPr>
        <w:tc>
          <w:tcPr>
            <w:tcW w:w="50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Options and shares purchased under the stock purchase plan</w:t>
            </w:r>
          </w:p>
        </w:tc>
        <w:tc>
          <w:tcPr>
            <w:tcW w:w="1600" w:type="dxa"/>
            <w:vAlign w:val="bottom"/>
            <w:shd w:val="clear" w:color="auto" w:fill="CCEEFF"/>
          </w:tcPr>
          <w:p>
            <w:pPr>
              <w:jc w:val="right"/>
              <w:ind w:right="1095"/>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w:t>
            </w:r>
          </w:p>
        </w:tc>
        <w:tc>
          <w:tcPr>
            <w:tcW w:w="50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r>
      <w:tr>
        <w:trPr>
          <w:trHeight w:val="189"/>
        </w:trPr>
        <w:tc>
          <w:tcPr>
            <w:tcW w:w="50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Restricted stock units and performance stock units</w:t>
            </w:r>
          </w:p>
        </w:tc>
        <w:tc>
          <w:tcPr>
            <w:tcW w:w="16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6</w:t>
            </w: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50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share-based compensation expense</w:t>
            </w:r>
          </w:p>
        </w:tc>
        <w:tc>
          <w:tcPr>
            <w:tcW w:w="1600" w:type="dxa"/>
            <w:vAlign w:val="bottom"/>
            <w:tcBorders>
              <w:bottom w:val="single" w:sz="8" w:color="auto"/>
            </w:tcBorders>
            <w:shd w:val="clear" w:color="auto" w:fill="CCEEFF"/>
          </w:tcPr>
          <w:p>
            <w:pPr>
              <w:jc w:val="right"/>
              <w:ind w:right="1095"/>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8</w:t>
            </w:r>
          </w:p>
        </w:tc>
        <w:tc>
          <w:tcPr>
            <w:tcW w:w="50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0"/>
        </w:trPr>
        <w:tc>
          <w:tcPr>
            <w:tcW w:w="5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50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Tax benefit recognized</w:t>
            </w:r>
          </w:p>
        </w:tc>
        <w:tc>
          <w:tcPr>
            <w:tcW w:w="1600" w:type="dxa"/>
            <w:vAlign w:val="bottom"/>
            <w:tcBorders>
              <w:bottom w:val="single" w:sz="8" w:color="auto"/>
            </w:tcBorders>
            <w:shd w:val="clear" w:color="auto" w:fill="CCEEFF"/>
          </w:tcPr>
          <w:p>
            <w:pPr>
              <w:jc w:val="right"/>
              <w:ind w:right="1095"/>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w:t>
            </w:r>
          </w:p>
        </w:tc>
        <w:tc>
          <w:tcPr>
            <w:tcW w:w="50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Model and Assumptions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use the Black-Scholes option-pricing model to estimate the fair value of share-based awards. The Black-Scholes option-pricing model incorporates various and subjective assumptions, including expected term and expected volatility.</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table below shows assumptions used to compute share-based compensation expense for awards granted during the thirteen weeks ended May 1, 2021 and May 2, 2020:</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7"/>
                <w:szCs w:val="17"/>
                <w:b w:val="1"/>
                <w:bCs w:val="1"/>
                <w:color w:val="auto"/>
              </w:rPr>
              <w:t>Stock Option Plans</w:t>
            </w: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7"/>
                <w:szCs w:val="17"/>
                <w:b w:val="1"/>
                <w:bCs w:val="1"/>
                <w:color w:val="auto"/>
              </w:rPr>
              <w:t>Stock Purchase Plan</w:t>
            </w: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ind w:right="375"/>
              <w:spacing w:after="0" w:line="156" w:lineRule="exact"/>
              <w:rPr>
                <w:sz w:val="20"/>
                <w:szCs w:val="20"/>
                <w:color w:val="auto"/>
              </w:rPr>
            </w:pPr>
            <w:r>
              <w:rPr>
                <w:rFonts w:ascii="Arial" w:cs="Arial" w:eastAsia="Arial" w:hAnsi="Arial"/>
                <w:sz w:val="17"/>
                <w:szCs w:val="17"/>
                <w:b w:val="1"/>
                <w:bCs w:val="1"/>
                <w:color w:val="auto"/>
              </w:rPr>
              <w:t>May 1,</w:t>
            </w:r>
          </w:p>
        </w:tc>
        <w:tc>
          <w:tcPr>
            <w:tcW w:w="240" w:type="dxa"/>
            <w:vAlign w:val="bottom"/>
          </w:tcPr>
          <w:p>
            <w:pPr>
              <w:spacing w:after="0"/>
              <w:rPr>
                <w:sz w:val="13"/>
                <w:szCs w:val="13"/>
                <w:color w:val="auto"/>
              </w:rPr>
            </w:pPr>
          </w:p>
        </w:tc>
        <w:tc>
          <w:tcPr>
            <w:tcW w:w="1100" w:type="dxa"/>
            <w:vAlign w:val="bottom"/>
          </w:tcPr>
          <w:p>
            <w:pPr>
              <w:jc w:val="right"/>
              <w:ind w:right="395"/>
              <w:spacing w:after="0" w:line="156" w:lineRule="exact"/>
              <w:rPr>
                <w:sz w:val="20"/>
                <w:szCs w:val="20"/>
                <w:color w:val="auto"/>
              </w:rPr>
            </w:pPr>
            <w:r>
              <w:rPr>
                <w:rFonts w:ascii="Arial" w:cs="Arial" w:eastAsia="Arial" w:hAnsi="Arial"/>
                <w:sz w:val="17"/>
                <w:szCs w:val="17"/>
                <w:b w:val="1"/>
                <w:bCs w:val="1"/>
                <w:color w:val="auto"/>
              </w:rPr>
              <w:t>May 2,</w:t>
            </w:r>
          </w:p>
        </w:tc>
        <w:tc>
          <w:tcPr>
            <w:tcW w:w="240" w:type="dxa"/>
            <w:vAlign w:val="bottom"/>
          </w:tcPr>
          <w:p>
            <w:pPr>
              <w:spacing w:after="0"/>
              <w:rPr>
                <w:sz w:val="13"/>
                <w:szCs w:val="13"/>
                <w:color w:val="auto"/>
              </w:rPr>
            </w:pPr>
          </w:p>
        </w:tc>
        <w:tc>
          <w:tcPr>
            <w:tcW w:w="1100" w:type="dxa"/>
            <w:vAlign w:val="bottom"/>
          </w:tcPr>
          <w:p>
            <w:pPr>
              <w:jc w:val="right"/>
              <w:ind w:right="395"/>
              <w:spacing w:after="0" w:line="156" w:lineRule="exact"/>
              <w:rPr>
                <w:sz w:val="20"/>
                <w:szCs w:val="20"/>
                <w:color w:val="auto"/>
              </w:rPr>
            </w:pPr>
            <w:r>
              <w:rPr>
                <w:rFonts w:ascii="Arial" w:cs="Arial" w:eastAsia="Arial" w:hAnsi="Arial"/>
                <w:sz w:val="17"/>
                <w:szCs w:val="17"/>
                <w:b w:val="1"/>
                <w:bCs w:val="1"/>
                <w:color w:val="auto"/>
              </w:rPr>
              <w:t>May 1,</w:t>
            </w:r>
          </w:p>
        </w:tc>
        <w:tc>
          <w:tcPr>
            <w:tcW w:w="240" w:type="dxa"/>
            <w:vAlign w:val="bottom"/>
          </w:tcPr>
          <w:p>
            <w:pPr>
              <w:spacing w:after="0"/>
              <w:rPr>
                <w:sz w:val="13"/>
                <w:szCs w:val="13"/>
                <w:color w:val="auto"/>
              </w:rPr>
            </w:pPr>
          </w:p>
        </w:tc>
        <w:tc>
          <w:tcPr>
            <w:tcW w:w="1180" w:type="dxa"/>
            <w:vAlign w:val="bottom"/>
          </w:tcPr>
          <w:p>
            <w:pPr>
              <w:jc w:val="right"/>
              <w:ind w:right="475"/>
              <w:spacing w:after="0" w:line="156" w:lineRule="exact"/>
              <w:rPr>
                <w:sz w:val="20"/>
                <w:szCs w:val="20"/>
                <w:color w:val="auto"/>
              </w:rPr>
            </w:pPr>
            <w:r>
              <w:rPr>
                <w:rFonts w:ascii="Arial" w:cs="Arial" w:eastAsia="Arial" w:hAnsi="Arial"/>
                <w:sz w:val="17"/>
                <w:szCs w:val="17"/>
                <w:b w:val="1"/>
                <w:bCs w:val="1"/>
                <w:color w:val="auto"/>
              </w:rPr>
              <w:t>May 2,</w:t>
            </w:r>
          </w:p>
        </w:tc>
        <w:tc>
          <w:tcPr>
            <w:tcW w:w="0" w:type="dxa"/>
            <w:vAlign w:val="bottom"/>
          </w:tcPr>
          <w:p>
            <w:pPr>
              <w:spacing w:after="0"/>
              <w:rPr>
                <w:sz w:val="1"/>
                <w:szCs w:val="1"/>
                <w:color w:val="auto"/>
              </w:rPr>
            </w:pPr>
          </w:p>
        </w:tc>
      </w:tr>
      <w:tr>
        <w:trPr>
          <w:trHeight w:val="215"/>
        </w:trPr>
        <w:tc>
          <w:tcPr>
            <w:tcW w:w="3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risk free rate of interest</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0.9 %</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0.6 </w:t>
            </w:r>
            <w:r>
              <w:rPr>
                <w:rFonts w:ascii="Arial" w:cs="Arial" w:eastAsia="Arial" w:hAnsi="Arial"/>
                <w:sz w:val="17"/>
                <w:szCs w:val="17"/>
                <w:b w:val="1"/>
                <w:bCs w:val="1"/>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0.2 %</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3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47 %</w:t>
            </w:r>
          </w:p>
        </w:tc>
        <w:tc>
          <w:tcPr>
            <w:tcW w:w="2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48 %</w:t>
            </w:r>
          </w:p>
        </w:tc>
        <w:tc>
          <w:tcPr>
            <w:tcW w:w="24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expected award life (in</w:t>
            </w:r>
          </w:p>
        </w:tc>
        <w:tc>
          <w:tcPr>
            <w:tcW w:w="3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5.5</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years)</w:t>
            </w:r>
          </w:p>
        </w:tc>
        <w:tc>
          <w:tcPr>
            <w:tcW w:w="3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2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3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1.5 %</w:t>
            </w:r>
          </w:p>
        </w:tc>
        <w:tc>
          <w:tcPr>
            <w:tcW w:w="2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5.6 %</w:t>
            </w:r>
          </w:p>
        </w:tc>
        <w:tc>
          <w:tcPr>
            <w:tcW w:w="24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33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3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5.03</w:t>
            </w:r>
          </w:p>
        </w:tc>
        <w:tc>
          <w:tcPr>
            <w:tcW w:w="2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6.35</w:t>
            </w:r>
          </w:p>
        </w:tc>
        <w:tc>
          <w:tcPr>
            <w:tcW w:w="2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in the table below provides activity under our stock option plans for the thirteen weeks ended</w:t>
      </w:r>
    </w:p>
    <w:p>
      <w:pPr>
        <w:ind w:left="60"/>
        <w:spacing w:after="0"/>
        <w:rPr>
          <w:sz w:val="20"/>
          <w:szCs w:val="20"/>
          <w:color w:val="auto"/>
        </w:rPr>
      </w:pPr>
      <w:r>
        <w:rPr>
          <w:rFonts w:ascii="Arial" w:cs="Arial" w:eastAsia="Arial" w:hAnsi="Arial"/>
          <w:sz w:val="18"/>
          <w:szCs w:val="18"/>
          <w:color w:val="auto"/>
        </w:rPr>
        <w:t>May 1, 2021:</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320" w:type="dxa"/>
            <w:vAlign w:val="bottom"/>
          </w:tcPr>
          <w:p>
            <w:pPr>
              <w:spacing w:after="0"/>
              <w:rPr>
                <w:sz w:val="16"/>
                <w:szCs w:val="16"/>
                <w:color w:val="auto"/>
              </w:rPr>
            </w:pPr>
          </w:p>
        </w:tc>
        <w:tc>
          <w:tcPr>
            <w:tcW w:w="124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5840" w:type="dxa"/>
            <w:vAlign w:val="bottom"/>
            <w:gridSpan w:val="2"/>
          </w:tcPr>
          <w:p>
            <w:pPr>
              <w:jc w:val="center"/>
              <w:ind w:left="4235"/>
              <w:spacing w:after="0" w:line="189" w:lineRule="exact"/>
              <w:rPr>
                <w:sz w:val="20"/>
                <w:szCs w:val="20"/>
                <w:color w:val="auto"/>
              </w:rPr>
            </w:pPr>
            <w:r>
              <w:rPr>
                <w:rFonts w:ascii="Arial" w:cs="Arial" w:eastAsia="Arial" w:hAnsi="Arial"/>
                <w:sz w:val="17"/>
                <w:szCs w:val="17"/>
                <w:b w:val="1"/>
                <w:bCs w:val="1"/>
                <w:color w:val="auto"/>
                <w:w w:val="99"/>
              </w:rPr>
              <w:t>Number</w:t>
            </w:r>
          </w:p>
        </w:tc>
        <w:tc>
          <w:tcPr>
            <w:tcW w:w="15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320" w:type="dxa"/>
            <w:vAlign w:val="bottom"/>
          </w:tcPr>
          <w:p>
            <w:pPr>
              <w:spacing w:after="0"/>
              <w:rPr>
                <w:sz w:val="16"/>
                <w:szCs w:val="16"/>
                <w:color w:val="auto"/>
              </w:rPr>
            </w:pPr>
          </w:p>
        </w:tc>
        <w:tc>
          <w:tcPr>
            <w:tcW w:w="124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5180" w:type="dxa"/>
            <w:vAlign w:val="bottom"/>
          </w:tcPr>
          <w:p>
            <w:pPr>
              <w:jc w:val="center"/>
              <w:ind w:left="4895"/>
              <w:spacing w:after="0" w:line="189" w:lineRule="exact"/>
              <w:rPr>
                <w:sz w:val="20"/>
                <w:szCs w:val="20"/>
                <w:color w:val="auto"/>
              </w:rPr>
            </w:pPr>
            <w:r>
              <w:rPr>
                <w:rFonts w:ascii="Arial" w:cs="Arial" w:eastAsia="Arial" w:hAnsi="Arial"/>
                <w:sz w:val="17"/>
                <w:szCs w:val="17"/>
                <w:b w:val="1"/>
                <w:bCs w:val="1"/>
                <w:color w:val="auto"/>
                <w:w w:val="99"/>
              </w:rPr>
              <w:t>of</w:t>
            </w:r>
          </w:p>
        </w:tc>
        <w:tc>
          <w:tcPr>
            <w:tcW w:w="66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Remaining</w:t>
            </w:r>
          </w:p>
        </w:tc>
        <w:tc>
          <w:tcPr>
            <w:tcW w:w="320" w:type="dxa"/>
            <w:vAlign w:val="bottom"/>
          </w:tcPr>
          <w:p>
            <w:pPr>
              <w:spacing w:after="0"/>
              <w:rPr>
                <w:sz w:val="16"/>
                <w:szCs w:val="16"/>
                <w:color w:val="auto"/>
              </w:rPr>
            </w:pPr>
          </w:p>
        </w:tc>
        <w:tc>
          <w:tcPr>
            <w:tcW w:w="124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5840" w:type="dxa"/>
            <w:vAlign w:val="bottom"/>
            <w:tcBorders>
              <w:bottom w:val="single" w:sz="8" w:color="auto"/>
            </w:tcBorders>
            <w:gridSpan w:val="2"/>
          </w:tcPr>
          <w:p>
            <w:pPr>
              <w:jc w:val="center"/>
              <w:ind w:left="4255"/>
              <w:spacing w:after="0"/>
              <w:rPr>
                <w:sz w:val="20"/>
                <w:szCs w:val="20"/>
                <w:color w:val="auto"/>
              </w:rPr>
            </w:pPr>
            <w:r>
              <w:rPr>
                <w:rFonts w:ascii="Arial" w:cs="Arial" w:eastAsia="Arial" w:hAnsi="Arial"/>
                <w:sz w:val="17"/>
                <w:szCs w:val="17"/>
                <w:b w:val="1"/>
                <w:bCs w:val="1"/>
                <w:color w:val="auto"/>
              </w:rPr>
              <w:t>Shares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Contractual Life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Price</w:t>
            </w:r>
          </w:p>
        </w:tc>
      </w:tr>
      <w:tr>
        <w:trPr>
          <w:trHeight w:val="183"/>
        </w:trPr>
        <w:tc>
          <w:tcPr>
            <w:tcW w:w="5840" w:type="dxa"/>
            <w:vAlign w:val="bottom"/>
            <w:gridSpan w:val="2"/>
          </w:tcPr>
          <w:p>
            <w:pPr>
              <w:ind w:left="4660"/>
              <w:spacing w:after="0" w:line="183" w:lineRule="exact"/>
              <w:rPr>
                <w:sz w:val="20"/>
                <w:szCs w:val="20"/>
                <w:color w:val="auto"/>
              </w:rPr>
            </w:pPr>
            <w:r>
              <w:rPr>
                <w:rFonts w:ascii="Arial" w:cs="Arial" w:eastAsia="Arial" w:hAnsi="Arial"/>
                <w:sz w:val="17"/>
                <w:szCs w:val="17"/>
                <w:color w:val="auto"/>
              </w:rPr>
              <w:t>(in thousands)</w:t>
            </w:r>
          </w:p>
        </w:tc>
        <w:tc>
          <w:tcPr>
            <w:tcW w:w="1500" w:type="dxa"/>
            <w:vAlign w:val="bottom"/>
          </w:tcPr>
          <w:p>
            <w:pPr>
              <w:jc w:val="center"/>
              <w:spacing w:after="0" w:line="183" w:lineRule="exact"/>
              <w:rPr>
                <w:sz w:val="20"/>
                <w:szCs w:val="20"/>
                <w:color w:val="auto"/>
              </w:rPr>
            </w:pPr>
            <w:r>
              <w:rPr>
                <w:rFonts w:ascii="Arial" w:cs="Arial" w:eastAsia="Arial" w:hAnsi="Arial"/>
                <w:sz w:val="17"/>
                <w:szCs w:val="17"/>
                <w:color w:val="auto"/>
                <w:w w:val="98"/>
              </w:rPr>
              <w:t>(in years)</w:t>
            </w:r>
          </w:p>
        </w:tc>
        <w:tc>
          <w:tcPr>
            <w:tcW w:w="320" w:type="dxa"/>
            <w:vAlign w:val="bottom"/>
          </w:tcPr>
          <w:p>
            <w:pPr>
              <w:spacing w:after="0"/>
              <w:rPr>
                <w:sz w:val="15"/>
                <w:szCs w:val="15"/>
                <w:color w:val="auto"/>
              </w:rPr>
            </w:pPr>
          </w:p>
        </w:tc>
        <w:tc>
          <w:tcPr>
            <w:tcW w:w="1240" w:type="dxa"/>
            <w:vAlign w:val="bottom"/>
          </w:tcPr>
          <w:p>
            <w:pPr>
              <w:jc w:val="center"/>
              <w:ind w:right="115"/>
              <w:spacing w:after="0" w:line="183" w:lineRule="exact"/>
              <w:rPr>
                <w:sz w:val="20"/>
                <w:szCs w:val="20"/>
                <w:color w:val="auto"/>
              </w:rPr>
            </w:pPr>
            <w:r>
              <w:rPr>
                <w:rFonts w:ascii="Arial" w:cs="Arial" w:eastAsia="Arial" w:hAnsi="Arial"/>
                <w:sz w:val="17"/>
                <w:szCs w:val="17"/>
                <w:color w:val="auto"/>
              </w:rPr>
              <w:t>(per share)</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6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w w:val="98"/>
              </w:rPr>
              <w:t>3,540</w:t>
            </w: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47.17</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6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183</w:t>
            </w: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53.82</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6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(125)</w:t>
            </w: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31.93</w:t>
            </w:r>
          </w:p>
        </w:tc>
      </w:tr>
      <w:tr>
        <w:trPr>
          <w:trHeight w:val="189"/>
        </w:trPr>
        <w:tc>
          <w:tcPr>
            <w:tcW w:w="51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6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(102)</w:t>
            </w:r>
          </w:p>
        </w:tc>
        <w:tc>
          <w:tcPr>
            <w:tcW w:w="1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55.05</w:t>
            </w:r>
          </w:p>
        </w:tc>
      </w:tr>
      <w:tr>
        <w:trPr>
          <w:trHeight w:val="183"/>
        </w:trPr>
        <w:tc>
          <w:tcPr>
            <w:tcW w:w="5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May 1, 2021</w:t>
            </w:r>
          </w:p>
        </w:tc>
        <w:tc>
          <w:tcPr>
            <w:tcW w:w="6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w w:val="98"/>
              </w:rPr>
              <w:t>3,496</w:t>
            </w:r>
          </w:p>
        </w:tc>
        <w:tc>
          <w:tcPr>
            <w:tcW w:w="15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5.6</w:t>
            </w:r>
          </w:p>
        </w:tc>
        <w:tc>
          <w:tcPr>
            <w:tcW w:w="3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47.83</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7"/>
                <w:szCs w:val="17"/>
                <w:color w:val="auto"/>
              </w:rPr>
              <w:t>Options exercisable at May 1, 2021</w:t>
            </w:r>
          </w:p>
        </w:tc>
        <w:tc>
          <w:tcPr>
            <w:tcW w:w="660" w:type="dxa"/>
            <w:vAlign w:val="bottom"/>
          </w:tcPr>
          <w:p>
            <w:pPr>
              <w:jc w:val="right"/>
              <w:ind w:right="135"/>
              <w:spacing w:after="0" w:line="189" w:lineRule="exact"/>
              <w:rPr>
                <w:sz w:val="20"/>
                <w:szCs w:val="20"/>
                <w:color w:val="auto"/>
              </w:rPr>
            </w:pPr>
            <w:r>
              <w:rPr>
                <w:rFonts w:ascii="Arial" w:cs="Arial" w:eastAsia="Arial" w:hAnsi="Arial"/>
                <w:sz w:val="17"/>
                <w:szCs w:val="17"/>
                <w:color w:val="auto"/>
                <w:w w:val="98"/>
              </w:rPr>
              <w:t>2,680</w:t>
            </w:r>
          </w:p>
        </w:tc>
        <w:tc>
          <w:tcPr>
            <w:tcW w:w="15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4.5</w:t>
            </w:r>
          </w:p>
        </w:tc>
        <w:tc>
          <w:tcPr>
            <w:tcW w:w="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52.49</w:t>
            </w:r>
          </w:p>
        </w:tc>
      </w:tr>
      <w:tr>
        <w:trPr>
          <w:trHeight w:val="189"/>
        </w:trPr>
        <w:tc>
          <w:tcPr>
            <w:tcW w:w="51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Options available for future grant at May 1, 2021</w:t>
            </w:r>
          </w:p>
        </w:tc>
        <w:tc>
          <w:tcPr>
            <w:tcW w:w="66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w w:val="98"/>
              </w:rPr>
              <w:t>5,455</w:t>
            </w:r>
          </w:p>
        </w:tc>
        <w:tc>
          <w:tcPr>
            <w:tcW w:w="15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total fair value of options vested during the thirteen weeks ended May 1, 2021 and May 2, 2020 was $4 million and $5 million, respectively. The cash received and related tax benefits realized from option exercises during the thirteen weeks ended May 1, 2021 was $4 million and $1 million, respectively.</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total intrinsic value of options exercised (the difference between the market price of our common stock on the exercise date and the price paid by the optionee to exercise the option) is presented below:</w:t>
      </w:r>
    </w:p>
    <w:p>
      <w:pPr>
        <w:spacing w:after="0" w:line="185"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16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7"/>
                <w:szCs w:val="17"/>
                <w:color w:val="auto"/>
              </w:rPr>
              <w:t>($ in millions)</w:t>
            </w:r>
          </w:p>
        </w:tc>
        <w:tc>
          <w:tcPr>
            <w:tcW w:w="3560" w:type="dxa"/>
            <w:vAlign w:val="bottom"/>
            <w:tcBorders>
              <w:top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May 1, 2021</w:t>
            </w:r>
          </w:p>
        </w:tc>
        <w:tc>
          <w:tcPr>
            <w:tcW w:w="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ind w:left="120"/>
              <w:spacing w:after="0" w:line="183" w:lineRule="exact"/>
              <w:rPr>
                <w:sz w:val="20"/>
                <w:szCs w:val="20"/>
                <w:color w:val="auto"/>
              </w:rPr>
            </w:pPr>
            <w:r>
              <w:rPr>
                <w:rFonts w:ascii="Arial" w:cs="Arial" w:eastAsia="Arial" w:hAnsi="Arial"/>
                <w:sz w:val="17"/>
                <w:szCs w:val="17"/>
                <w:b w:val="1"/>
                <w:bCs w:val="1"/>
                <w:color w:val="auto"/>
              </w:rPr>
              <w:t>May 2, 2020</w:t>
            </w:r>
          </w:p>
        </w:tc>
      </w:tr>
      <w:tr>
        <w:trPr>
          <w:trHeight w:val="189"/>
        </w:trPr>
        <w:tc>
          <w:tcPr>
            <w:tcW w:w="31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Exercised</w:t>
            </w:r>
          </w:p>
        </w:tc>
        <w:tc>
          <w:tcPr>
            <w:tcW w:w="3560" w:type="dxa"/>
            <w:vAlign w:val="bottom"/>
            <w:tcBorders>
              <w:bottom w:val="single" w:sz="8" w:color="auto"/>
            </w:tcBorders>
            <w:shd w:val="clear" w:color="auto" w:fill="CCEEFF"/>
          </w:tcPr>
          <w:p>
            <w:pPr>
              <w:jc w:val="right"/>
              <w:ind w:right="121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w:t>
            </w:r>
          </w:p>
        </w:tc>
        <w:tc>
          <w:tcPr>
            <w:tcW w:w="4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ind w:left="1200"/>
              <w:spacing w:after="0" w:line="189" w:lineRule="exact"/>
              <w:rPr>
                <w:sz w:val="20"/>
                <w:szCs w:val="20"/>
                <w:color w:val="auto"/>
              </w:rPr>
            </w:pPr>
            <w:r>
              <w:rPr>
                <w:rFonts w:ascii="Arial" w:cs="Arial" w:eastAsia="Arial" w:hAnsi="Arial"/>
                <w:sz w:val="17"/>
                <w:szCs w:val="17"/>
                <w:color w:val="auto"/>
              </w:rPr>
              <w:t>—</w:t>
            </w: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our closing stock price on the last trading day of the period and the exercise price of the options, multiplied by the number of in-the-money stock options) is presented below:</w:t>
      </w:r>
    </w:p>
    <w:p>
      <w:pPr>
        <w:spacing w:after="0" w:line="191"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37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178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May 1, 2021</w:t>
            </w:r>
          </w:p>
        </w:tc>
        <w:tc>
          <w:tcPr>
            <w:tcW w:w="4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275"/>
              <w:spacing w:after="0" w:line="183" w:lineRule="exact"/>
              <w:rPr>
                <w:sz w:val="20"/>
                <w:szCs w:val="20"/>
                <w:color w:val="auto"/>
              </w:rPr>
            </w:pPr>
            <w:r>
              <w:rPr>
                <w:rFonts w:ascii="Arial" w:cs="Arial" w:eastAsia="Arial" w:hAnsi="Arial"/>
                <w:sz w:val="17"/>
                <w:szCs w:val="17"/>
                <w:b w:val="1"/>
                <w:bCs w:val="1"/>
                <w:color w:val="auto"/>
              </w:rPr>
              <w:t>May 2, 2020</w:t>
            </w:r>
          </w:p>
        </w:tc>
      </w:tr>
      <w:tr>
        <w:trPr>
          <w:trHeight w:val="183"/>
        </w:trPr>
        <w:tc>
          <w:tcPr>
            <w:tcW w:w="3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Outstanding</w:t>
            </w:r>
          </w:p>
        </w:tc>
        <w:tc>
          <w:tcPr>
            <w:tcW w:w="17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48</w:t>
            </w:r>
          </w:p>
        </w:tc>
        <w:tc>
          <w:tcPr>
            <w:tcW w:w="4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w:t>
            </w:r>
          </w:p>
        </w:tc>
      </w:tr>
      <w:tr>
        <w:trPr>
          <w:trHeight w:val="189"/>
        </w:trPr>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17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5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27</w:t>
            </w:r>
          </w:p>
        </w:tc>
        <w:tc>
          <w:tcPr>
            <w:tcW w:w="4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bl>
    <w:p>
      <w:pPr>
        <w:spacing w:after="0" w:line="21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As of May 1, 2021, there was $5 million of total unrecognized compensation cost related to nonvested stock options which is expected to be recognized over a remaining weighted-average period of 1.8 years.</w:t>
      </w: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information about stock options outstanding and exercisable at May 1, 2021:</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7"/>
                <w:szCs w:val="17"/>
                <w:b w:val="1"/>
                <w:bCs w:val="1"/>
                <w:color w:val="auto"/>
              </w:rPr>
              <w:t>Options Outstanding</w:t>
            </w:r>
          </w:p>
        </w:tc>
        <w:tc>
          <w:tcPr>
            <w:tcW w:w="27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7"/>
                <w:szCs w:val="17"/>
                <w:b w:val="1"/>
                <w:bCs w:val="1"/>
                <w:color w:val="auto"/>
              </w:rPr>
              <w:t>Options Exercisable</w:t>
            </w:r>
          </w:p>
        </w:tc>
      </w:tr>
      <w:tr>
        <w:trPr>
          <w:trHeight w:val="156"/>
        </w:trPr>
        <w:tc>
          <w:tcPr>
            <w:tcW w:w="1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jc w:val="center"/>
              <w:ind w:left="15"/>
              <w:spacing w:after="0" w:line="156" w:lineRule="exact"/>
              <w:rPr>
                <w:sz w:val="20"/>
                <w:szCs w:val="20"/>
                <w:color w:val="auto"/>
              </w:rPr>
            </w:pPr>
            <w:r>
              <w:rPr>
                <w:rFonts w:ascii="Arial" w:cs="Arial" w:eastAsia="Arial" w:hAnsi="Arial"/>
                <w:sz w:val="17"/>
                <w:szCs w:val="17"/>
                <w:b w:val="1"/>
                <w:bCs w:val="1"/>
                <w:color w:val="auto"/>
                <w:w w:val="99"/>
              </w:rPr>
              <w:t>Weighted-</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8"/>
              </w:rPr>
              <w:t>Average</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w w:val="99"/>
              </w:rPr>
              <w:t>Weighted-</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9"/>
              </w:rPr>
              <w:t>Weighted-</w:t>
            </w: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rPr>
              <w:t>Remaining</w:t>
            </w:r>
          </w:p>
        </w:tc>
        <w:tc>
          <w:tcPr>
            <w:tcW w:w="300" w:type="dxa"/>
            <w:vAlign w:val="bottom"/>
          </w:tcPr>
          <w:p>
            <w:pPr>
              <w:spacing w:after="0"/>
              <w:rPr>
                <w:sz w:val="16"/>
                <w:szCs w:val="16"/>
                <w:color w:val="auto"/>
              </w:rPr>
            </w:pPr>
          </w:p>
        </w:tc>
        <w:tc>
          <w:tcPr>
            <w:tcW w:w="1240" w:type="dxa"/>
            <w:vAlign w:val="bottom"/>
          </w:tcPr>
          <w:p>
            <w:pPr>
              <w:jc w:val="center"/>
              <w:ind w:right="195"/>
              <w:spacing w:after="0" w:line="189" w:lineRule="exact"/>
              <w:rPr>
                <w:sz w:val="20"/>
                <w:szCs w:val="20"/>
                <w:color w:val="auto"/>
              </w:rPr>
            </w:pPr>
            <w:r>
              <w:rPr>
                <w:rFonts w:ascii="Arial" w:cs="Arial" w:eastAsia="Arial" w:hAnsi="Arial"/>
                <w:sz w:val="17"/>
                <w:szCs w:val="17"/>
                <w:b w:val="1"/>
                <w:bCs w:val="1"/>
                <w:color w:val="auto"/>
              </w:rPr>
              <w:t>Average</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Range of Exercise</w:t>
            </w:r>
          </w:p>
        </w:tc>
        <w:tc>
          <w:tcPr>
            <w:tcW w:w="144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Number</w:t>
            </w:r>
          </w:p>
        </w:tc>
        <w:tc>
          <w:tcPr>
            <w:tcW w:w="136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Contractual</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rPr>
              <w:t>Exercise</w:t>
            </w:r>
          </w:p>
        </w:tc>
        <w:tc>
          <w:tcPr>
            <w:tcW w:w="126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Number</w:t>
            </w: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Prices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Outstanding</w:t>
            </w:r>
          </w:p>
        </w:tc>
        <w:tc>
          <w:tcPr>
            <w:tcW w:w="136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9"/>
              </w:rPr>
              <w:t>Life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rPr>
              <w:t>Price</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Exercisable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Price</w:t>
            </w:r>
          </w:p>
        </w:tc>
      </w:tr>
      <w:tr>
        <w:trPr>
          <w:trHeight w:val="183"/>
        </w:trPr>
        <w:tc>
          <w:tcPr>
            <w:tcW w:w="1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00" w:type="dxa"/>
            <w:vAlign w:val="bottom"/>
            <w:gridSpan w:val="5"/>
          </w:tcPr>
          <w:p>
            <w:pPr>
              <w:jc w:val="right"/>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c>
          <w:tcPr>
            <w:tcW w:w="1100" w:type="dxa"/>
            <w:vAlign w:val="bottom"/>
          </w:tcPr>
          <w:p>
            <w:pPr>
              <w:spacing w:after="0"/>
              <w:rPr>
                <w:sz w:val="15"/>
                <w:szCs w:val="15"/>
                <w:color w:val="auto"/>
              </w:rPr>
            </w:pP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$21.60 - $34.24</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1,130</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6.6</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24.34</w:t>
            </w: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581</w:t>
            </w:r>
          </w:p>
        </w:tc>
        <w:tc>
          <w:tcPr>
            <w:tcW w:w="3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26.91</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color w:val="auto"/>
              </w:rPr>
              <w:t>$34.75 - $52.13</w:t>
            </w: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540</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4.7</w:t>
            </w:r>
          </w:p>
        </w:tc>
        <w:tc>
          <w:tcPr>
            <w:tcW w:w="3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44.46</w:t>
            </w:r>
          </w:p>
        </w:tc>
        <w:tc>
          <w:tcPr>
            <w:tcW w:w="12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532</w:t>
            </w:r>
          </w:p>
        </w:tc>
        <w:tc>
          <w:tcPr>
            <w:tcW w:w="3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44.47</w:t>
            </w:r>
          </w:p>
        </w:tc>
      </w:tr>
      <w:tr>
        <w:trPr>
          <w:trHeight w:val="189"/>
        </w:trPr>
        <w:tc>
          <w:tcPr>
            <w:tcW w:w="18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$52.82 - $79.23</w:t>
            </w: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1,826</w:t>
            </w:r>
          </w:p>
        </w:tc>
        <w:tc>
          <w:tcPr>
            <w:tcW w:w="13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5.2</w:t>
            </w: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63.35</w:t>
            </w:r>
          </w:p>
        </w:tc>
        <w:tc>
          <w:tcPr>
            <w:tcW w:w="12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1,567</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64.68</w:t>
            </w:r>
          </w:p>
        </w:tc>
      </w:tr>
      <w:tr>
        <w:trPr>
          <w:trHeight w:val="183"/>
        </w:trPr>
        <w:tc>
          <w:tcPr>
            <w:tcW w:w="18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3,496</w:t>
            </w:r>
          </w:p>
        </w:tc>
        <w:tc>
          <w:tcPr>
            <w:tcW w:w="13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5.6</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47.83</w:t>
            </w:r>
          </w:p>
        </w:tc>
        <w:tc>
          <w:tcPr>
            <w:tcW w:w="12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2,680</w:t>
            </w:r>
          </w:p>
        </w:tc>
        <w:tc>
          <w:tcPr>
            <w:tcW w:w="3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52.49</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 and Performance Stock Units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Restricted stock units (“RSU”) are awarded to certain officers, key employees of the Company, and nonemployee directors. Additionally, performance stock units (“PSU”) are awarded to certain officers and key employees. Each RSU and PSU award represents the right to receive one share of our common stock provided that the applicable performance and vesting conditions are satisfied.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Generally, RSU awards fully vest after the passage of time, typically three years for employees and one year for nonemployee directors, provided there is continued service with the Company until the vesting date, subject to the terms of the award. PSU awards are earned only after the attainment of performance goals in connection with the relevant performance period and vest after an additional one-year period. No dividends are paid or accumulated on any RSU or PSU awards. Compensation expense is recognized using the market value at the date of grant and is amortized over the vesting period.</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RSU and PSU activity for the thirteen weeks ended May 1, 2021 is summarized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0" w:type="dxa"/>
            <w:vAlign w:val="bottom"/>
          </w:tcPr>
          <w:p>
            <w:pPr>
              <w:jc w:val="center"/>
              <w:ind w:left="15"/>
              <w:spacing w:after="0"/>
              <w:rPr>
                <w:sz w:val="20"/>
                <w:szCs w:val="20"/>
                <w:color w:val="auto"/>
              </w:rPr>
            </w:pPr>
            <w:r>
              <w:rPr>
                <w:rFonts w:ascii="Arial" w:cs="Arial" w:eastAsia="Arial" w:hAnsi="Arial"/>
                <w:sz w:val="17"/>
                <w:szCs w:val="17"/>
                <w:b w:val="1"/>
                <w:bCs w:val="1"/>
                <w:color w:val="auto"/>
              </w:rPr>
              <w:t>Weighted-Average</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Number</w:t>
            </w:r>
          </w:p>
        </w:tc>
        <w:tc>
          <w:tcPr>
            <w:tcW w:w="160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8"/>
              </w:rPr>
              <w:t>Remaining</w:t>
            </w:r>
          </w:p>
        </w:tc>
        <w:tc>
          <w:tcPr>
            <w:tcW w:w="15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0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Contractual</w:t>
            </w:r>
          </w:p>
        </w:tc>
        <w:tc>
          <w:tcPr>
            <w:tcW w:w="220" w:type="dxa"/>
            <w:vAlign w:val="bottom"/>
          </w:tcPr>
          <w:p>
            <w:pPr>
              <w:spacing w:after="0"/>
              <w:rPr>
                <w:sz w:val="16"/>
                <w:szCs w:val="16"/>
                <w:color w:val="auto"/>
              </w:rPr>
            </w:pPr>
          </w:p>
        </w:tc>
        <w:tc>
          <w:tcPr>
            <w:tcW w:w="134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Shares</w:t>
            </w:r>
          </w:p>
        </w:tc>
        <w:tc>
          <w:tcPr>
            <w:tcW w:w="160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8"/>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00" w:type="dxa"/>
            <w:vAlign w:val="bottom"/>
          </w:tcPr>
          <w:p>
            <w:pPr>
              <w:jc w:val="center"/>
              <w:ind w:left="15"/>
              <w:spacing w:after="0" w:line="183" w:lineRule="exact"/>
              <w:rPr>
                <w:sz w:val="20"/>
                <w:szCs w:val="20"/>
                <w:color w:val="auto"/>
              </w:rPr>
            </w:pPr>
            <w:r>
              <w:rPr>
                <w:rFonts w:ascii="Arial" w:cs="Arial" w:eastAsia="Arial" w:hAnsi="Arial"/>
                <w:sz w:val="17"/>
                <w:szCs w:val="17"/>
                <w:color w:val="auto"/>
                <w:w w:val="98"/>
              </w:rPr>
              <w:t>(in years)</w:t>
            </w:r>
          </w:p>
        </w:tc>
        <w:tc>
          <w:tcPr>
            <w:tcW w:w="220" w:type="dxa"/>
            <w:vAlign w:val="bottom"/>
          </w:tcPr>
          <w:p>
            <w:pPr>
              <w:spacing w:after="0"/>
              <w:rPr>
                <w:sz w:val="15"/>
                <w:szCs w:val="15"/>
                <w:color w:val="auto"/>
              </w:rPr>
            </w:pPr>
          </w:p>
        </w:tc>
        <w:tc>
          <w:tcPr>
            <w:tcW w:w="1340" w:type="dxa"/>
            <w:vAlign w:val="bottom"/>
          </w:tcPr>
          <w:p>
            <w:pPr>
              <w:jc w:val="right"/>
              <w:ind w:right="13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1,348</w:t>
            </w: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1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414</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54.01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(468)</w:t>
            </w: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(1)</w:t>
            </w:r>
          </w:p>
        </w:tc>
        <w:tc>
          <w:tcPr>
            <w:tcW w:w="11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186</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1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(16)</w:t>
            </w:r>
          </w:p>
        </w:tc>
        <w:tc>
          <w:tcPr>
            <w:tcW w:w="16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May 1, 2021</w:t>
            </w: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1,464</w:t>
            </w:r>
          </w:p>
        </w:tc>
        <w:tc>
          <w:tcPr>
            <w:tcW w:w="160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2.2</w:t>
            </w:r>
          </w:p>
        </w:tc>
        <w:tc>
          <w:tcPr>
            <w:tcW w:w="2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42.57</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62</w:t>
            </w:r>
          </w:p>
        </w:tc>
        <w:tc>
          <w:tcPr>
            <w:tcW w:w="1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80" w:right="79" w:hanging="330"/>
        <w:spacing w:after="0" w:line="258"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represents adjustments made to PSUs and reflect changes in estimates based upon our current performance against predefined financial targets.</w:t>
      </w:r>
    </w:p>
    <w:p>
      <w:pPr>
        <w:spacing w:after="0" w:line="18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total value of awards that vested during the thirteen weeks ended May 1, 2021 and May 2, 2020 was $21 million and $4 million, respectively. As of May 1, 2021, there was $40 million of total unrecognized compensation cost related to nonvested awards.</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0" w:lineRule="auto"/>
        <w:rPr>
          <w:sz w:val="20"/>
          <w:szCs w:val="20"/>
          <w:color w:val="auto"/>
        </w:rPr>
      </w:pPr>
      <w:r>
        <w:rPr>
          <w:rFonts w:ascii="Arial" w:cs="Arial" w:eastAsia="Arial" w:hAnsi="Arial"/>
          <w:sz w:val="18"/>
          <w:szCs w:val="18"/>
          <w:b w:val="1"/>
          <w:bCs w:val="1"/>
          <w:color w:val="auto"/>
        </w:rPr>
        <w:t>NOTES TO THE UNAUDITED CONDENSED CONSOLIDATED FINANCIAL STATEMENTS 13. Legal Proceedings</w:t>
      </w:r>
    </w:p>
    <w:p>
      <w:pPr>
        <w:jc w:val="both"/>
        <w:ind w:left="60" w:right="59"/>
        <w:spacing w:after="0" w:line="238"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Subsequent Events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May 19, 2021, we entered into an amendment to the 2020 Credit Agreement (“Amended Credit Agreement”). The amendment provides for, among other things, (i) reducing the interest rates and commitment fees applicable to the loans and commitments, respectively, as described below, and (ii) reducing the “floor” applicable. The amendment provides that the interest rate applicable to loans drawn under the credit facility will be equal to, at our option, either a base rate, determined by reference to the federal funds rate, plus a margin of 0.25 percent to 0.75 percent per annum, or a Eurodollar rate, determined by reference to LIBOR, plus a margin of 1.25 percent to 1.75 percent per annum, in each case, depending on availability under the Amended Credit Agreement. In addition, we will pay a commitment fee of 0.25 percent per annum on the unused portion of the commitments under the Amended Credit Agreement.</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May 21, 2021 we announced plans, in partnership with our suppliers, to position our store fleet for the future. As part of this effort, we have decided to convert approximately one third of our Footaction stores into other existing banner concepts over the course of the next 12 to 18 months to focus growth for our core banners. We will close the majority of the remaining Footaction stores as leases expire over the next two years. We believe this strategic decision will position us to better serve our consumers in a post-COVID marketplace. In connection with this decision, we will be performing an impairment review over approximately 60 stores and record charges, if any, during the second quarter of 2021.</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One of our minority investments, which is measured using the fair value measurement alternative, received additional funding in late May 2021 at a higher valuation than the investment amount on our balance sheet as of May 1, 2021. This transaction is expected to generate a significant non-cash gain during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Foot Locker, Inc. leads the celebration of sneaker and youth culture around the globe through a portfolio of banners including Foot Locker, Lady Foot Locker, Kids Foot Locker, Champs Sports, Eastbay, Footaction, and Sidestep. Foot Locker, Inc. and its subsidiaries hereafter are referred to as the “Company,” “we,” “our,” or “us.” We operate primarily mall-based stores, as well as stores in high-traffic urban retail areas and high streets, in 27 countries including the United States, Canada, Europe, Australia, New Zealand, and Asia. Our purpose is to inspire and empower youth culture around the world, by fueling a shared passion for self-expression and creating unrivaled experiences at the heart of the global sneaker community.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use our omni-channel capabilities to bridge the digital world and physical stores, including order-in-store, buy online and pickup-in-store, and buy online and ship-from-store, as well as e-commerce. We operate websites and mobile apps aligned with the names of our store banners (including: footlocker.com, kidsfootlocker.com, champssports.com, footaction.com, footlocker.ca, footlocker.eu and related e-commerce sites in the various European countries that we operate, footlocker.com.au, footlocker.nz, sidestep-shoes.de, side-stepshoes.nl, footlocker.hk, footlocker.sg, and footlocker.my). These sites offer some of the largest online product selections and provide a seamless link between e-commerce and physical stores. We also operate the websites for eastbay.com and eastbayteamsales.com.</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At May 1, 2021, we operated 2,952 stores as compared with 2,998 and 3,113 stores at January 30, 2021 and May 2, 2020, respectively.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30"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A total of 131 franchised stores were operating at May 1, 2021, as compared with 127 and 135 stores at January 30, 2021 and May 2, 2020, respectively. Revenue from franchised stores was not significant for any of the periods presented. These stores are not included in the operating store count above.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Update</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March 2020, the World Health Organization designated COVID-19 a pandemic. COVID-19 had a significant effect on overall economic conditions in the various geographic areas in which we have operations. Our top priority is to protect our team members and their families, our customers, and our operations. We have made best efforts to comply with all precautionary measures as directed by health authorities and local, state, and national governments.</w:t>
      </w:r>
    </w:p>
    <w:p>
      <w:pPr>
        <w:spacing w:after="0" w:line="202"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7"/>
          <w:szCs w:val="17"/>
          <w:color w:val="auto"/>
        </w:rPr>
        <w:t>Beginning in March 2020 and through the remainder of the first quarter of 2020, we temporarily closed substantially all of our retail store locations in response to governmental orders related to the COVID-19 outbreak. As of the end of the first quarter of 2020, approximately 100 stores were open. We were subsequently able to gradually reopen store locations under applicable regulations. Throughout 2020, the pandemic and the shelter in place orders negatively affected customer traffic into the stores that were operating, and certain stores required additional closures during the remainder of the year. For the first quarter of this year, we operated approximately 83 percent of the possible operating days, as compared with 48 percent in the first quarter of 2020. Our operations in Europe and Canada continued to experience significant temporary closures throughout the first quarter of 2021. Our distribution centers have been operating relatively unaffected during this time. In order mitigate the effects of the temporary closures, we have been operating in-store fulfillment activities.</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Given the dynamic nature of these circumstances, the duration of business disruption, and reduced customer traffic in our stores, the related financial effect cannot be reasonably estimated at this time but may materially affect our business for the remainder of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First Quarter 2021 Form 10-Q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reporting our financial results in accordance with U.S. generally accepted accounting principles (“GAAP”), we report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of the respective items. The income tax items represent the discrete amount that affected the period. The non-GAAP financial information is provided in addition to, and not as an alternative to, our reported results prepared in accordance with GAAP. Presented below is a reconciliation of GAAP and non-GAAP results for the thirteen weeks ended May 1, 2021 and May 2, 2020.</w:t>
      </w:r>
    </w:p>
    <w:p>
      <w:pPr>
        <w:spacing w:after="0" w:line="195"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8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1,</w:t>
            </w:r>
          </w:p>
        </w:tc>
        <w:tc>
          <w:tcPr>
            <w:tcW w:w="5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755"/>
              <w:spacing w:after="0" w:line="156" w:lineRule="exact"/>
              <w:rPr>
                <w:sz w:val="20"/>
                <w:szCs w:val="20"/>
                <w:color w:val="auto"/>
              </w:rPr>
            </w:pPr>
            <w:r>
              <w:rPr>
                <w:rFonts w:ascii="Arial" w:cs="Arial" w:eastAsia="Arial" w:hAnsi="Arial"/>
                <w:sz w:val="17"/>
                <w:szCs w:val="17"/>
                <w:b w:val="1"/>
                <w:bCs w:val="1"/>
                <w:color w:val="auto"/>
              </w:rPr>
              <w:t>May 2,</w:t>
            </w:r>
          </w:p>
        </w:tc>
        <w:tc>
          <w:tcPr>
            <w:tcW w:w="0" w:type="dxa"/>
            <w:vAlign w:val="bottom"/>
          </w:tcPr>
          <w:p>
            <w:pPr>
              <w:spacing w:after="0"/>
              <w:rPr>
                <w:sz w:val="1"/>
                <w:szCs w:val="1"/>
                <w:color w:val="auto"/>
              </w:rPr>
            </w:pPr>
          </w:p>
        </w:tc>
      </w:tr>
      <w:tr>
        <w:trPr>
          <w:trHeight w:val="215"/>
        </w:trPr>
        <w:tc>
          <w:tcPr>
            <w:tcW w:w="488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1400" w:type="dxa"/>
            <w:vAlign w:val="bottom"/>
          </w:tcPr>
          <w:p>
            <w:pPr>
              <w:jc w:val="right"/>
              <w:ind w:right="75"/>
              <w:spacing w:after="0"/>
              <w:rPr>
                <w:sz w:val="20"/>
                <w:szCs w:val="20"/>
                <w:color w:val="auto"/>
              </w:rPr>
            </w:pPr>
            <w:r>
              <w:rPr>
                <w:rFonts w:ascii="Arial" w:cs="Arial" w:eastAsia="Arial" w:hAnsi="Arial"/>
                <w:sz w:val="17"/>
                <w:szCs w:val="17"/>
                <w:b w:val="1"/>
                <w:bCs w:val="1"/>
                <w:color w:val="auto"/>
              </w:rPr>
              <w:t>2021</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ind w:right="8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Pre-tax income:</w:t>
            </w:r>
          </w:p>
        </w:tc>
        <w:tc>
          <w:tcPr>
            <w:tcW w:w="14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7"/>
                <w:szCs w:val="17"/>
                <w:color w:val="auto"/>
              </w:rPr>
              <w:t>Income (loss) before income taxes</w:t>
            </w:r>
          </w:p>
        </w:tc>
        <w:tc>
          <w:tcPr>
            <w:tcW w:w="1400" w:type="dxa"/>
            <w:vAlign w:val="bottom"/>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284</w:t>
            </w:r>
          </w:p>
        </w:tc>
        <w:tc>
          <w:tcPr>
            <w:tcW w:w="48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58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Pre-tax amounts excluded from GAAP:</w:t>
            </w:r>
          </w:p>
        </w:tc>
        <w:tc>
          <w:tcPr>
            <w:tcW w:w="1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1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5"/>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income (loss) before income taxes (non-GAAP)</w:t>
            </w:r>
          </w:p>
        </w:tc>
        <w:tc>
          <w:tcPr>
            <w:tcW w:w="1400" w:type="dxa"/>
            <w:vAlign w:val="bottom"/>
            <w:tcBorders>
              <w:bottom w:val="single" w:sz="8" w:color="auto"/>
            </w:tcBorders>
            <w:shd w:val="clear" w:color="auto" w:fill="CCEEFF"/>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288</w:t>
            </w:r>
          </w:p>
        </w:tc>
        <w:tc>
          <w:tcPr>
            <w:tcW w:w="48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1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7"/>
                <w:szCs w:val="17"/>
                <w:color w:val="auto"/>
              </w:rPr>
              <w:t>Net income (loss)</w:t>
            </w:r>
          </w:p>
        </w:tc>
        <w:tc>
          <w:tcPr>
            <w:tcW w:w="1400" w:type="dxa"/>
            <w:vAlign w:val="bottom"/>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202</w:t>
            </w:r>
          </w:p>
        </w:tc>
        <w:tc>
          <w:tcPr>
            <w:tcW w:w="48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58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1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tcPr>
          <w:p>
            <w:pPr>
              <w:ind w:left="200"/>
              <w:spacing w:after="0" w:line="183" w:lineRule="exact"/>
              <w:rPr>
                <w:sz w:val="20"/>
                <w:szCs w:val="20"/>
                <w:color w:val="auto"/>
              </w:rPr>
            </w:pPr>
            <w:r>
              <w:rPr>
                <w:rFonts w:ascii="Arial" w:cs="Arial" w:eastAsia="Arial" w:hAnsi="Arial"/>
                <w:sz w:val="17"/>
                <w:szCs w:val="17"/>
                <w:color w:val="auto"/>
              </w:rPr>
              <w:t>Impairment and other charges, net of income tax benefit of</w:t>
            </w:r>
          </w:p>
        </w:tc>
        <w:tc>
          <w:tcPr>
            <w:tcW w:w="1400" w:type="dxa"/>
            <w:vAlign w:val="bottom"/>
          </w:tcPr>
          <w:p>
            <w:pPr>
              <w:spacing w:after="0"/>
              <w:rPr>
                <w:sz w:val="15"/>
                <w:szCs w:val="15"/>
                <w:color w:val="auto"/>
              </w:rPr>
            </w:pPr>
          </w:p>
        </w:tc>
        <w:tc>
          <w:tcPr>
            <w:tcW w:w="56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3</w:t>
            </w: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60" w:type="dxa"/>
            <w:vAlign w:val="bottom"/>
          </w:tcPr>
          <w:p>
            <w:pPr>
              <w:ind w:left="200"/>
              <w:spacing w:after="0"/>
              <w:rPr>
                <w:sz w:val="20"/>
                <w:szCs w:val="20"/>
                <w:color w:val="auto"/>
              </w:rPr>
            </w:pPr>
            <w:r>
              <w:rPr>
                <w:rFonts w:ascii="Arial" w:cs="Arial" w:eastAsia="Arial" w:hAnsi="Arial"/>
                <w:sz w:val="17"/>
                <w:szCs w:val="17"/>
                <w:color w:val="auto"/>
              </w:rPr>
              <w:t>$1 and $3, respectively</w:t>
            </w:r>
          </w:p>
        </w:tc>
        <w:tc>
          <w:tcPr>
            <w:tcW w:w="14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jc w:val="right"/>
              <w:ind w:right="255"/>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color w:val="auto"/>
              </w:rPr>
              <w:t>Tax charge related to revaluation of certain intellectual</w:t>
            </w:r>
          </w:p>
        </w:tc>
        <w:tc>
          <w:tcPr>
            <w:tcW w:w="14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property rights</w:t>
            </w:r>
          </w:p>
        </w:tc>
        <w:tc>
          <w:tcPr>
            <w:tcW w:w="14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Adjusted net income (loss) (non-GAAP)</w:t>
            </w:r>
          </w:p>
        </w:tc>
        <w:tc>
          <w:tcPr>
            <w:tcW w:w="1400" w:type="dxa"/>
            <w:vAlign w:val="bottom"/>
            <w:tcBorders>
              <w:bottom w:val="single" w:sz="8" w:color="auto"/>
            </w:tcBorders>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205</w:t>
            </w:r>
          </w:p>
        </w:tc>
        <w:tc>
          <w:tcPr>
            <w:tcW w:w="48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7"/>
                <w:szCs w:val="17"/>
                <w:b w:val="1"/>
                <w:bCs w:val="1"/>
                <w:color w:val="auto"/>
              </w:rPr>
              <w:t>Earnings per share:</w:t>
            </w:r>
          </w:p>
        </w:tc>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earnings (loss) per share</w:t>
            </w:r>
          </w:p>
        </w:tc>
        <w:tc>
          <w:tcPr>
            <w:tcW w:w="1400" w:type="dxa"/>
            <w:vAlign w:val="bottom"/>
            <w:shd w:val="clear" w:color="auto" w:fill="CCEEFF"/>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1.93</w:t>
            </w:r>
          </w:p>
        </w:tc>
        <w:tc>
          <w:tcPr>
            <w:tcW w:w="48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7"/>
                <w:szCs w:val="17"/>
                <w:color w:val="auto"/>
              </w:rPr>
              <w:t>Diluted EPS amounts excluded from GAAP:</w:t>
            </w:r>
          </w:p>
        </w:tc>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14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0.03</w:t>
            </w:r>
          </w:p>
        </w:tc>
        <w:tc>
          <w:tcPr>
            <w:tcW w:w="4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tcPr>
          <w:p>
            <w:pPr>
              <w:ind w:left="200"/>
              <w:spacing w:after="0" w:line="183" w:lineRule="exact"/>
              <w:rPr>
                <w:sz w:val="20"/>
                <w:szCs w:val="20"/>
                <w:color w:val="auto"/>
              </w:rPr>
            </w:pPr>
            <w:r>
              <w:rPr>
                <w:rFonts w:ascii="Arial" w:cs="Arial" w:eastAsia="Arial" w:hAnsi="Arial"/>
                <w:sz w:val="17"/>
                <w:szCs w:val="17"/>
                <w:color w:val="auto"/>
              </w:rPr>
              <w:t>Tax charge related to revaluation of certain intellectual</w:t>
            </w:r>
          </w:p>
        </w:tc>
        <w:tc>
          <w:tcPr>
            <w:tcW w:w="1400" w:type="dxa"/>
            <w:vAlign w:val="bottom"/>
          </w:tcPr>
          <w:p>
            <w:pPr>
              <w:spacing w:after="0"/>
              <w:rPr>
                <w:sz w:val="15"/>
                <w:szCs w:val="15"/>
                <w:color w:val="auto"/>
              </w:rPr>
            </w:pPr>
          </w:p>
        </w:tc>
        <w:tc>
          <w:tcPr>
            <w:tcW w:w="56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property rights</w:t>
            </w:r>
          </w:p>
        </w:tc>
        <w:tc>
          <w:tcPr>
            <w:tcW w:w="1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diluted earnings (loss) per share (non-GAAP)</w:t>
            </w:r>
          </w:p>
        </w:tc>
        <w:tc>
          <w:tcPr>
            <w:tcW w:w="1400" w:type="dxa"/>
            <w:vAlign w:val="bottom"/>
            <w:tcBorders>
              <w:bottom w:val="single" w:sz="8" w:color="auto"/>
            </w:tcBorders>
            <w:shd w:val="clear" w:color="auto" w:fill="CCEEFF"/>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1.96</w:t>
            </w:r>
          </w:p>
        </w:tc>
        <w:tc>
          <w:tcPr>
            <w:tcW w:w="48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First Quarter 2021 Form 10-Q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 xml:space="preserve">During the thirteen weeks ended May 1, 2021 and May 2, 2020, we recorded pre-tax charges of $4 million and $16 million, respectively, classified as Impairment and Other Charges. See the </w:t>
      </w:r>
      <w:r>
        <w:rPr>
          <w:rFonts w:ascii="Arial" w:cs="Arial" w:eastAsia="Arial" w:hAnsi="Arial"/>
          <w:sz w:val="18"/>
          <w:szCs w:val="18"/>
          <w:i w:val="1"/>
          <w:iCs w:val="1"/>
          <w:color w:val="auto"/>
        </w:rPr>
        <w:t>Impairment and Other Charges</w:t>
      </w:r>
      <w:r>
        <w:rPr>
          <w:rFonts w:ascii="Arial" w:cs="Arial" w:eastAsia="Arial" w:hAnsi="Arial"/>
          <w:sz w:val="18"/>
          <w:szCs w:val="18"/>
          <w:color w:val="auto"/>
        </w:rPr>
        <w:t xml:space="preserve"> section for further information. Related to the non-GAAP adjustments for income taxes, during the first quarter of 2020 we recorded a $27 million tax charge related to the revaluation of certain intellectual property rights, pursuant to a non-U.S. advance pricing agreement.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determined that we have three operating segments, North America, EMEA, and Asia Pacific. Our North America operating segment includes the results of the following banners operating in the U.S. and Canada: Foot Locker, Kids Foot Locker, Lady Foot Locker, Champs Sports, and Footaction, including each of their related e-commerce businesses, as well as our Eastbay business that includes internet, catalog, and team sales. Our EMEA operating segment includes the results of the following banners operating in Europe: Foot Locker, Sidestep, and Kids Foot Locker, including each of their related e-commerce businesses. Our Asia Pacific operating segment includes the results of Foot Locker and Kids Foot Locker and the related e-commerce businesses operating in Australia, New Zealand, and Asia. We have further aggregated these operating segments into one reportable segment based upon their shared customer base and similar economic characteristics.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expenses, non-operating income, and net interest (expense) income. The table below summarizes our results:</w:t>
      </w:r>
    </w:p>
    <w:p>
      <w:pPr>
        <w:spacing w:after="0" w:line="191"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02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1,</w:t>
            </w:r>
          </w:p>
        </w:tc>
        <w:tc>
          <w:tcPr>
            <w:tcW w:w="6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755"/>
              <w:spacing w:after="0" w:line="156" w:lineRule="exact"/>
              <w:rPr>
                <w:sz w:val="20"/>
                <w:szCs w:val="20"/>
                <w:color w:val="auto"/>
              </w:rPr>
            </w:pPr>
            <w:r>
              <w:rPr>
                <w:rFonts w:ascii="Arial" w:cs="Arial" w:eastAsia="Arial" w:hAnsi="Arial"/>
                <w:sz w:val="17"/>
                <w:szCs w:val="17"/>
                <w:b w:val="1"/>
                <w:bCs w:val="1"/>
                <w:color w:val="auto"/>
              </w:rPr>
              <w:t>May 2,</w:t>
            </w:r>
          </w:p>
        </w:tc>
        <w:tc>
          <w:tcPr>
            <w:tcW w:w="0" w:type="dxa"/>
            <w:vAlign w:val="bottom"/>
          </w:tcPr>
          <w:p>
            <w:pPr>
              <w:spacing w:after="0"/>
              <w:rPr>
                <w:sz w:val="1"/>
                <w:szCs w:val="1"/>
                <w:color w:val="auto"/>
              </w:rPr>
            </w:pPr>
          </w:p>
        </w:tc>
      </w:tr>
      <w:tr>
        <w:trPr>
          <w:trHeight w:val="215"/>
        </w:trPr>
        <w:tc>
          <w:tcPr>
            <w:tcW w:w="40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2180" w:type="dxa"/>
            <w:vAlign w:val="bottom"/>
          </w:tcPr>
          <w:p>
            <w:pPr>
              <w:jc w:val="right"/>
              <w:ind w:right="15"/>
              <w:spacing w:after="0"/>
              <w:rPr>
                <w:sz w:val="20"/>
                <w:szCs w:val="20"/>
                <w:color w:val="auto"/>
              </w:rPr>
            </w:pPr>
            <w:r>
              <w:rPr>
                <w:rFonts w:ascii="Arial" w:cs="Arial" w:eastAsia="Arial" w:hAnsi="Arial"/>
                <w:sz w:val="17"/>
                <w:szCs w:val="17"/>
                <w:b w:val="1"/>
                <w:bCs w:val="1"/>
                <w:color w:val="auto"/>
              </w:rPr>
              <w:t>2021</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ind w:right="8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2180" w:type="dxa"/>
            <w:vAlign w:val="bottom"/>
            <w:tcBorders>
              <w:top w:val="single" w:sz="8" w:color="auto"/>
            </w:tcBorders>
            <w:shd w:val="clear" w:color="auto" w:fill="CCEEFF"/>
          </w:tcPr>
          <w:p>
            <w:pPr>
              <w:jc w:val="right"/>
              <w:ind w:right="89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2,153</w:t>
            </w:r>
          </w:p>
        </w:tc>
        <w:tc>
          <w:tcPr>
            <w:tcW w:w="460" w:type="dxa"/>
            <w:vAlign w:val="bottom"/>
            <w:tcBorders>
              <w:top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1,176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2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7"/>
                <w:szCs w:val="17"/>
                <w:color w:val="auto"/>
              </w:rPr>
              <w:t>Division profit (loss)</w:t>
            </w:r>
          </w:p>
        </w:tc>
        <w:tc>
          <w:tcPr>
            <w:tcW w:w="2180" w:type="dxa"/>
            <w:vAlign w:val="bottom"/>
          </w:tcPr>
          <w:p>
            <w:pPr>
              <w:spacing w:after="0"/>
              <w:rPr>
                <w:sz w:val="16"/>
                <w:szCs w:val="16"/>
                <w:color w:val="auto"/>
              </w:rPr>
            </w:pPr>
          </w:p>
        </w:tc>
        <w:tc>
          <w:tcPr>
            <w:tcW w:w="6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315</w:t>
            </w:r>
          </w:p>
        </w:tc>
        <w:tc>
          <w:tcPr>
            <w:tcW w:w="460" w:type="dxa"/>
            <w:vAlign w:val="bottom"/>
          </w:tcPr>
          <w:p>
            <w:pPr>
              <w:spacing w:after="0"/>
              <w:rPr>
                <w:sz w:val="16"/>
                <w:szCs w:val="16"/>
                <w:color w:val="auto"/>
              </w:rPr>
            </w:pPr>
          </w:p>
        </w:tc>
        <w:tc>
          <w:tcPr>
            <w:tcW w:w="158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2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w:t>
            </w:r>
          </w:p>
        </w:tc>
        <w:tc>
          <w:tcPr>
            <w:tcW w:w="46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2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29</w:t>
            </w: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5"/>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(loss) from operations</w:t>
            </w:r>
          </w:p>
        </w:tc>
        <w:tc>
          <w:tcPr>
            <w:tcW w:w="2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282</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2180" w:type="dxa"/>
            <w:vAlign w:val="bottom"/>
          </w:tcPr>
          <w:p>
            <w:pPr>
              <w:spacing w:after="0"/>
              <w:rPr>
                <w:sz w:val="16"/>
                <w:szCs w:val="16"/>
                <w:color w:val="auto"/>
              </w:rPr>
            </w:pPr>
          </w:p>
        </w:tc>
        <w:tc>
          <w:tcPr>
            <w:tcW w:w="6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460" w:type="dxa"/>
            <w:vAlign w:val="bottom"/>
          </w:tcPr>
          <w:p>
            <w:pPr>
              <w:spacing w:after="0"/>
              <w:rPr>
                <w:sz w:val="16"/>
                <w:szCs w:val="16"/>
                <w:color w:val="auto"/>
              </w:rPr>
            </w:pPr>
          </w:p>
        </w:tc>
        <w:tc>
          <w:tcPr>
            <w:tcW w:w="158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(3)</w:t>
            </w:r>
          </w:p>
        </w:tc>
        <w:tc>
          <w:tcPr>
            <w:tcW w:w="2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w:t>
            </w:r>
          </w:p>
        </w:tc>
        <w:tc>
          <w:tcPr>
            <w:tcW w:w="46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(loss) before income taxes</w:t>
            </w:r>
          </w:p>
        </w:tc>
        <w:tc>
          <w:tcPr>
            <w:tcW w:w="2180" w:type="dxa"/>
            <w:vAlign w:val="bottom"/>
            <w:tcBorders>
              <w:bottom w:val="single" w:sz="8" w:color="auto"/>
            </w:tcBorders>
          </w:tcPr>
          <w:p>
            <w:pPr>
              <w:jc w:val="right"/>
              <w:ind w:right="89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284</w:t>
            </w:r>
          </w:p>
        </w:tc>
        <w:tc>
          <w:tcPr>
            <w:tcW w:w="46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 xml:space="preserve"> section for further information.</w:t>
      </w:r>
    </w:p>
    <w:p>
      <w:pPr>
        <w:spacing w:after="0" w:line="123"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92" w:lineRule="exact"/>
        <w:rPr>
          <w:rFonts w:ascii="Arial" w:cs="Arial" w:eastAsia="Arial" w:hAnsi="Arial"/>
          <w:sz w:val="14"/>
          <w:szCs w:val="14"/>
          <w:color w:val="auto"/>
        </w:rPr>
      </w:pPr>
    </w:p>
    <w:p>
      <w:pPr>
        <w:jc w:val="both"/>
        <w:ind w:left="380" w:right="79" w:hanging="330"/>
        <w:spacing w:after="0" w:line="247"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Other income includes non-operating items, franchise royalty income, changes in fair value of minority interests measured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 See the </w:t>
      </w:r>
      <w:r>
        <w:rPr>
          <w:rFonts w:ascii="Arial" w:cs="Arial" w:eastAsia="Arial" w:hAnsi="Arial"/>
          <w:sz w:val="14"/>
          <w:szCs w:val="14"/>
          <w:i w:val="1"/>
          <w:iCs w:val="1"/>
          <w:color w:val="auto"/>
        </w:rPr>
        <w:t>Other income, net</w:t>
      </w:r>
      <w:r>
        <w:rPr>
          <w:rFonts w:ascii="Arial" w:cs="Arial" w:eastAsia="Arial" w:hAnsi="Arial"/>
          <w:sz w:val="14"/>
          <w:szCs w:val="14"/>
          <w:color w:val="auto"/>
        </w:rPr>
        <w:t xml:space="preserve"> section for further information.</w:t>
      </w:r>
    </w:p>
    <w:p>
      <w:pPr>
        <w:spacing w:after="0" w:line="200" w:lineRule="exact"/>
        <w:rPr>
          <w:sz w:val="20"/>
          <w:szCs w:val="20"/>
          <w:color w:val="auto"/>
        </w:rPr>
      </w:pPr>
    </w:p>
    <w:p>
      <w:pPr>
        <w:spacing w:after="0" w:line="21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Sales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Stores that were temporarily closed due to the COVID-19 pandemic are also included in the computation of comparable-store sales. Computations exclude the effect of foreign currency fluctuations.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shown below represents certain sales metrics by sales channel:</w:t>
      </w:r>
    </w:p>
    <w:p>
      <w:pPr>
        <w:spacing w:after="0" w:line="200"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0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515"/>
              <w:spacing w:after="0" w:line="156" w:lineRule="exact"/>
              <w:rPr>
                <w:sz w:val="20"/>
                <w:szCs w:val="20"/>
                <w:color w:val="auto"/>
              </w:rPr>
            </w:pPr>
            <w:r>
              <w:rPr>
                <w:rFonts w:ascii="Arial" w:cs="Arial" w:eastAsia="Arial" w:hAnsi="Arial"/>
                <w:sz w:val="17"/>
                <w:szCs w:val="17"/>
                <w:b w:val="1"/>
                <w:bCs w:val="1"/>
                <w:color w:val="auto"/>
              </w:rPr>
              <w:t>May 1,</w:t>
            </w:r>
          </w:p>
        </w:tc>
        <w:tc>
          <w:tcPr>
            <w:tcW w:w="4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575"/>
              <w:spacing w:after="0" w:line="156" w:lineRule="exact"/>
              <w:rPr>
                <w:sz w:val="20"/>
                <w:szCs w:val="20"/>
                <w:color w:val="auto"/>
              </w:rPr>
            </w:pPr>
            <w:r>
              <w:rPr>
                <w:rFonts w:ascii="Arial" w:cs="Arial" w:eastAsia="Arial" w:hAnsi="Arial"/>
                <w:sz w:val="17"/>
                <w:szCs w:val="17"/>
                <w:b w:val="1"/>
                <w:bCs w:val="1"/>
                <w:color w:val="auto"/>
              </w:rPr>
              <w:t>May 2,</w:t>
            </w:r>
          </w:p>
        </w:tc>
      </w:tr>
      <w:tr>
        <w:trPr>
          <w:trHeight w:val="215"/>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2020</w:t>
            </w:r>
          </w:p>
        </w:tc>
      </w:tr>
      <w:tr>
        <w:trPr>
          <w:trHeight w:val="183"/>
        </w:trPr>
        <w:tc>
          <w:tcPr>
            <w:tcW w:w="40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Stores</w:t>
            </w:r>
          </w:p>
        </w:tc>
        <w:tc>
          <w:tcPr>
            <w:tcW w:w="15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9"/>
        </w:trPr>
        <w:tc>
          <w:tcPr>
            <w:tcW w:w="4040" w:type="dxa"/>
            <w:vAlign w:val="bottom"/>
          </w:tcPr>
          <w:p>
            <w:pPr>
              <w:ind w:left="20"/>
              <w:spacing w:after="0" w:line="189" w:lineRule="exact"/>
              <w:rPr>
                <w:sz w:val="20"/>
                <w:szCs w:val="20"/>
                <w:color w:val="auto"/>
              </w:rPr>
            </w:pPr>
            <w:r>
              <w:rPr>
                <w:rFonts w:ascii="Arial" w:cs="Arial" w:eastAsia="Arial" w:hAnsi="Arial"/>
                <w:sz w:val="17"/>
                <w:szCs w:val="17"/>
                <w:color w:val="auto"/>
              </w:rPr>
              <w:t>Sales</w:t>
            </w:r>
          </w:p>
        </w:tc>
        <w:tc>
          <w:tcPr>
            <w:tcW w:w="150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w:t>
            </w:r>
          </w:p>
        </w:tc>
        <w:tc>
          <w:tcPr>
            <w:tcW w:w="14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1,620</w:t>
            </w:r>
          </w:p>
        </w:tc>
        <w:tc>
          <w:tcPr>
            <w:tcW w:w="46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255"/>
              <w:spacing w:after="0" w:line="189" w:lineRule="exact"/>
              <w:rPr>
                <w:sz w:val="20"/>
                <w:szCs w:val="20"/>
                <w:color w:val="auto"/>
              </w:rPr>
            </w:pPr>
            <w:r>
              <w:rPr>
                <w:rFonts w:ascii="Arial" w:cs="Arial" w:eastAsia="Arial" w:hAnsi="Arial"/>
                <w:sz w:val="17"/>
                <w:szCs w:val="17"/>
                <w:color w:val="auto"/>
              </w:rPr>
              <w:t>814</w:t>
            </w: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150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b w:val="1"/>
                <w:bCs w:val="1"/>
                <w:color w:val="auto"/>
              </w:rPr>
              <w:t>$</w:t>
            </w:r>
          </w:p>
        </w:tc>
        <w:tc>
          <w:tcPr>
            <w:tcW w:w="14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806</w:t>
            </w: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(944)</w:t>
            </w:r>
          </w:p>
        </w:tc>
      </w:tr>
      <w:tr>
        <w:trPr>
          <w:trHeight w:val="189"/>
        </w:trPr>
        <w:tc>
          <w:tcPr>
            <w:tcW w:w="404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15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99.0 %</w:t>
            </w:r>
          </w:p>
        </w:tc>
        <w:tc>
          <w:tcPr>
            <w:tcW w:w="460" w:type="dxa"/>
            <w:vAlign w:val="bottom"/>
          </w:tcPr>
          <w:p>
            <w:pPr>
              <w:spacing w:after="0"/>
              <w:rPr>
                <w:sz w:val="16"/>
                <w:szCs w:val="16"/>
                <w:color w:val="auto"/>
              </w:rPr>
            </w:pPr>
          </w:p>
        </w:tc>
        <w:tc>
          <w:tcPr>
            <w:tcW w:w="14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(53.7)%</w:t>
            </w: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15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75.2 %</w:t>
            </w: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69.2 %</w:t>
            </w:r>
          </w:p>
        </w:tc>
      </w:tr>
      <w:tr>
        <w:trPr>
          <w:trHeight w:val="189"/>
        </w:trPr>
        <w:tc>
          <w:tcPr>
            <w:tcW w:w="4040" w:type="dxa"/>
            <w:vAlign w:val="bottom"/>
          </w:tcPr>
          <w:p>
            <w:pPr>
              <w:ind w:left="20"/>
              <w:spacing w:after="0" w:line="189" w:lineRule="exact"/>
              <w:rPr>
                <w:sz w:val="20"/>
                <w:szCs w:val="20"/>
                <w:color w:val="auto"/>
              </w:rPr>
            </w:pPr>
            <w:r>
              <w:rPr>
                <w:rFonts w:ascii="Arial" w:cs="Arial" w:eastAsia="Arial" w:hAnsi="Arial"/>
                <w:sz w:val="17"/>
                <w:szCs w:val="17"/>
                <w:color w:val="auto"/>
              </w:rPr>
              <w:t>Comparable sales increase (decrease)</w:t>
            </w:r>
          </w:p>
        </w:tc>
        <w:tc>
          <w:tcPr>
            <w:tcW w:w="15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97.4 %</w:t>
            </w:r>
          </w:p>
        </w:tc>
        <w:tc>
          <w:tcPr>
            <w:tcW w:w="460" w:type="dxa"/>
            <w:vAlign w:val="bottom"/>
          </w:tcPr>
          <w:p>
            <w:pPr>
              <w:spacing w:after="0"/>
              <w:rPr>
                <w:sz w:val="16"/>
                <w:szCs w:val="16"/>
                <w:color w:val="auto"/>
              </w:rPr>
            </w:pPr>
          </w:p>
        </w:tc>
        <w:tc>
          <w:tcPr>
            <w:tcW w:w="14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(53.4)%</w:t>
            </w:r>
          </w:p>
        </w:tc>
      </w:tr>
      <w:tr>
        <w:trPr>
          <w:trHeight w:val="216"/>
        </w:trPr>
        <w:tc>
          <w:tcPr>
            <w:tcW w:w="40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89"/>
        </w:trPr>
        <w:tc>
          <w:tcPr>
            <w:tcW w:w="404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Direct-to-customers</w:t>
            </w:r>
          </w:p>
        </w:tc>
        <w:tc>
          <w:tcPr>
            <w:tcW w:w="1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Sales</w:t>
            </w:r>
          </w:p>
        </w:tc>
        <w:tc>
          <w:tcPr>
            <w:tcW w:w="150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b w:val="1"/>
                <w:bCs w:val="1"/>
                <w:color w:val="auto"/>
              </w:rPr>
              <w:t>$</w:t>
            </w:r>
          </w:p>
        </w:tc>
        <w:tc>
          <w:tcPr>
            <w:tcW w:w="14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533</w:t>
            </w:r>
          </w:p>
        </w:tc>
        <w:tc>
          <w:tcPr>
            <w:tcW w:w="46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362</w:t>
            </w:r>
          </w:p>
        </w:tc>
      </w:tr>
      <w:tr>
        <w:trPr>
          <w:trHeight w:val="189"/>
        </w:trPr>
        <w:tc>
          <w:tcPr>
            <w:tcW w:w="404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150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w:t>
            </w:r>
          </w:p>
        </w:tc>
        <w:tc>
          <w:tcPr>
            <w:tcW w:w="14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171</w:t>
            </w:r>
          </w:p>
        </w:tc>
        <w:tc>
          <w:tcPr>
            <w:tcW w:w="460" w:type="dxa"/>
            <w:vAlign w:val="bottom"/>
          </w:tcPr>
          <w:p>
            <w:pPr>
              <w:spacing w:after="0"/>
              <w:rPr>
                <w:sz w:val="16"/>
                <w:szCs w:val="16"/>
                <w:color w:val="auto"/>
              </w:rPr>
            </w:pPr>
          </w:p>
        </w:tc>
        <w:tc>
          <w:tcPr>
            <w:tcW w:w="1480" w:type="dxa"/>
            <w:vAlign w:val="bottom"/>
          </w:tcPr>
          <w:p>
            <w:pPr>
              <w:jc w:val="right"/>
              <w:ind w:right="255"/>
              <w:spacing w:after="0" w:line="189" w:lineRule="exact"/>
              <w:rPr>
                <w:sz w:val="20"/>
                <w:szCs w:val="20"/>
                <w:color w:val="auto"/>
              </w:rPr>
            </w:pPr>
            <w:r>
              <w:rPr>
                <w:rFonts w:ascii="Arial" w:cs="Arial" w:eastAsia="Arial" w:hAnsi="Arial"/>
                <w:sz w:val="17"/>
                <w:szCs w:val="17"/>
                <w:color w:val="auto"/>
              </w:rPr>
              <w:t>42</w:t>
            </w: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15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47.2 %</w:t>
            </w: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13.1 %</w:t>
            </w:r>
          </w:p>
        </w:tc>
      </w:tr>
      <w:tr>
        <w:trPr>
          <w:trHeight w:val="189"/>
        </w:trPr>
        <w:tc>
          <w:tcPr>
            <w:tcW w:w="4040" w:type="dxa"/>
            <w:vAlign w:val="bottom"/>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15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24.8 %</w:t>
            </w:r>
          </w:p>
        </w:tc>
        <w:tc>
          <w:tcPr>
            <w:tcW w:w="460" w:type="dxa"/>
            <w:vAlign w:val="bottom"/>
          </w:tcPr>
          <w:p>
            <w:pPr>
              <w:spacing w:after="0"/>
              <w:rPr>
                <w:sz w:val="16"/>
                <w:szCs w:val="16"/>
                <w:color w:val="auto"/>
              </w:rPr>
            </w:pPr>
          </w:p>
        </w:tc>
        <w:tc>
          <w:tcPr>
            <w:tcW w:w="14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30.8 %</w:t>
            </w:r>
          </w:p>
        </w:tc>
      </w:tr>
      <w:tr>
        <w:trPr>
          <w:trHeight w:val="189"/>
        </w:trPr>
        <w:tc>
          <w:tcPr>
            <w:tcW w:w="40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Comparable sales increase</w:t>
            </w:r>
          </w:p>
        </w:tc>
        <w:tc>
          <w:tcPr>
            <w:tcW w:w="15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43.0 %</w:t>
            </w:r>
          </w:p>
        </w:tc>
        <w:tc>
          <w:tcPr>
            <w:tcW w:w="4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14.3 %</w:t>
            </w:r>
          </w:p>
        </w:tc>
      </w:tr>
    </w:tbl>
    <w:p>
      <w:pPr>
        <w:spacing w:after="0" w:line="21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 the thirteen weeks ended May 1, 2021, total sales increased by $977 million, or 83.1 percent, to $2,153 million, as compared with the corresponding prior-year period. Excluding the effect of foreign currency fluctuations, total sales increased by 79.4 percent for the thirteen weeks ended May 1, 2021 as compared with the corresponding prior-year period. These comparisons were significantly affected by the closures necessitated by the COVID-19 pandemic, most of the stores were closed during the first quarter of 2020. Our stores were only open for 48 percent of the operating days last year as compared with 83 percent this year. By geography, our European and Canadian operations continued to be negatively affected by the required closures during the current year. Europe and Canada were open for 39 percent and 75 percent of the total available operating days, respectively. While sales increased significantly compared with the prior-year period, we also exceeded the sales of the first quarter of 2019. As compared to the first quarter of 2019, total sales increased 3.6 percent, and 2.4 percent excluding the effect of foreign exchange rate fluctuations.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Total comparable sales represented an increase of 80.3 percent for the quarter. Our stores and direct-to-customers channels generated significant increases, which was a result of the temporary closure of our stores across all of our banners around the world during the first quarter of 2020. Our significant improvement also reflected increased consumer demand for exciting and new product offerings and the effect of government stimulus. We continue to leverage our technology platforms to improve the digital experience.</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 the combined channels, all of our operating segments (North America, EMEA, and Asia Pacific) generated significant sales increases as compared to the first quarter of last year, which was negatively affected by the temporary store closures necessitated by the pandemic. Both EMEA and Canada generated significant increases despite the continued temporary store closures required in the first quarter this year. Our North American operating segment’s sales strength was across all banners and was led by Champs Sports, with an increase of over 100 percent. Within EMEA, our Sidestep and Foot Locker banners were negatively affected by the ongoing temporary closures in Germany. Asia Pacific, our smallest operating segment, also experienced an increase of over 100 percent.</w:t>
      </w: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From a product perspective for the combined channels, the increase was across all families of business - footwear, apparel, and accessories. All wearer segments within the footwear category experienced increases, with the largest increases coming from sales of men’s and children’s basketball footwear styles. Apparel sales benefited from increases in sales of men’s and kid’s apparel. The continued athleisure and fitness trend, coupled with exciting product offerings from our suppliers, drove the significant increase in sales as compared with last year.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18" w:lineRule="exact"/>
        <w:rPr>
          <w:sz w:val="20"/>
          <w:szCs w:val="20"/>
          <w:color w:val="auto"/>
        </w:rPr>
      </w:pPr>
    </w:p>
    <w:p>
      <w:pPr>
        <w:ind w:left="620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540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jc w:val="right"/>
              <w:ind w:right="815"/>
              <w:spacing w:after="0" w:line="156" w:lineRule="exact"/>
              <w:rPr>
                <w:sz w:val="20"/>
                <w:szCs w:val="20"/>
                <w:color w:val="auto"/>
              </w:rPr>
            </w:pPr>
            <w:r>
              <w:rPr>
                <w:rFonts w:ascii="Arial" w:cs="Arial" w:eastAsia="Arial" w:hAnsi="Arial"/>
                <w:sz w:val="17"/>
                <w:szCs w:val="17"/>
                <w:b w:val="1"/>
                <w:bCs w:val="1"/>
                <w:color w:val="auto"/>
              </w:rPr>
              <w:t>May 1,</w:t>
            </w:r>
          </w:p>
        </w:tc>
        <w:tc>
          <w:tcPr>
            <w:tcW w:w="1580" w:type="dxa"/>
            <w:vAlign w:val="bottom"/>
            <w:tcBorders>
              <w:top w:val="single" w:sz="8" w:color="auto"/>
            </w:tcBorders>
          </w:tcPr>
          <w:p>
            <w:pPr>
              <w:jc w:val="right"/>
              <w:ind w:right="675"/>
              <w:spacing w:after="0" w:line="156" w:lineRule="exact"/>
              <w:rPr>
                <w:sz w:val="20"/>
                <w:szCs w:val="20"/>
                <w:color w:val="auto"/>
              </w:rPr>
            </w:pPr>
            <w:r>
              <w:rPr>
                <w:rFonts w:ascii="Arial" w:cs="Arial" w:eastAsia="Arial" w:hAnsi="Arial"/>
                <w:sz w:val="17"/>
                <w:szCs w:val="17"/>
                <w:b w:val="1"/>
                <w:bCs w:val="1"/>
                <w:color w:val="auto"/>
              </w:rPr>
              <w:t>May 2,</w:t>
            </w:r>
          </w:p>
        </w:tc>
        <w:tc>
          <w:tcPr>
            <w:tcW w:w="0" w:type="dxa"/>
            <w:vAlign w:val="bottom"/>
          </w:tcPr>
          <w:p>
            <w:pPr>
              <w:spacing w:after="0"/>
              <w:rPr>
                <w:sz w:val="1"/>
                <w:szCs w:val="1"/>
                <w:color w:val="auto"/>
              </w:rPr>
            </w:pPr>
          </w:p>
        </w:tc>
      </w:tr>
      <w:tr>
        <w:trPr>
          <w:trHeight w:val="215"/>
        </w:trPr>
        <w:tc>
          <w:tcPr>
            <w:tcW w:w="5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b w:val="1"/>
                <w:bCs w:val="1"/>
                <w:color w:val="auto"/>
              </w:rPr>
              <w:t>2021</w:t>
            </w:r>
          </w:p>
        </w:tc>
        <w:tc>
          <w:tcPr>
            <w:tcW w:w="158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92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34.8 %</w:t>
            </w:r>
          </w:p>
        </w:tc>
        <w:tc>
          <w:tcPr>
            <w:tcW w:w="15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23.0 %</w:t>
            </w:r>
          </w:p>
        </w:tc>
        <w:tc>
          <w:tcPr>
            <w:tcW w:w="0" w:type="dxa"/>
            <w:vAlign w:val="bottom"/>
          </w:tcPr>
          <w:p>
            <w:pPr>
              <w:spacing w:after="0"/>
              <w:rPr>
                <w:sz w:val="1"/>
                <w:szCs w:val="1"/>
                <w:color w:val="auto"/>
              </w:rPr>
            </w:pP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7"/>
                <w:szCs w:val="17"/>
                <w:color w:val="auto"/>
              </w:rPr>
              <w:t>Basis point increase (decrease) in the gross margin rate</w:t>
            </w:r>
          </w:p>
        </w:tc>
        <w:tc>
          <w:tcPr>
            <w:tcW w:w="1920" w:type="dxa"/>
            <w:vAlign w:val="bottom"/>
          </w:tcPr>
          <w:p>
            <w:pPr>
              <w:jc w:val="right"/>
              <w:ind w:right="415"/>
              <w:spacing w:after="0" w:line="189" w:lineRule="exact"/>
              <w:rPr>
                <w:sz w:val="20"/>
                <w:szCs w:val="20"/>
                <w:color w:val="auto"/>
              </w:rPr>
            </w:pPr>
            <w:r>
              <w:rPr>
                <w:rFonts w:ascii="Arial" w:cs="Arial" w:eastAsia="Arial" w:hAnsi="Arial"/>
                <w:sz w:val="17"/>
                <w:szCs w:val="17"/>
                <w:b w:val="1"/>
                <w:bCs w:val="1"/>
                <w:color w:val="auto"/>
              </w:rPr>
              <w:t>1,180</w:t>
            </w:r>
          </w:p>
        </w:tc>
        <w:tc>
          <w:tcPr>
            <w:tcW w:w="158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(1,020)</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19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220"/>
              <w:spacing w:after="0" w:line="189" w:lineRule="exact"/>
              <w:rPr>
                <w:sz w:val="20"/>
                <w:szCs w:val="20"/>
                <w:color w:val="auto"/>
              </w:rPr>
            </w:pPr>
            <w:r>
              <w:rPr>
                <w:rFonts w:ascii="Arial" w:cs="Arial" w:eastAsia="Arial" w:hAnsi="Arial"/>
                <w:sz w:val="17"/>
                <w:szCs w:val="17"/>
                <w:color w:val="auto"/>
              </w:rPr>
              <w:t>Merchandise margin rate improvement (decline)</w:t>
            </w:r>
          </w:p>
        </w:tc>
        <w:tc>
          <w:tcPr>
            <w:tcW w:w="1920" w:type="dxa"/>
            <w:vAlign w:val="bottom"/>
          </w:tcPr>
          <w:p>
            <w:pPr>
              <w:jc w:val="right"/>
              <w:ind w:right="415"/>
              <w:spacing w:after="0" w:line="189" w:lineRule="exact"/>
              <w:rPr>
                <w:sz w:val="20"/>
                <w:szCs w:val="20"/>
                <w:color w:val="auto"/>
              </w:rPr>
            </w:pPr>
            <w:r>
              <w:rPr>
                <w:rFonts w:ascii="Arial" w:cs="Arial" w:eastAsia="Arial" w:hAnsi="Arial"/>
                <w:sz w:val="17"/>
                <w:szCs w:val="17"/>
                <w:b w:val="1"/>
                <w:bCs w:val="1"/>
                <w:color w:val="auto"/>
              </w:rPr>
              <w:t>250</w:t>
            </w:r>
          </w:p>
        </w:tc>
        <w:tc>
          <w:tcPr>
            <w:tcW w:w="158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Lower (higher) occupancy and buyers’ compensation expense</w:t>
            </w:r>
          </w:p>
        </w:tc>
        <w:tc>
          <w:tcPr>
            <w:tcW w:w="1920" w:type="dxa"/>
            <w:vAlign w:val="bottom"/>
            <w:vMerge w:val="restart"/>
            <w:shd w:val="clear" w:color="auto" w:fill="CCEEFF"/>
          </w:tcPr>
          <w:p>
            <w:pPr>
              <w:jc w:val="right"/>
              <w:ind w:right="415"/>
              <w:spacing w:after="0"/>
              <w:rPr>
                <w:sz w:val="20"/>
                <w:szCs w:val="20"/>
                <w:color w:val="auto"/>
              </w:rPr>
            </w:pPr>
            <w:r>
              <w:rPr>
                <w:rFonts w:ascii="Arial" w:cs="Arial" w:eastAsia="Arial" w:hAnsi="Arial"/>
                <w:sz w:val="17"/>
                <w:szCs w:val="17"/>
                <w:b w:val="1"/>
                <w:bCs w:val="1"/>
                <w:color w:val="auto"/>
              </w:rPr>
              <w:t>930</w:t>
            </w: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rate</w:t>
            </w:r>
          </w:p>
        </w:tc>
        <w:tc>
          <w:tcPr>
            <w:tcW w:w="1920" w:type="dxa"/>
            <w:vAlign w:val="bottom"/>
            <w:tcBorders>
              <w:bottom w:val="single" w:sz="8" w:color="auto"/>
            </w:tcBorders>
            <w:vMerge w:val="continue"/>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gross margin rate improved to 34.8 percent for the thirteen weeks ended May 1, 2021, as compared with corresponding prior-year period, reflecting a higher merchandise margin rate since we were significantly less promotional than a year ago, coupled with leverage on the relatively fixed costs. Comparing the gross margin rate to the first quarter of 2019, gross margin improved by 160 basis point reflecting an 80-basis point improvement in the merchandise margin rate and an 80 basis point improvement on occupancy and buyers’ compensation rate.</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occupancy rate for the first quarter was positively affected by the increase in sales and COVID-19 related rent abatements. Due to completed lease negotiations, we were able to record $5 million of rent savings due to rent abatements during the thirteen weeks ended May 1, 2021. We record rent abatements in rent expense when the negotiations are completed and the leases are modified.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18"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78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1,</w:t>
            </w: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735"/>
              <w:spacing w:after="0" w:line="156" w:lineRule="exact"/>
              <w:rPr>
                <w:sz w:val="20"/>
                <w:szCs w:val="20"/>
                <w:color w:val="auto"/>
              </w:rPr>
            </w:pPr>
            <w:r>
              <w:rPr>
                <w:rFonts w:ascii="Arial" w:cs="Arial" w:eastAsia="Arial" w:hAnsi="Arial"/>
                <w:sz w:val="17"/>
                <w:szCs w:val="17"/>
                <w:b w:val="1"/>
                <w:bCs w:val="1"/>
                <w:color w:val="auto"/>
              </w:rPr>
              <w:t>May 2,</w:t>
            </w:r>
          </w:p>
        </w:tc>
      </w:tr>
      <w:tr>
        <w:trPr>
          <w:trHeight w:val="215"/>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5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2020</w:t>
            </w:r>
          </w:p>
        </w:tc>
      </w:tr>
      <w:tr>
        <w:trPr>
          <w:trHeight w:val="183"/>
        </w:trPr>
        <w:tc>
          <w:tcPr>
            <w:tcW w:w="37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SG&amp;A</w:t>
            </w:r>
          </w:p>
        </w:tc>
        <w:tc>
          <w:tcPr>
            <w:tcW w:w="2500" w:type="dxa"/>
            <w:vAlign w:val="bottom"/>
            <w:shd w:val="clear" w:color="auto" w:fill="CCEEFF"/>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418</w:t>
            </w:r>
          </w:p>
        </w:tc>
        <w:tc>
          <w:tcPr>
            <w:tcW w:w="3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316</w:t>
            </w:r>
          </w:p>
        </w:tc>
      </w:tr>
      <w:tr>
        <w:trPr>
          <w:trHeight w:val="189"/>
        </w:trPr>
        <w:tc>
          <w:tcPr>
            <w:tcW w:w="378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2500" w:type="dxa"/>
            <w:vAlign w:val="bottom"/>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102</w:t>
            </w: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37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25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32.3 %</w:t>
            </w:r>
          </w:p>
        </w:tc>
        <w:tc>
          <w:tcPr>
            <w:tcW w:w="3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9"/>
        </w:trPr>
        <w:tc>
          <w:tcPr>
            <w:tcW w:w="37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SG&amp;A as a percentage of sales</w:t>
            </w:r>
          </w:p>
        </w:tc>
        <w:tc>
          <w:tcPr>
            <w:tcW w:w="2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19.4 %</w:t>
            </w: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26.9 %</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SG&amp;A increased by $102 million, or $89 million excluding the effect of foreign currency fluctuations, for the thirteen weeks ended May 1, 2021 as compared with the corresponding prior-year period. As a percentage of sales, SG&amp;A decreased by 750 basis points for the thirteen weeks ended May 1, 2021 driven by higher sales in the quarter as sales in the prior year were significantly affected by the closures necessitated by COVID-19.</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SG&amp;A for the thirteen weeks ended May 1, 2021 and May 2, 2020 included payroll subsidies from local governments of $ 10 million and $40 million, respectively. The higher amount related to the prior year credit reflected the fact that we continued to pay our employees throughout most of the first quarter despite the temporary store closures. The thirteen weeks ended May 1, 2021 included incremental expense of $2 million for personal protective equipment compared with an insignificant cost in the corresponding prior-year period. SG&amp;A expense in the current year reflected higher incentive compensation expense of $ 20 million reflecting our strong performance. Excluding the above-mentioned items and the effect of foreign currency fluctuations, SG&amp;A increased by $37 million or 11 percent representing variable expenses associated with higher sales.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18"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70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tcPr>
          <w:p>
            <w:pPr>
              <w:jc w:val="right"/>
              <w:ind w:right="35"/>
              <w:spacing w:after="0" w:line="156" w:lineRule="exact"/>
              <w:rPr>
                <w:sz w:val="20"/>
                <w:szCs w:val="20"/>
                <w:color w:val="auto"/>
              </w:rPr>
            </w:pPr>
            <w:r>
              <w:rPr>
                <w:rFonts w:ascii="Arial" w:cs="Arial" w:eastAsia="Arial" w:hAnsi="Arial"/>
                <w:sz w:val="17"/>
                <w:szCs w:val="17"/>
                <w:b w:val="1"/>
                <w:bCs w:val="1"/>
                <w:color w:val="auto"/>
              </w:rPr>
              <w:t>May 1,</w:t>
            </w:r>
          </w:p>
        </w:tc>
        <w:tc>
          <w:tcPr>
            <w:tcW w:w="6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center"/>
              <w:ind w:right="535"/>
              <w:spacing w:after="0" w:line="156" w:lineRule="exact"/>
              <w:rPr>
                <w:sz w:val="20"/>
                <w:szCs w:val="20"/>
                <w:color w:val="auto"/>
              </w:rPr>
            </w:pPr>
            <w:r>
              <w:rPr>
                <w:rFonts w:ascii="Arial" w:cs="Arial" w:eastAsia="Arial" w:hAnsi="Arial"/>
                <w:sz w:val="17"/>
                <w:szCs w:val="17"/>
                <w:b w:val="1"/>
                <w:bCs w:val="1"/>
                <w:color w:val="auto"/>
                <w:w w:val="99"/>
              </w:rPr>
              <w:t>May 2,</w:t>
            </w:r>
          </w:p>
        </w:tc>
      </w:tr>
      <w:tr>
        <w:trPr>
          <w:trHeight w:val="215"/>
        </w:trPr>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6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37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Depreciation and amortization</w:t>
            </w:r>
          </w:p>
        </w:tc>
        <w:tc>
          <w:tcPr>
            <w:tcW w:w="2620" w:type="dxa"/>
            <w:vAlign w:val="bottom"/>
            <w:shd w:val="clear" w:color="auto" w:fill="CCEEFF"/>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45</w:t>
            </w:r>
          </w:p>
        </w:tc>
        <w:tc>
          <w:tcPr>
            <w:tcW w:w="3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44</w:t>
            </w:r>
          </w:p>
        </w:tc>
      </w:tr>
      <w:tr>
        <w:trPr>
          <w:trHeight w:val="189"/>
        </w:trPr>
        <w:tc>
          <w:tcPr>
            <w:tcW w:w="370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2620" w:type="dxa"/>
            <w:vAlign w:val="bottom"/>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w:t>
            </w: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37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26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2.3 %</w:t>
            </w:r>
          </w:p>
        </w:tc>
        <w:tc>
          <w:tcPr>
            <w:tcW w:w="3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spacing w:after="0"/>
              <w:rPr>
                <w:sz w:val="16"/>
                <w:szCs w:val="16"/>
                <w:color w:val="auto"/>
              </w:rPr>
            </w:pP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Depreciation and amortization expense increased by $ 1 million for the thirteen weeks ended May 1, 2021, as compared with the corresponding prior-year periods. Excluding the effect of foreign currency fluctuations, depreciation and amortization was essentially unchanged as compared with the prior year.</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first quarter of 2021, we recorded an impairment charge of $2 million related to the underperformance of one of our minority investments. Additionally, we recorded a charge of $2 million, which was primarily related to severance in connection with the reorganization of certain support functions.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May 2020, we made the strategic decision to close our Runners Point business. Certain Runners Point stores converted to other banners and approximately 40 Runners Point and Sidestep stores were closed. We also conducted an impairment review for certain underperforming stores operating in Europe. We evaluated the long-lived assets, including the right-of-use assets, of 70 stores and recorded non-cash charges of $15 million to write down store fixtures, leasehold improvements, and right-of-use assets.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and the Company’s U.S. pension plan were involved in litigation related to the conversion of the plan to a cash balance plan. The court entered its final judgment in 2018, which required the plan to be reformed as directed by the court order. We recorded charges of $1 million for the thirteen weeks ended May 2, 2020 related to administrative expenses in connection with the reformation.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Corporate Expense</w:t>
      </w:r>
    </w:p>
    <w:p>
      <w:pPr>
        <w:spacing w:after="0" w:line="218"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300" w:type="dxa"/>
            <w:vAlign w:val="bottom"/>
            <w:tcBorders>
              <w:top w:val="single" w:sz="8" w:color="auto"/>
            </w:tcBorders>
          </w:tcPr>
          <w:p>
            <w:pPr>
              <w:spacing w:after="0"/>
              <w:rPr>
                <w:sz w:val="13"/>
                <w:szCs w:val="13"/>
                <w:color w:val="auto"/>
              </w:rPr>
            </w:pPr>
          </w:p>
        </w:tc>
        <w:tc>
          <w:tcPr>
            <w:tcW w:w="3060" w:type="dxa"/>
            <w:vAlign w:val="bottom"/>
            <w:tcBorders>
              <w:top w:val="single" w:sz="8" w:color="auto"/>
            </w:tcBorders>
          </w:tcPr>
          <w:p>
            <w:pPr>
              <w:jc w:val="right"/>
              <w:ind w:right="55"/>
              <w:spacing w:after="0" w:line="156" w:lineRule="exact"/>
              <w:rPr>
                <w:sz w:val="20"/>
                <w:szCs w:val="20"/>
                <w:color w:val="auto"/>
              </w:rPr>
            </w:pPr>
            <w:r>
              <w:rPr>
                <w:rFonts w:ascii="Arial" w:cs="Arial" w:eastAsia="Arial" w:hAnsi="Arial"/>
                <w:sz w:val="17"/>
                <w:szCs w:val="17"/>
                <w:b w:val="1"/>
                <w:bCs w:val="1"/>
                <w:color w:val="auto"/>
              </w:rPr>
              <w:t>May 1,</w:t>
            </w:r>
          </w:p>
        </w:tc>
        <w:tc>
          <w:tcPr>
            <w:tcW w:w="5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515"/>
              <w:spacing w:after="0" w:line="156" w:lineRule="exact"/>
              <w:rPr>
                <w:sz w:val="20"/>
                <w:szCs w:val="20"/>
                <w:color w:val="auto"/>
              </w:rPr>
            </w:pPr>
            <w:r>
              <w:rPr>
                <w:rFonts w:ascii="Arial" w:cs="Arial" w:eastAsia="Arial" w:hAnsi="Arial"/>
                <w:sz w:val="17"/>
                <w:szCs w:val="17"/>
                <w:b w:val="1"/>
                <w:bCs w:val="1"/>
                <w:color w:val="auto"/>
                <w:w w:val="99"/>
              </w:rPr>
              <w:t>May 2,</w:t>
            </w:r>
          </w:p>
        </w:tc>
      </w:tr>
      <w:tr>
        <w:trPr>
          <w:trHeight w:val="215"/>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0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2020</w:t>
            </w:r>
          </w:p>
        </w:tc>
      </w:tr>
      <w:tr>
        <w:trPr>
          <w:trHeight w:val="183"/>
        </w:trPr>
        <w:tc>
          <w:tcPr>
            <w:tcW w:w="33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Corporate expense</w:t>
            </w:r>
          </w:p>
        </w:tc>
        <w:tc>
          <w:tcPr>
            <w:tcW w:w="3060" w:type="dxa"/>
            <w:vAlign w:val="bottom"/>
            <w:shd w:val="clear" w:color="auto" w:fill="CCEEFF"/>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29</w:t>
            </w:r>
          </w:p>
        </w:tc>
        <w:tc>
          <w:tcPr>
            <w:tcW w:w="4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10</w:t>
            </w:r>
          </w:p>
        </w:tc>
      </w:tr>
      <w:tr>
        <w:trPr>
          <w:trHeight w:val="189"/>
        </w:trPr>
        <w:tc>
          <w:tcPr>
            <w:tcW w:w="3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 Change</w:t>
            </w:r>
          </w:p>
        </w:tc>
        <w:tc>
          <w:tcPr>
            <w:tcW w:w="3060" w:type="dxa"/>
            <w:vAlign w:val="bottom"/>
            <w:tcBorders>
              <w:bottom w:val="single" w:sz="8" w:color="auto"/>
            </w:tcBorders>
          </w:tcPr>
          <w:p>
            <w:pPr>
              <w:jc w:val="right"/>
              <w:ind w:right="103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19</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 Depreciation and amortization included in corporate expense was $7 million and $5 million for the thirteen weeks ended May 1, 2021 and May 2, 2020, respectively.</w:t>
      </w:r>
    </w:p>
    <w:p>
      <w:pPr>
        <w:spacing w:after="0" w:line="200" w:lineRule="exact"/>
        <w:rPr>
          <w:sz w:val="20"/>
          <w:szCs w:val="20"/>
          <w:color w:val="auto"/>
        </w:rPr>
      </w:pPr>
    </w:p>
    <w:p>
      <w:pPr>
        <w:spacing w:after="0" w:line="21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allocation of corporate expense to the operating divisions is adjusted annually based upon an internal study; accordingly, the allocation increased by $5 million in 2021, thus reducing corporate expense. Excluding the corporate allocation change, corporate expense increased by $24 million as compared with the prior-year period. This increase was primarily due to higher incentive compensation expense.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Results</w:t>
      </w:r>
    </w:p>
    <w:p>
      <w:pPr>
        <w:spacing w:after="0" w:line="218"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62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tcPr>
          <w:p>
            <w:pPr>
              <w:jc w:val="center"/>
              <w:ind w:left="1915"/>
              <w:spacing w:after="0" w:line="156" w:lineRule="exact"/>
              <w:rPr>
                <w:sz w:val="20"/>
                <w:szCs w:val="20"/>
                <w:color w:val="auto"/>
              </w:rPr>
            </w:pPr>
            <w:r>
              <w:rPr>
                <w:rFonts w:ascii="Arial" w:cs="Arial" w:eastAsia="Arial" w:hAnsi="Arial"/>
                <w:sz w:val="17"/>
                <w:szCs w:val="17"/>
                <w:b w:val="1"/>
                <w:bCs w:val="1"/>
                <w:color w:val="auto"/>
                <w:w w:val="99"/>
              </w:rPr>
              <w:t>May 1,</w:t>
            </w: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735"/>
              <w:spacing w:after="0" w:line="156" w:lineRule="exact"/>
              <w:rPr>
                <w:sz w:val="20"/>
                <w:szCs w:val="20"/>
                <w:color w:val="auto"/>
              </w:rPr>
            </w:pPr>
            <w:r>
              <w:rPr>
                <w:rFonts w:ascii="Arial" w:cs="Arial" w:eastAsia="Arial" w:hAnsi="Arial"/>
                <w:sz w:val="17"/>
                <w:szCs w:val="17"/>
                <w:b w:val="1"/>
                <w:bCs w:val="1"/>
                <w:color w:val="auto"/>
              </w:rPr>
              <w:t>May 2,</w:t>
            </w:r>
          </w:p>
        </w:tc>
      </w:tr>
      <w:tr>
        <w:trPr>
          <w:trHeight w:val="215"/>
        </w:trPr>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3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Division profit (loss)</w:t>
            </w:r>
          </w:p>
        </w:tc>
        <w:tc>
          <w:tcPr>
            <w:tcW w:w="2680" w:type="dxa"/>
            <w:vAlign w:val="bottom"/>
            <w:shd w:val="clear" w:color="auto" w:fill="CCEEFF"/>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315</w:t>
            </w:r>
          </w:p>
        </w:tc>
        <w:tc>
          <w:tcPr>
            <w:tcW w:w="3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(79)</w:t>
            </w:r>
          </w:p>
        </w:tc>
      </w:tr>
      <w:tr>
        <w:trPr>
          <w:trHeight w:val="189"/>
        </w:trPr>
        <w:tc>
          <w:tcPr>
            <w:tcW w:w="36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Division profit (loss) margin</w:t>
            </w:r>
          </w:p>
        </w:tc>
        <w:tc>
          <w:tcPr>
            <w:tcW w:w="2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14.6 %</w:t>
            </w: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(6.7)%</w:t>
            </w: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Division profit margin as a percentage of sales increased to 14.6 percent of sales for the thirteen weeks ended May 1, 2021, with both sales channels generating significant improvements in both gross margin and expense leverage. The results for prior year were negatively affected by the pandemic.</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218"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360" w:type="dxa"/>
            <w:vAlign w:val="bottom"/>
            <w:tcBorders>
              <w:top w:val="single" w:sz="8" w:color="auto"/>
            </w:tcBorders>
          </w:tcPr>
          <w:p>
            <w:pPr>
              <w:spacing w:after="0"/>
              <w:rPr>
                <w:sz w:val="13"/>
                <w:szCs w:val="13"/>
                <w:color w:val="auto"/>
              </w:rPr>
            </w:pPr>
          </w:p>
        </w:tc>
        <w:tc>
          <w:tcPr>
            <w:tcW w:w="3000" w:type="dxa"/>
            <w:vAlign w:val="bottom"/>
            <w:tcBorders>
              <w:top w:val="single" w:sz="8" w:color="auto"/>
            </w:tcBorders>
          </w:tcPr>
          <w:p>
            <w:pPr>
              <w:jc w:val="right"/>
              <w:ind w:right="75"/>
              <w:spacing w:after="0" w:line="156" w:lineRule="exact"/>
              <w:rPr>
                <w:sz w:val="20"/>
                <w:szCs w:val="20"/>
                <w:color w:val="auto"/>
              </w:rPr>
            </w:pPr>
            <w:r>
              <w:rPr>
                <w:rFonts w:ascii="Arial" w:cs="Arial" w:eastAsia="Arial" w:hAnsi="Arial"/>
                <w:sz w:val="17"/>
                <w:szCs w:val="17"/>
                <w:b w:val="1"/>
                <w:bCs w:val="1"/>
                <w:color w:val="auto"/>
              </w:rPr>
              <w:t>May 1,</w:t>
            </w:r>
          </w:p>
        </w:tc>
        <w:tc>
          <w:tcPr>
            <w:tcW w:w="5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755"/>
              <w:spacing w:after="0" w:line="156" w:lineRule="exact"/>
              <w:rPr>
                <w:sz w:val="20"/>
                <w:szCs w:val="20"/>
                <w:color w:val="auto"/>
              </w:rPr>
            </w:pPr>
            <w:r>
              <w:rPr>
                <w:rFonts w:ascii="Arial" w:cs="Arial" w:eastAsia="Arial" w:hAnsi="Arial"/>
                <w:sz w:val="17"/>
                <w:szCs w:val="17"/>
                <w:b w:val="1"/>
                <w:bCs w:val="1"/>
                <w:color w:val="auto"/>
              </w:rPr>
              <w:t>May 2,</w:t>
            </w:r>
          </w:p>
        </w:tc>
      </w:tr>
      <w:tr>
        <w:trPr>
          <w:trHeight w:val="215"/>
        </w:trPr>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30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3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Interest expense</w:t>
            </w:r>
          </w:p>
        </w:tc>
        <w:tc>
          <w:tcPr>
            <w:tcW w:w="3000" w:type="dxa"/>
            <w:vAlign w:val="bottom"/>
            <w:shd w:val="clear" w:color="auto" w:fill="CCEEFF"/>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w:t>
            </w:r>
          </w:p>
        </w:tc>
        <w:tc>
          <w:tcPr>
            <w:tcW w:w="4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(3)</w:t>
            </w:r>
          </w:p>
        </w:tc>
      </w:tr>
      <w:tr>
        <w:trPr>
          <w:trHeight w:val="189"/>
        </w:trPr>
        <w:tc>
          <w:tcPr>
            <w:tcW w:w="33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3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w:t>
            </w: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5"/>
              <w:spacing w:after="0" w:line="189" w:lineRule="exact"/>
              <w:rPr>
                <w:sz w:val="20"/>
                <w:szCs w:val="20"/>
                <w:color w:val="auto"/>
              </w:rPr>
            </w:pPr>
            <w:r>
              <w:rPr>
                <w:rFonts w:ascii="Arial" w:cs="Arial" w:eastAsia="Arial" w:hAnsi="Arial"/>
                <w:sz w:val="17"/>
                <w:szCs w:val="17"/>
                <w:color w:val="auto"/>
              </w:rPr>
              <w:t>2</w:t>
            </w:r>
          </w:p>
        </w:tc>
      </w:tr>
      <w:tr>
        <w:trPr>
          <w:trHeight w:val="183"/>
        </w:trPr>
        <w:tc>
          <w:tcPr>
            <w:tcW w:w="33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expense, net</w:t>
            </w:r>
          </w:p>
        </w:tc>
        <w:tc>
          <w:tcPr>
            <w:tcW w:w="3000" w:type="dxa"/>
            <w:vAlign w:val="bottom"/>
            <w:tcBorders>
              <w:bottom w:val="single" w:sz="8" w:color="auto"/>
            </w:tcBorders>
            <w:shd w:val="clear" w:color="auto" w:fill="CCEEFF"/>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w:t>
            </w:r>
          </w:p>
        </w:tc>
        <w:tc>
          <w:tcPr>
            <w:tcW w:w="46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(1)</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recorded $2 million of net interest expense for the thirteen weeks ended May 1, 2021, as compared with net interest expense of $ 1 million for the corresponding prior-year period. Net interest expense increased due to a reduction in interest income, primarily as a result of lower average interest rates on our cash and cash equivalents.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Income, Net</w:t>
      </w:r>
    </w:p>
    <w:p>
      <w:pPr>
        <w:spacing w:after="0" w:line="218"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260" w:type="dxa"/>
            <w:vAlign w:val="bottom"/>
            <w:tcBorders>
              <w:top w:val="single" w:sz="8" w:color="auto"/>
            </w:tcBorders>
          </w:tcPr>
          <w:p>
            <w:pPr>
              <w:spacing w:after="0"/>
              <w:rPr>
                <w:sz w:val="13"/>
                <w:szCs w:val="13"/>
                <w:color w:val="auto"/>
              </w:rPr>
            </w:pPr>
          </w:p>
        </w:tc>
        <w:tc>
          <w:tcPr>
            <w:tcW w:w="2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335"/>
              <w:spacing w:after="0" w:line="156" w:lineRule="exact"/>
              <w:rPr>
                <w:sz w:val="20"/>
                <w:szCs w:val="20"/>
                <w:color w:val="auto"/>
              </w:rPr>
            </w:pPr>
            <w:r>
              <w:rPr>
                <w:rFonts w:ascii="Arial" w:cs="Arial" w:eastAsia="Arial" w:hAnsi="Arial"/>
                <w:sz w:val="17"/>
                <w:szCs w:val="17"/>
                <w:b w:val="1"/>
                <w:bCs w:val="1"/>
                <w:color w:val="auto"/>
                <w:w w:val="99"/>
              </w:rPr>
              <w:t>May 1,</w:t>
            </w:r>
          </w:p>
        </w:tc>
        <w:tc>
          <w:tcPr>
            <w:tcW w:w="4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475"/>
              <w:spacing w:after="0" w:line="156" w:lineRule="exact"/>
              <w:rPr>
                <w:sz w:val="20"/>
                <w:szCs w:val="20"/>
                <w:color w:val="auto"/>
              </w:rPr>
            </w:pPr>
            <w:r>
              <w:rPr>
                <w:rFonts w:ascii="Arial" w:cs="Arial" w:eastAsia="Arial" w:hAnsi="Arial"/>
                <w:sz w:val="17"/>
                <w:szCs w:val="17"/>
                <w:b w:val="1"/>
                <w:bCs w:val="1"/>
                <w:color w:val="auto"/>
                <w:w w:val="99"/>
              </w:rPr>
              <w:t>May 2,</w:t>
            </w:r>
          </w:p>
        </w:tc>
      </w:tr>
      <w:tr>
        <w:trPr>
          <w:trHeight w:val="215"/>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2020</w:t>
            </w:r>
          </w:p>
        </w:tc>
      </w:tr>
      <w:tr>
        <w:trPr>
          <w:trHeight w:val="183"/>
        </w:trPr>
        <w:tc>
          <w:tcPr>
            <w:tcW w:w="32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Other income, net</w:t>
            </w:r>
          </w:p>
        </w:tc>
        <w:tc>
          <w:tcPr>
            <w:tcW w:w="222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w:t>
            </w:r>
          </w:p>
        </w:tc>
        <w:tc>
          <w:tcPr>
            <w:tcW w:w="48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1</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Other income includes non-operating items, including franchise royalty income, changes in fair value of minority interests measured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change in other income primarily represented higher franchise income and an improvement in our market value of our available-for-sale security.</w:t>
      </w: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31"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358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tcPr>
          <w:p>
            <w:pPr>
              <w:jc w:val="center"/>
              <w:ind w:left="1955"/>
              <w:spacing w:after="0" w:line="184" w:lineRule="exact"/>
              <w:rPr>
                <w:sz w:val="20"/>
                <w:szCs w:val="20"/>
                <w:color w:val="auto"/>
              </w:rPr>
            </w:pPr>
            <w:r>
              <w:rPr>
                <w:rFonts w:ascii="Arial" w:cs="Arial" w:eastAsia="Arial" w:hAnsi="Arial"/>
                <w:sz w:val="17"/>
                <w:szCs w:val="17"/>
                <w:b w:val="1"/>
                <w:bCs w:val="1"/>
                <w:color w:val="auto"/>
              </w:rPr>
              <w:t>May 1,</w:t>
            </w:r>
          </w:p>
        </w:tc>
        <w:tc>
          <w:tcPr>
            <w:tcW w:w="6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35"/>
              <w:spacing w:after="0" w:line="184" w:lineRule="exact"/>
              <w:rPr>
                <w:sz w:val="20"/>
                <w:szCs w:val="20"/>
                <w:color w:val="auto"/>
              </w:rPr>
            </w:pPr>
            <w:r>
              <w:rPr>
                <w:rFonts w:ascii="Arial" w:cs="Arial" w:eastAsia="Arial" w:hAnsi="Arial"/>
                <w:sz w:val="17"/>
                <w:szCs w:val="17"/>
                <w:b w:val="1"/>
                <w:bCs w:val="1"/>
                <w:color w:val="auto"/>
              </w:rPr>
              <w:t>May 2,</w:t>
            </w:r>
          </w:p>
        </w:tc>
      </w:tr>
      <w:tr>
        <w:trPr>
          <w:trHeight w:val="215"/>
        </w:trPr>
        <w:tc>
          <w:tcPr>
            <w:tcW w:w="3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7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96"/>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700" w:type="dxa"/>
            <w:vAlign w:val="bottom"/>
            <w:shd w:val="clear" w:color="auto" w:fill="CCEEFF"/>
          </w:tcPr>
          <w:p>
            <w:pPr>
              <w:jc w:val="right"/>
              <w:ind w:right="955"/>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82</w:t>
            </w:r>
          </w:p>
        </w:tc>
        <w:tc>
          <w:tcPr>
            <w:tcW w:w="3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5</w:t>
            </w:r>
          </w:p>
        </w:tc>
      </w:tr>
      <w:tr>
        <w:trPr>
          <w:trHeight w:val="203"/>
        </w:trPr>
        <w:tc>
          <w:tcPr>
            <w:tcW w:w="3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Effective tax rate</w:t>
            </w:r>
          </w:p>
        </w:tc>
        <w:tc>
          <w:tcPr>
            <w:tcW w:w="27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28.8 %</w:t>
            </w: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(4.9)%</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current year interim provision for income taxes was measured using an estimated annual effective tax rate, which represented a blend of federal, state, and foreign taxes and included the effect of certain nondeductible items as well as changes in our mix of domestic and foreign earnings or losses, adjusted for discrete items that occur within the periods presented.</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the first quarter of 2020, in accordance with the authoritative guidance, we used a discrete effective tax rate method to calculate income taxes because small changes in the estimated level and mix of annual income or loss by jurisdiction would have resulted in significant changes in the estimated annual effective tax rate making the historical method unreliable.</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regularly assess the adequacy of our provisions for income tax contingencies in accordance with applicable authoritative guidance on accounting for income taxes. As a result, we may adjust the reserves for unrecognized tax benefits considering new facts and developments, such as changes to interpretations of relevant tax law, assessments from taxing authorities, settlements with taxing authorities, and lapses of statutes of limitation. The changes in tax reserves were not significant for any of the periods presented.</w:t>
      </w:r>
    </w:p>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During the thirteen weeks ended May 1, 2021, we recorded $1 million excess tax benefits from stock-based compensation.</w:t>
      </w:r>
    </w:p>
    <w:p>
      <w:pPr>
        <w:spacing w:after="0" w:line="19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tax rate for the prior-year period was negatively affected by a $27 million tax charge related to the revaluation of certain intellectual property rights pursuant to a non-U.S. advance pricing agreement. In addition, we recognized a $2 million tax benefit for the reversal of a withholding tax accrual that was no longer required.</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Excluding the above-mentioned discrete items, the effective tax rates for the thirteen weeks ended May 1, 2021 increased, as compared with the corresponding prior-year period, primarily due to the change in the mix of domestic and foreign earnings and losses.</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7"/>
          <w:szCs w:val="17"/>
          <w:color w:val="auto"/>
        </w:rPr>
        <w:t>We currently expect our full-year tax rate to approximate 29 percent excluding the effect of any nonrecurring items that may occur. The actual tax rate will vary depending on the level and mix of income earned in the various jurisdictions.</w:t>
      </w:r>
    </w:p>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generally finance real estate with operating leases. We believe our cash, cash equivalents, future cash flow from operations, and amounts available under our credit agreement will be adequate to fund these requirements.</w:t>
      </w:r>
    </w:p>
    <w:p>
      <w:pPr>
        <w:spacing w:after="0" w:line="200" w:lineRule="exact"/>
        <w:rPr>
          <w:sz w:val="20"/>
          <w:szCs w:val="20"/>
          <w:color w:val="auto"/>
        </w:rPr>
      </w:pPr>
    </w:p>
    <w:p>
      <w:pPr>
        <w:spacing w:after="0" w:line="22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The Company may also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 </w:t>
      </w:r>
      <w:r>
        <w:rPr>
          <w:rFonts w:ascii="Arial" w:cs="Arial" w:eastAsia="Arial" w:hAnsi="Arial"/>
          <w:sz w:val="17"/>
          <w:szCs w:val="17"/>
          <w:color w:val="auto"/>
        </w:rPr>
        <w:t>As of May 1, 2021, approximately</w:t>
      </w:r>
      <w:r>
        <w:rPr>
          <w:rFonts w:ascii="Arial" w:cs="Arial" w:eastAsia="Arial" w:hAnsi="Arial"/>
          <w:sz w:val="18"/>
          <w:szCs w:val="18"/>
          <w:color w:val="auto"/>
        </w:rPr>
        <w:t xml:space="preserve"> </w:t>
      </w:r>
      <w:r>
        <w:rPr>
          <w:rFonts w:ascii="Arial" w:cs="Arial" w:eastAsia="Arial" w:hAnsi="Arial"/>
          <w:sz w:val="17"/>
          <w:szCs w:val="17"/>
          <w:color w:val="auto"/>
        </w:rPr>
        <w:t>$797 million remained available under our current $1.2 billion share repurchase program.</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January 2022, we will repay the $98 million principal outstanding of our 8.5 percent debentures.</w:t>
      </w:r>
    </w:p>
    <w:p>
      <w:pPr>
        <w:spacing w:after="0" w:line="21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retail locations and websites,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continued uncertainties caused by the COVID-19 pandemic, as well as other factors listed under the headings “Disclosure Regarding Forward-Looking Statements,” and “Risk Factors” could affect our ability to continue to fund our needs from business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18"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446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1,</w:t>
            </w:r>
          </w:p>
        </w:tc>
        <w:tc>
          <w:tcPr>
            <w:tcW w:w="5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515"/>
              <w:spacing w:after="0" w:line="156" w:lineRule="exact"/>
              <w:rPr>
                <w:sz w:val="20"/>
                <w:szCs w:val="20"/>
                <w:color w:val="auto"/>
              </w:rPr>
            </w:pPr>
            <w:r>
              <w:rPr>
                <w:rFonts w:ascii="Arial" w:cs="Arial" w:eastAsia="Arial" w:hAnsi="Arial"/>
                <w:sz w:val="17"/>
                <w:szCs w:val="17"/>
                <w:b w:val="1"/>
                <w:bCs w:val="1"/>
                <w:color w:val="auto"/>
                <w:w w:val="99"/>
              </w:rPr>
              <w:t>May 2,</w:t>
            </w:r>
          </w:p>
        </w:tc>
      </w:tr>
      <w:tr>
        <w:trPr>
          <w:trHeight w:val="215"/>
        </w:trPr>
        <w:tc>
          <w:tcPr>
            <w:tcW w:w="4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4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(used in) operating activities</w:t>
            </w:r>
          </w:p>
        </w:tc>
        <w:tc>
          <w:tcPr>
            <w:tcW w:w="1840" w:type="dxa"/>
            <w:vAlign w:val="bottom"/>
            <w:shd w:val="clear" w:color="auto" w:fill="CCEEFF"/>
          </w:tcPr>
          <w:p>
            <w:pPr>
              <w:jc w:val="right"/>
              <w:ind w:right="975"/>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398</w:t>
            </w:r>
          </w:p>
        </w:tc>
        <w:tc>
          <w:tcPr>
            <w:tcW w:w="4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(116)</w:t>
            </w:r>
          </w:p>
        </w:tc>
      </w:tr>
      <w:tr>
        <w:trPr>
          <w:trHeight w:val="189"/>
        </w:trPr>
        <w:tc>
          <w:tcPr>
            <w:tcW w:w="4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1840" w:type="dxa"/>
            <w:vAlign w:val="bottom"/>
            <w:tcBorders>
              <w:bottom w:val="single" w:sz="8" w:color="auto"/>
            </w:tcBorders>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514</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Operating activities reflects net income (loss) adjusted for non-cash items and working capital changes. Adjustments to net income (loss) for non-cash items include gains, impairment charges, other charges, depreciation and amortization, deferred income taxes, and share-based compensation expense.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increase in cash provided by operating activities, as compared with the same period last year, reflected higher accounts payable and accrued and other liabilities, as well as higher net income. As of May 1, 2021, we have withheld approximately $32 million of lease and lease-related payments as we continue to negotiate rent deferrals or abatements with our landlords for the period that our stores were closed due to the COVID-19 pandemic.</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During the fourth quarter of 2020, we were notified by our property insurance carrier that it had approved a $10 million partial settlement on our claim for losses sustained in connection with the social unrest of 2020. The cash received during the first quarter of 2021 from this partial settlement was classified in the statement of cash flows on the basis of the related insurance coverage. Accordingly, $8 million was related to inventory and was therefore classified in operating activities. The balance of $2 million was related to losses sustained on our property and equipment and was classified in investing activities. We are continuing to work with our insurers to determine the remaining amount of our covered losses under our property insurance policies. Additional insurance recoveries will be recorded in the period in which we conclude our settlement discussions with our insurance providers.</w:t>
      </w: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18"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98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May 1,</w:t>
            </w:r>
          </w:p>
        </w:tc>
        <w:tc>
          <w:tcPr>
            <w:tcW w:w="5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515"/>
              <w:spacing w:after="0" w:line="156" w:lineRule="exact"/>
              <w:rPr>
                <w:sz w:val="20"/>
                <w:szCs w:val="20"/>
                <w:color w:val="auto"/>
              </w:rPr>
            </w:pPr>
            <w:r>
              <w:rPr>
                <w:rFonts w:ascii="Arial" w:cs="Arial" w:eastAsia="Arial" w:hAnsi="Arial"/>
                <w:sz w:val="17"/>
                <w:szCs w:val="17"/>
                <w:b w:val="1"/>
                <w:bCs w:val="1"/>
                <w:color w:val="auto"/>
                <w:w w:val="99"/>
              </w:rPr>
              <w:t>May 2,</w:t>
            </w:r>
          </w:p>
        </w:tc>
      </w:tr>
      <w:tr>
        <w:trPr>
          <w:trHeight w:val="215"/>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3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2340" w:type="dxa"/>
            <w:vAlign w:val="bottom"/>
            <w:shd w:val="clear" w:color="auto" w:fill="CCEEFF"/>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(54)</w:t>
            </w:r>
          </w:p>
        </w:tc>
        <w:tc>
          <w:tcPr>
            <w:tcW w:w="4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(58)</w:t>
            </w:r>
          </w:p>
        </w:tc>
      </w:tr>
      <w:tr>
        <w:trPr>
          <w:trHeight w:val="189"/>
        </w:trPr>
        <w:tc>
          <w:tcPr>
            <w:tcW w:w="39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340" w:type="dxa"/>
            <w:vAlign w:val="bottom"/>
            <w:tcBorders>
              <w:bottom w:val="single" w:sz="8" w:color="auto"/>
            </w:tcBorders>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4</w:t>
            </w: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 the thirteen weeks ended May 1, 2021, capital expenditures decreased by $1 million to $51 million, as compared with the corresponding prior-year period. Our full-year capital spending is expected to be $275 million. The revised forecast includes $180 million related to the remodeling or relocation of approximately 120 existing stores and the opening of approximately 160 new stores, as well as $95 million for the development of information systems, websites, and infrastructure, including supply chain initiatives. The capital expenditures forecast includes the anticipated costs related to the conversion of the Footaction stores to our other banners, although the timing of these expenditures is being evaluated. Cash used in investing activities for the first quarter included $8 million in minority investments as compared with $6 million spent in the corresponding prior-year period.</w:t>
      </w:r>
    </w:p>
    <w:p>
      <w:pPr>
        <w:spacing w:after="0" w:line="20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In connection with the shutdown of the Runners Point banner completed last year, during the first quarter of 2021 we sold the former headquarters resulting in proceeds of $3 million.</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As noted above, related to our insurance claim from the social unrest in 2020, we recorded proceeds of $2 million related to property and equipment loss.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18"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44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1,</w:t>
            </w:r>
          </w:p>
        </w:tc>
        <w:tc>
          <w:tcPr>
            <w:tcW w:w="6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515"/>
              <w:spacing w:after="0" w:line="156" w:lineRule="exact"/>
              <w:rPr>
                <w:sz w:val="20"/>
                <w:szCs w:val="20"/>
                <w:color w:val="auto"/>
              </w:rPr>
            </w:pPr>
            <w:r>
              <w:rPr>
                <w:rFonts w:ascii="Arial" w:cs="Arial" w:eastAsia="Arial" w:hAnsi="Arial"/>
                <w:sz w:val="17"/>
                <w:szCs w:val="17"/>
                <w:b w:val="1"/>
                <w:bCs w:val="1"/>
                <w:color w:val="auto"/>
                <w:w w:val="99"/>
              </w:rPr>
              <w:t>May 2,</w:t>
            </w:r>
          </w:p>
        </w:tc>
      </w:tr>
      <w:tr>
        <w:trPr>
          <w:trHeight w:val="215"/>
        </w:trPr>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4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provided by financing activities</w:t>
            </w:r>
          </w:p>
        </w:tc>
        <w:tc>
          <w:tcPr>
            <w:tcW w:w="1840" w:type="dxa"/>
            <w:vAlign w:val="bottom"/>
            <w:shd w:val="clear" w:color="auto" w:fill="CCEEFF"/>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(61)</w:t>
            </w:r>
          </w:p>
        </w:tc>
        <w:tc>
          <w:tcPr>
            <w:tcW w:w="4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288</w:t>
            </w:r>
          </w:p>
        </w:tc>
      </w:tr>
      <w:tr>
        <w:trPr>
          <w:trHeight w:val="189"/>
        </w:trPr>
        <w:tc>
          <w:tcPr>
            <w:tcW w:w="44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1840" w:type="dxa"/>
            <w:vAlign w:val="bottom"/>
            <w:tcBorders>
              <w:bottom w:val="single" w:sz="8" w:color="auto"/>
            </w:tcBorders>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(349)</w:t>
            </w: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Cash used in financing activities consisted primarily of our return to shareholders initiatives, including our share repurchase program and cash dividends, as follows:</w:t>
      </w:r>
    </w:p>
    <w:p>
      <w:pPr>
        <w:spacing w:after="0" w:line="198"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84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tcPr>
          <w:p>
            <w:pPr>
              <w:jc w:val="right"/>
              <w:ind w:right="75"/>
              <w:spacing w:after="0" w:line="156" w:lineRule="exact"/>
              <w:rPr>
                <w:sz w:val="20"/>
                <w:szCs w:val="20"/>
                <w:color w:val="auto"/>
              </w:rPr>
            </w:pPr>
            <w:r>
              <w:rPr>
                <w:rFonts w:ascii="Arial" w:cs="Arial" w:eastAsia="Arial" w:hAnsi="Arial"/>
                <w:sz w:val="17"/>
                <w:szCs w:val="17"/>
                <w:b w:val="1"/>
                <w:bCs w:val="1"/>
                <w:color w:val="auto"/>
              </w:rPr>
              <w:t>May 1,</w:t>
            </w:r>
          </w:p>
        </w:tc>
        <w:tc>
          <w:tcPr>
            <w:tcW w:w="4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715"/>
              <w:spacing w:after="0" w:line="156" w:lineRule="exact"/>
              <w:rPr>
                <w:sz w:val="20"/>
                <w:szCs w:val="20"/>
                <w:color w:val="auto"/>
              </w:rPr>
            </w:pPr>
            <w:r>
              <w:rPr>
                <w:rFonts w:ascii="Arial" w:cs="Arial" w:eastAsia="Arial" w:hAnsi="Arial"/>
                <w:sz w:val="17"/>
                <w:szCs w:val="17"/>
                <w:b w:val="1"/>
                <w:bCs w:val="1"/>
                <w:color w:val="auto"/>
              </w:rPr>
              <w:t>May 2,</w:t>
            </w:r>
          </w:p>
        </w:tc>
      </w:tr>
      <w:tr>
        <w:trPr>
          <w:trHeight w:val="215"/>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5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2020</w:t>
            </w:r>
          </w:p>
        </w:tc>
      </w:tr>
      <w:tr>
        <w:trPr>
          <w:trHeight w:val="183"/>
        </w:trPr>
        <w:tc>
          <w:tcPr>
            <w:tcW w:w="38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Share repurchases</w:t>
            </w:r>
          </w:p>
        </w:tc>
        <w:tc>
          <w:tcPr>
            <w:tcW w:w="2540" w:type="dxa"/>
            <w:vAlign w:val="bottom"/>
            <w:shd w:val="clear" w:color="auto" w:fill="CCEEFF"/>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34</w:t>
            </w:r>
          </w:p>
        </w:tc>
        <w:tc>
          <w:tcPr>
            <w:tcW w:w="4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w:t>
            </w:r>
          </w:p>
        </w:tc>
      </w:tr>
      <w:tr>
        <w:trPr>
          <w:trHeight w:val="189"/>
        </w:trPr>
        <w:tc>
          <w:tcPr>
            <w:tcW w:w="38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Dividends paid on common stock</w:t>
            </w:r>
          </w:p>
        </w:tc>
        <w:tc>
          <w:tcPr>
            <w:tcW w:w="25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21</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5"/>
              <w:spacing w:after="0" w:line="189" w:lineRule="exact"/>
              <w:rPr>
                <w:sz w:val="20"/>
                <w:szCs w:val="20"/>
                <w:color w:val="auto"/>
              </w:rPr>
            </w:pPr>
            <w:r>
              <w:rPr>
                <w:rFonts w:ascii="Arial" w:cs="Arial" w:eastAsia="Arial" w:hAnsi="Arial"/>
                <w:sz w:val="17"/>
                <w:szCs w:val="17"/>
                <w:color w:val="auto"/>
              </w:rPr>
              <w:t>42</w:t>
            </w:r>
          </w:p>
        </w:tc>
      </w:tr>
      <w:tr>
        <w:trPr>
          <w:trHeight w:val="183"/>
        </w:trPr>
        <w:tc>
          <w:tcPr>
            <w:tcW w:w="38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returned to shareholders</w:t>
            </w:r>
          </w:p>
        </w:tc>
        <w:tc>
          <w:tcPr>
            <w:tcW w:w="2540" w:type="dxa"/>
            <w:vAlign w:val="bottom"/>
            <w:tcBorders>
              <w:bottom w:val="single" w:sz="8" w:color="auto"/>
            </w:tcBorders>
            <w:shd w:val="clear" w:color="auto" w:fill="CCEEFF"/>
          </w:tcPr>
          <w:p>
            <w:pPr>
              <w:jc w:val="right"/>
              <w:ind w:right="1035"/>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55</w:t>
            </w:r>
          </w:p>
        </w:tc>
        <w:tc>
          <w:tcPr>
            <w:tcW w:w="48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42</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thirteen weeks ended May 1, 2021, we repurchased 620,544 shares of common stock for $34 million under our share repurchase program. We also declared and paid dividends representing quarterly rates of $0.20 and $0.40 per share for the thirteen weeks ended May 1, 2021 and May 2, 2020, respectively.</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paid $ 10 million to satisfy tax withholding obligations relating to the vesting of share-based equity awards during the thirteen weeks ended May 1, 2021. Partially offsetting this amount were proceeds received from the issuance of common stock in connection with employee stock programs of $4 million.</w:t>
      </w:r>
    </w:p>
    <w:p>
      <w:pPr>
        <w:spacing w:after="0" w:line="19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In the first quarter of 2020, we borrowed $330 million of our then-existing revolving credit facility, which was repaid in full during the second quarter of 2020.</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January 30,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currently migrating our e-commerce order management system. All North American e-commerce apps and certain European countries were live on the new system as of May 1, 2021. In connection with this implementation and resulting business process changes, we may make changes to the design and operation of our internal control over financial reporting.</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the quarter ended May 1, 2021, there were no changes in the Company’s internal control over financial reporting, other than the implementation of the new e-commerce order management system (as defined in Rules 13a-15(f) of the Exchange Act), that materially affected or are reasonably likely to affect the Company’s internal control over financial reporting.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16"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 in Part I.</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2020 Annual Report on Form 10-K filed with the SEC on March 25, 2021 should be considered as they could materially affect our business, financial condition, or future results.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have not been any significant changes with respect to the risks described in our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34"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table below provides information with respect to shares of the Company’s common stock for the thirteen weeks ended May 1, 2021:</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99"/>
              </w:rPr>
              <w:t>Total Number of</w:t>
            </w:r>
          </w:p>
        </w:tc>
        <w:tc>
          <w:tcPr>
            <w:tcW w:w="220" w:type="dxa"/>
            <w:vAlign w:val="bottom"/>
          </w:tcPr>
          <w:p>
            <w:pPr>
              <w:spacing w:after="0"/>
              <w:rPr>
                <w:sz w:val="16"/>
                <w:szCs w:val="16"/>
                <w:color w:val="auto"/>
              </w:rPr>
            </w:pPr>
          </w:p>
        </w:tc>
        <w:tc>
          <w:tcPr>
            <w:tcW w:w="1320" w:type="dxa"/>
            <w:vAlign w:val="bottom"/>
          </w:tcPr>
          <w:p>
            <w:pPr>
              <w:jc w:val="center"/>
              <w:ind w:right="15"/>
              <w:spacing w:after="0"/>
              <w:rPr>
                <w:sz w:val="20"/>
                <w:szCs w:val="20"/>
                <w:color w:val="auto"/>
              </w:rPr>
            </w:pPr>
            <w:r>
              <w:rPr>
                <w:rFonts w:ascii="Arial" w:cs="Arial" w:eastAsia="Arial" w:hAnsi="Arial"/>
                <w:sz w:val="17"/>
                <w:szCs w:val="17"/>
                <w:b w:val="1"/>
                <w:bCs w:val="1"/>
                <w:color w:val="auto"/>
                <w:w w:val="99"/>
              </w:rPr>
              <w:t>Dollar Value of</w:t>
            </w:r>
          </w:p>
        </w:tc>
      </w:tr>
      <w:tr>
        <w:trPr>
          <w:trHeight w:val="189"/>
        </w:trPr>
        <w:tc>
          <w:tcPr>
            <w:tcW w:w="2920" w:type="dxa"/>
            <w:vAlign w:val="bottom"/>
          </w:tcPr>
          <w:p>
            <w:pPr>
              <w:spacing w:after="0"/>
              <w:rPr>
                <w:sz w:val="16"/>
                <w:szCs w:val="16"/>
                <w:color w:val="auto"/>
              </w:rPr>
            </w:pPr>
          </w:p>
        </w:tc>
        <w:tc>
          <w:tcPr>
            <w:tcW w:w="1600" w:type="dxa"/>
            <w:vAlign w:val="bottom"/>
          </w:tcPr>
          <w:p>
            <w:pPr>
              <w:jc w:val="center"/>
              <w:ind w:left="215"/>
              <w:spacing w:after="0" w:line="189" w:lineRule="exact"/>
              <w:rPr>
                <w:sz w:val="20"/>
                <w:szCs w:val="20"/>
                <w:color w:val="auto"/>
              </w:rPr>
            </w:pPr>
            <w:r>
              <w:rPr>
                <w:rFonts w:ascii="Arial" w:cs="Arial" w:eastAsia="Arial" w:hAnsi="Arial"/>
                <w:sz w:val="17"/>
                <w:szCs w:val="17"/>
                <w:b w:val="1"/>
                <w:bCs w:val="1"/>
                <w:color w:val="auto"/>
                <w:w w:val="93"/>
              </w:rPr>
              <w:t>Total</w:t>
            </w:r>
          </w:p>
        </w:tc>
        <w:tc>
          <w:tcPr>
            <w:tcW w:w="90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Average</w:t>
            </w:r>
          </w:p>
        </w:tc>
        <w:tc>
          <w:tcPr>
            <w:tcW w:w="19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Shares Purchased as</w:t>
            </w:r>
          </w:p>
        </w:tc>
        <w:tc>
          <w:tcPr>
            <w:tcW w:w="1540" w:type="dxa"/>
            <w:vAlign w:val="bottom"/>
            <w:gridSpan w:val="2"/>
          </w:tcPr>
          <w:p>
            <w:pPr>
              <w:jc w:val="center"/>
              <w:ind w:left="55"/>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2920" w:type="dxa"/>
            <w:vAlign w:val="bottom"/>
          </w:tcPr>
          <w:p>
            <w:pPr>
              <w:spacing w:after="0"/>
              <w:rPr>
                <w:sz w:val="16"/>
                <w:szCs w:val="16"/>
                <w:color w:val="auto"/>
              </w:rPr>
            </w:pPr>
          </w:p>
        </w:tc>
        <w:tc>
          <w:tcPr>
            <w:tcW w:w="1600" w:type="dxa"/>
            <w:vAlign w:val="bottom"/>
          </w:tcPr>
          <w:p>
            <w:pPr>
              <w:jc w:val="center"/>
              <w:ind w:left="215"/>
              <w:spacing w:after="0" w:line="189" w:lineRule="exact"/>
              <w:rPr>
                <w:sz w:val="20"/>
                <w:szCs w:val="20"/>
                <w:color w:val="auto"/>
              </w:rPr>
            </w:pPr>
            <w:r>
              <w:rPr>
                <w:rFonts w:ascii="Arial" w:cs="Arial" w:eastAsia="Arial" w:hAnsi="Arial"/>
                <w:sz w:val="17"/>
                <w:szCs w:val="17"/>
                <w:b w:val="1"/>
                <w:bCs w:val="1"/>
                <w:color w:val="auto"/>
              </w:rPr>
              <w:t>Number</w:t>
            </w:r>
          </w:p>
        </w:tc>
        <w:tc>
          <w:tcPr>
            <w:tcW w:w="220" w:type="dxa"/>
            <w:vAlign w:val="bottom"/>
          </w:tcPr>
          <w:p>
            <w:pPr>
              <w:spacing w:after="0"/>
              <w:rPr>
                <w:sz w:val="16"/>
                <w:szCs w:val="16"/>
                <w:color w:val="auto"/>
              </w:rPr>
            </w:pPr>
          </w:p>
        </w:tc>
        <w:tc>
          <w:tcPr>
            <w:tcW w:w="68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Price</w:t>
            </w:r>
          </w:p>
        </w:tc>
        <w:tc>
          <w:tcPr>
            <w:tcW w:w="19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1540" w:type="dxa"/>
            <w:vAlign w:val="bottom"/>
            <w:gridSpan w:val="2"/>
          </w:tcPr>
          <w:p>
            <w:pPr>
              <w:jc w:val="center"/>
              <w:ind w:left="35"/>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2920" w:type="dxa"/>
            <w:vAlign w:val="bottom"/>
          </w:tcPr>
          <w:p>
            <w:pPr>
              <w:spacing w:after="0"/>
              <w:rPr>
                <w:sz w:val="16"/>
                <w:szCs w:val="16"/>
                <w:color w:val="auto"/>
              </w:rPr>
            </w:pPr>
          </w:p>
        </w:tc>
        <w:tc>
          <w:tcPr>
            <w:tcW w:w="1600" w:type="dxa"/>
            <w:vAlign w:val="bottom"/>
          </w:tcPr>
          <w:p>
            <w:pPr>
              <w:jc w:val="center"/>
              <w:ind w:left="215"/>
              <w:spacing w:after="0" w:line="189" w:lineRule="exact"/>
              <w:rPr>
                <w:sz w:val="20"/>
                <w:szCs w:val="20"/>
                <w:color w:val="auto"/>
              </w:rPr>
            </w:pPr>
            <w:r>
              <w:rPr>
                <w:rFonts w:ascii="Arial" w:cs="Arial" w:eastAsia="Arial" w:hAnsi="Arial"/>
                <w:sz w:val="17"/>
                <w:szCs w:val="17"/>
                <w:b w:val="1"/>
                <w:bCs w:val="1"/>
                <w:color w:val="auto"/>
              </w:rPr>
              <w:t>of Shares</w:t>
            </w:r>
          </w:p>
        </w:tc>
        <w:tc>
          <w:tcPr>
            <w:tcW w:w="90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Paid Per</w:t>
            </w:r>
          </w:p>
        </w:tc>
        <w:tc>
          <w:tcPr>
            <w:tcW w:w="19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2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 the</w:t>
            </w:r>
          </w:p>
        </w:tc>
      </w:tr>
      <w:tr>
        <w:trPr>
          <w:trHeight w:val="215"/>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Date Purchased</w:t>
            </w:r>
          </w:p>
        </w:tc>
        <w:tc>
          <w:tcPr>
            <w:tcW w:w="1600" w:type="dxa"/>
            <w:vAlign w:val="bottom"/>
            <w:tcBorders>
              <w:bottom w:val="single" w:sz="8" w:color="auto"/>
            </w:tcBorders>
          </w:tcPr>
          <w:p>
            <w:pPr>
              <w:jc w:val="center"/>
              <w:ind w:left="235"/>
              <w:spacing w:after="0" w:line="216"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color w:val="auto"/>
                <w:vertAlign w:val="superscript"/>
              </w:rPr>
              <w:t>(1)</w:t>
            </w:r>
          </w:p>
        </w:tc>
        <w:tc>
          <w:tcPr>
            <w:tcW w:w="900" w:type="dxa"/>
            <w:vAlign w:val="bottom"/>
            <w:tcBorders>
              <w:bottom w:val="single" w:sz="8" w:color="auto"/>
            </w:tcBorders>
            <w:gridSpan w:val="2"/>
          </w:tcPr>
          <w:p>
            <w:pPr>
              <w:ind w:left="100"/>
              <w:spacing w:after="0" w:line="216"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4"/>
                <w:szCs w:val="24"/>
                <w:color w:val="auto"/>
                <w:vertAlign w:val="superscript"/>
              </w:rPr>
              <w:t>(1)</w:t>
            </w:r>
          </w:p>
        </w:tc>
        <w:tc>
          <w:tcPr>
            <w:tcW w:w="19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r>
      <w:tr>
        <w:trPr>
          <w:trHeight w:val="183"/>
        </w:trPr>
        <w:tc>
          <w:tcPr>
            <w:tcW w:w="29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January 31 to February 27, 2021</w:t>
            </w:r>
          </w:p>
        </w:tc>
        <w:tc>
          <w:tcPr>
            <w:tcW w:w="16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830,547,018</w:t>
            </w:r>
          </w:p>
        </w:tc>
      </w:tr>
      <w:tr>
        <w:trPr>
          <w:trHeight w:val="189"/>
        </w:trPr>
        <w:tc>
          <w:tcPr>
            <w:tcW w:w="2920" w:type="dxa"/>
            <w:vAlign w:val="bottom"/>
          </w:tcPr>
          <w:p>
            <w:pPr>
              <w:ind w:left="20"/>
              <w:spacing w:after="0" w:line="189" w:lineRule="exact"/>
              <w:rPr>
                <w:sz w:val="20"/>
                <w:szCs w:val="20"/>
                <w:color w:val="auto"/>
              </w:rPr>
            </w:pPr>
            <w:r>
              <w:rPr>
                <w:rFonts w:ascii="Arial" w:cs="Arial" w:eastAsia="Arial" w:hAnsi="Arial"/>
                <w:sz w:val="17"/>
                <w:szCs w:val="17"/>
                <w:color w:val="auto"/>
              </w:rPr>
              <w:t>February 28 to April 3, 2021</w:t>
            </w:r>
          </w:p>
        </w:tc>
        <w:tc>
          <w:tcPr>
            <w:tcW w:w="16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580,611</w:t>
            </w:r>
          </w:p>
        </w:tc>
        <w:tc>
          <w:tcPr>
            <w:tcW w:w="220" w:type="dxa"/>
            <w:vAlign w:val="bottom"/>
          </w:tcPr>
          <w:p>
            <w:pPr>
              <w:spacing w:after="0"/>
              <w:rPr>
                <w:sz w:val="16"/>
                <w:szCs w:val="16"/>
                <w:color w:val="auto"/>
              </w:rPr>
            </w:pPr>
          </w:p>
        </w:tc>
        <w:tc>
          <w:tcPr>
            <w:tcW w:w="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53.41</w:t>
            </w:r>
          </w:p>
        </w:tc>
        <w:tc>
          <w:tcPr>
            <w:tcW w:w="19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392,716</w:t>
            </w:r>
          </w:p>
        </w:tc>
        <w:tc>
          <w:tcPr>
            <w:tcW w:w="2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809,884,743</w:t>
            </w:r>
          </w:p>
        </w:tc>
      </w:tr>
      <w:tr>
        <w:trPr>
          <w:trHeight w:val="189"/>
        </w:trPr>
        <w:tc>
          <w:tcPr>
            <w:tcW w:w="29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April 4 to May 1, 2021</w:t>
            </w:r>
          </w:p>
        </w:tc>
        <w:tc>
          <w:tcPr>
            <w:tcW w:w="16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231,814</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56.40</w:t>
            </w:r>
          </w:p>
        </w:tc>
        <w:tc>
          <w:tcPr>
            <w:tcW w:w="19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227,828</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797,046,348</w:t>
            </w:r>
          </w:p>
        </w:tc>
      </w:tr>
      <w:tr>
        <w:trPr>
          <w:trHeight w:val="183"/>
        </w:trPr>
        <w:tc>
          <w:tcPr>
            <w:tcW w:w="29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812,425</w:t>
            </w:r>
          </w:p>
        </w:tc>
        <w:tc>
          <w:tcPr>
            <w:tcW w:w="2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54.26</w:t>
            </w:r>
          </w:p>
        </w:tc>
        <w:tc>
          <w:tcPr>
            <w:tcW w:w="19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620,544</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bl>
    <w:p>
      <w:pPr>
        <w:spacing w:after="0" w:line="113" w:lineRule="exact"/>
        <w:rPr>
          <w:sz w:val="20"/>
          <w:szCs w:val="20"/>
          <w:color w:val="auto"/>
        </w:rPr>
      </w:pPr>
    </w:p>
    <w:p>
      <w:pPr>
        <w:jc w:val="both"/>
        <w:ind w:left="380" w:right="79" w:hanging="330"/>
        <w:spacing w:after="0" w:line="249"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columns reflect shares acquired in satisfaction of the tax withholding obligations of holders of restricted stock unit awards, which vested during the quarter. The calculation of the average price paid per share includes all fees, commissions, and other costs associated with the repurchase of such shares.</w:t>
      </w:r>
    </w:p>
    <w:p>
      <w:pPr>
        <w:spacing w:after="0" w:line="92" w:lineRule="exact"/>
        <w:rPr>
          <w:rFonts w:ascii="Arial" w:cs="Arial" w:eastAsia="Arial" w:hAnsi="Arial"/>
          <w:sz w:val="14"/>
          <w:szCs w:val="14"/>
          <w:color w:val="auto"/>
        </w:rPr>
      </w:pPr>
    </w:p>
    <w:p>
      <w:pPr>
        <w:ind w:left="380" w:hanging="330"/>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current $1.2 billion share repurchase program extends through January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6. Exhibits</w:t>
      </w:r>
    </w:p>
    <w:p>
      <w:pPr>
        <w:sectPr>
          <w:pgSz w:w="11900" w:h="16838" w:orient="portrait"/>
          <w:cols w:equalWidth="0" w:num="1">
            <w:col w:w="9019"/>
          </w:cols>
          <w:pgMar w:left="1440" w:top="517" w:right="1440" w:bottom="1440" w:gutter="0" w:footer="0" w:header="0"/>
        </w:sect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Exhibit No.</w:t>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1"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15*</w:t>
      </w:r>
    </w:p>
    <w:p>
      <w:pPr>
        <w:spacing w:after="0" w:line="90"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w:t>
      </w:r>
    </w:p>
    <w:p>
      <w:pPr>
        <w:spacing w:after="0" w:line="9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99*</w:t>
      </w:r>
    </w:p>
    <w:p>
      <w:pPr>
        <w:jc w:val="center"/>
        <w:ind w:left="60"/>
        <w:spacing w:after="0" w:line="234" w:lineRule="auto"/>
        <w:rPr>
          <w:sz w:val="20"/>
          <w:szCs w:val="20"/>
          <w:color w:val="auto"/>
        </w:rPr>
      </w:pPr>
      <w:r>
        <w:rPr>
          <w:rFonts w:ascii="Arial" w:cs="Arial" w:eastAsia="Arial" w:hAnsi="Arial"/>
          <w:sz w:val="18"/>
          <w:szCs w:val="18"/>
          <w:color w:val="auto"/>
        </w:rPr>
        <w:t>101.INS*</w:t>
      </w:r>
    </w:p>
    <w:p>
      <w:pPr>
        <w:jc w:val="center"/>
        <w:ind w:left="60"/>
        <w:spacing w:after="0" w:line="235" w:lineRule="auto"/>
        <w:rPr>
          <w:sz w:val="20"/>
          <w:szCs w:val="20"/>
          <w:color w:val="auto"/>
        </w:rPr>
      </w:pPr>
      <w:r>
        <w:rPr>
          <w:rFonts w:ascii="Arial" w:cs="Arial" w:eastAsia="Arial" w:hAnsi="Arial"/>
          <w:sz w:val="18"/>
          <w:szCs w:val="18"/>
          <w:color w:val="auto"/>
        </w:rPr>
        <w:t>101.SCH*</w:t>
      </w:r>
    </w:p>
    <w:p>
      <w:pPr>
        <w:jc w:val="center"/>
        <w:ind w:left="60"/>
        <w:spacing w:after="0" w:line="235" w:lineRule="auto"/>
        <w:rPr>
          <w:sz w:val="20"/>
          <w:szCs w:val="20"/>
          <w:color w:val="auto"/>
        </w:rPr>
      </w:pPr>
      <w:r>
        <w:rPr>
          <w:rFonts w:ascii="Arial" w:cs="Arial" w:eastAsia="Arial" w:hAnsi="Arial"/>
          <w:sz w:val="18"/>
          <w:szCs w:val="18"/>
          <w:color w:val="auto"/>
        </w:rPr>
        <w:t>101.CAL*</w:t>
      </w:r>
    </w:p>
    <w:p>
      <w:pPr>
        <w:jc w:val="center"/>
        <w:ind w:left="60"/>
        <w:spacing w:after="0" w:line="235" w:lineRule="auto"/>
        <w:rPr>
          <w:sz w:val="20"/>
          <w:szCs w:val="20"/>
          <w:color w:val="auto"/>
        </w:rPr>
      </w:pPr>
      <w:r>
        <w:rPr>
          <w:rFonts w:ascii="Arial" w:cs="Arial" w:eastAsia="Arial" w:hAnsi="Arial"/>
          <w:sz w:val="18"/>
          <w:szCs w:val="18"/>
          <w:color w:val="auto"/>
        </w:rPr>
        <w:t>101.DEF*</w:t>
      </w:r>
    </w:p>
    <w:p>
      <w:pPr>
        <w:jc w:val="center"/>
        <w:ind w:left="60"/>
        <w:spacing w:after="0" w:line="235" w:lineRule="auto"/>
        <w:rPr>
          <w:sz w:val="20"/>
          <w:szCs w:val="20"/>
          <w:color w:val="auto"/>
        </w:rPr>
      </w:pPr>
      <w:r>
        <w:rPr>
          <w:rFonts w:ascii="Arial" w:cs="Arial" w:eastAsia="Arial" w:hAnsi="Arial"/>
          <w:sz w:val="18"/>
          <w:szCs w:val="18"/>
          <w:color w:val="auto"/>
        </w:rPr>
        <w:t>101.LAB*</w:t>
      </w:r>
    </w:p>
    <w:p>
      <w:pPr>
        <w:jc w:val="center"/>
        <w:ind w:left="60"/>
        <w:spacing w:after="0" w:line="234" w:lineRule="auto"/>
        <w:rPr>
          <w:sz w:val="20"/>
          <w:szCs w:val="20"/>
          <w:color w:val="auto"/>
        </w:rPr>
      </w:pPr>
      <w:r>
        <w:rPr>
          <w:rFonts w:ascii="Arial" w:cs="Arial" w:eastAsia="Arial" w:hAnsi="Arial"/>
          <w:sz w:val="18"/>
          <w:szCs w:val="18"/>
          <w:color w:val="auto"/>
        </w:rPr>
        <w:t>101.PRE*</w:t>
      </w:r>
    </w:p>
    <w:p>
      <w:pPr>
        <w:spacing w:after="0" w:line="1"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11430</wp:posOffset>
            </wp:positionV>
            <wp:extent cx="5648960" cy="651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8960" cy="651510"/>
                    </a:xfrm>
                    <a:prstGeom prst="rect">
                      <a:avLst/>
                    </a:prstGeom>
                    <a:noFill/>
                  </pic:spPr>
                </pic:pic>
              </a:graphicData>
            </a:graphic>
          </wp:anchor>
        </w:drawing>
      </w:r>
    </w:p>
    <w:p>
      <w:pPr>
        <w:spacing w:after="0" w:line="11" w:lineRule="exact"/>
        <w:rPr>
          <w:sz w:val="20"/>
          <w:szCs w:val="20"/>
          <w:color w:val="auto"/>
        </w:rPr>
      </w:pPr>
    </w:p>
    <w:p>
      <w:pPr>
        <w:jc w:val="both"/>
        <w:ind w:right="79"/>
        <w:spacing w:after="0" w:line="234" w:lineRule="auto"/>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Amendment No. 2 to Credit Agreement, dated as of May 19, 2021, among Foot Locker, Inc., a</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New York corporation, the guarantors party thereto, the lenders party thereto, and Wells Fargo,</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National Association, as administrative agent, letter of credit issuer, and swing line lender</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(incorporated by reference to Exhibit 10.1 to the Form 8-K filed by Foot Locker, Inc. on</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May 20, 2021).</w:t>
        </w:r>
      </w:hyperlink>
    </w:p>
    <w:p>
      <w:pPr>
        <w:spacing w:after="0" w:line="238"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Accountants’ Acknowledgement.</w:t>
        </w:r>
      </w:hyperlink>
    </w:p>
    <w:p>
      <w:pPr>
        <w:spacing w:after="0" w:line="1" w:lineRule="exact"/>
        <w:rPr>
          <w:rFonts w:ascii="Arial" w:cs="Arial" w:eastAsia="Arial" w:hAnsi="Arial"/>
          <w:sz w:val="18"/>
          <w:szCs w:val="18"/>
          <w:u w:val="single" w:color="auto"/>
          <w:color w:val="0000EE"/>
        </w:rPr>
      </w:pPr>
    </w:p>
    <w:p>
      <w:pPr>
        <w:jc w:val="both"/>
        <w:ind w:right="79"/>
        <w:spacing w:after="0" w:line="234"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Certification of Chief Executive Officer Pursuant to Rule 13a-14(a) or 15d-14(a), as adopted</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-255270</wp:posOffset>
            </wp:positionV>
            <wp:extent cx="5648960"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jc w:val="both"/>
        <w:ind w:right="79"/>
        <w:spacing w:after="0" w:line="234" w:lineRule="auto"/>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Certification of Chief Financial Officer Pursuant to Rule 13a-14(a) or 15d-14(a), as adopted</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pursuant to Section 302 of the Sarbanes-Oxley Act of 2002.</w:t>
        </w:r>
      </w:hyperlink>
    </w:p>
    <w:p>
      <w:pPr>
        <w:spacing w:after="0" w:line="236"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Certification of Chief Executive Officer and Chief Financial Officer Pursuant to 18 U.S.C.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235"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Section 1350, as adopted pursuant to Section 906 of the Sarbanes-Oxley Act of 2002.</w:t>
        </w:r>
      </w:hyperlink>
    </w:p>
    <w:p>
      <w:pPr>
        <w:spacing w:after="0" w:line="235"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Report of Independent Registered Public Accounting Firm.</w:t>
        </w:r>
      </w:hyperlink>
    </w:p>
    <w:p>
      <w:pPr>
        <w:spacing w:after="0" w:line="234" w:lineRule="auto"/>
        <w:rPr>
          <w:sz w:val="20"/>
          <w:szCs w:val="20"/>
          <w:color w:val="auto"/>
        </w:rPr>
      </w:pPr>
      <w:r>
        <w:rPr>
          <w:rFonts w:ascii="Arial" w:cs="Arial" w:eastAsia="Arial" w:hAnsi="Arial"/>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Schema.</w:t>
      </w:r>
    </w:p>
    <w:p>
      <w:pPr>
        <w:spacing w:after="0" w:line="235" w:lineRule="auto"/>
        <w:rPr>
          <w:sz w:val="20"/>
          <w:szCs w:val="20"/>
          <w:color w:val="auto"/>
        </w:rPr>
      </w:pPr>
      <w:r>
        <w:rPr>
          <w:rFonts w:ascii="Arial" w:cs="Arial" w:eastAsia="Arial" w:hAnsi="Arial"/>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Definition Linkbase.</w:t>
      </w:r>
    </w:p>
    <w:p>
      <w:pPr>
        <w:spacing w:after="0" w:line="235" w:lineRule="auto"/>
        <w:rPr>
          <w:sz w:val="20"/>
          <w:szCs w:val="20"/>
          <w:color w:val="auto"/>
        </w:rPr>
      </w:pPr>
      <w:r>
        <w:rPr>
          <w:rFonts w:ascii="Arial" w:cs="Arial" w:eastAsia="Arial" w:hAnsi="Arial"/>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-127635</wp:posOffset>
            </wp:positionV>
            <wp:extent cx="564896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Inline XBRL Taxonomy Extension Presentation Linkbase.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datafile).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-130175</wp:posOffset>
            </wp:positionV>
            <wp:extent cx="56489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200"/>
            <w:col w:w="7819"/>
          </w:cols>
          <w:pgMar w:left="1440" w:top="517" w:right="1440" w:bottom="1440" w:gutter="0" w:footer="0" w:header="0"/>
          <w:type w:val="continuous"/>
        </w:sectPr>
      </w:pPr>
    </w:p>
    <w:p>
      <w:pPr>
        <w:spacing w:after="0" w:line="17" w:lineRule="exact"/>
        <w:rPr>
          <w:sz w:val="20"/>
          <w:szCs w:val="20"/>
          <w:color w:val="auto"/>
        </w:rPr>
      </w:pPr>
    </w:p>
    <w:p>
      <w:pPr>
        <w:ind w:left="260" w:hanging="210"/>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05"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7"/>
          <w:szCs w:val="17"/>
          <w:color w:val="auto"/>
        </w:rPr>
        <w:t>Date: June 9, 2021</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820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ANDREW E. PAGE</w:t>
      </w:r>
    </w:p>
    <w:p>
      <w:pPr>
        <w:ind w:left="452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2021 Form 10-Q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rPr>
          <w:sz w:val="20"/>
          <w:szCs w:val="20"/>
          <w:color w:val="auto"/>
        </w:rPr>
      </w:pPr>
      <w:r>
        <w:rPr>
          <w:rFonts w:ascii="Arial" w:cs="Arial" w:eastAsia="Arial" w:hAnsi="Arial"/>
          <w:sz w:val="18"/>
          <w:szCs w:val="18"/>
          <w:color w:val="auto"/>
        </w:rPr>
        <w:t>Foot Locker, Inc.:</w:t>
      </w:r>
    </w:p>
    <w:p>
      <w:pPr>
        <w:spacing w:after="0" w:line="3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acknowledge our awareness of the use therein of our report dated June 9, 2021 related to our review of interim financial information in the following Registration Statements:</w:t>
      </w:r>
    </w:p>
    <w:p>
      <w:pPr>
        <w:spacing w:after="0" w:line="156" w:lineRule="exact"/>
        <w:rPr>
          <w:sz w:val="20"/>
          <w:szCs w:val="20"/>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Richard A. Johnson, certify that:</w:t>
      </w:r>
    </w:p>
    <w:p>
      <w:pPr>
        <w:spacing w:after="0" w:line="19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Andrew E. Page, certify that:</w:t>
      </w:r>
    </w:p>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19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May 1, 2021, as filed with the Securities and Exchange Commission on the date hereof (the “Report”), Richard A. Johnson, as Chief Executive Officer of the Registrant and Andrew E. Page, as Chief Financial Officer of the Registrant, each hereby certifies, pursuant to 18 U.S.C. Section 1350, as adopted pursuant to Section 906 of the Sarbanes-Oxley Act of 2002, that:</w:t>
      </w:r>
    </w:p>
    <w:p>
      <w:pPr>
        <w:spacing w:after="0" w:line="191" w:lineRule="exact"/>
        <w:rPr>
          <w:sz w:val="20"/>
          <w:szCs w:val="20"/>
          <w:color w:val="auto"/>
        </w:rPr>
      </w:pPr>
    </w:p>
    <w:p>
      <w:pPr>
        <w:ind w:left="520" w:hanging="318"/>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318"/>
        <w:spacing w:after="0" w:line="246" w:lineRule="auto"/>
        <w:tabs>
          <w:tab w:leader="none" w:pos="5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June 9, 2021</w:t>
      </w: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Richard A. Johnson</w:t>
      </w:r>
    </w:p>
    <w:p>
      <w:pPr>
        <w:ind w:left="49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Andrew E. Page</w:t>
      </w:r>
    </w:p>
    <w:p>
      <w:pPr>
        <w:ind w:left="496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99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rPr>
          <w:sz w:val="20"/>
          <w:szCs w:val="20"/>
          <w:color w:val="auto"/>
        </w:rPr>
      </w:pPr>
      <w:r>
        <w:rPr>
          <w:rFonts w:ascii="Arial" w:cs="Arial" w:eastAsia="Arial" w:hAnsi="Arial"/>
          <w:sz w:val="18"/>
          <w:szCs w:val="18"/>
          <w:color w:val="auto"/>
        </w:rPr>
        <w:t>Foot Locker,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May 1, 2021 and May 2, 2020, the related condensed consolidated statements of operations, comprehensive income (loss), and changes in shareholders’ equity for the thirteen week periods ended May 1, 2021 and May 2, 2020, the related condensed consolidated statements of cash flows for the thirteen week periods ended May 1, 2021 and May 2, 2020,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January 30, 2021, and the related consolidated statements of operations, comprehensive income, changes in shareholders’ equity, and cash flows for the year then ended (not presented herein); and in our report dated March 25, 2021, we expressed an unqualified opinion on those consolidated financial statements. In our opinion, the information set forth in the accompanying condensed consolidated balance sheet as of January 30, 2021,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65" Type="http://schemas.openxmlformats.org/officeDocument/2006/relationships/hyperlink" Target="https://www.sec.gov/ix?doc=/Archives/edgar/data/850209/000153949721000731/n2559-x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2021-06-09T15:32:04Z</dcterms:created>
  <dcterms:modified xsi:type="dcterms:W3CDTF">2021-06-09T15:32:04Z</dcterms:modified>
</cp:coreProperties>
</file>