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4" w:lineRule="exact"/>
        <w:rPr>
          <w:sz w:val="24"/>
          <w:szCs w:val="24"/>
          <w:color w:val="auto"/>
        </w:rPr>
      </w:pPr>
    </w:p>
    <w:p>
      <w:pPr>
        <w:ind w:left="3700" w:right="2000" w:hanging="3409"/>
        <w:spacing w:after="0" w:line="486" w:lineRule="auto"/>
        <w:tabs>
          <w:tab w:leader="none" w:pos="7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May 2, 2020</w:t>
      </w:r>
    </w:p>
    <w:p>
      <w:pPr>
        <w:jc w:val="center"/>
        <w:ind w:right="-159"/>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280" w:right="2000" w:hanging="2989"/>
        <w:spacing w:after="0" w:line="476" w:lineRule="auto"/>
        <w:tabs>
          <w:tab w:leader="none" w:pos="70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193040</wp:posOffset>
            </wp:positionH>
            <wp:positionV relativeFrom="paragraph">
              <wp:posOffset>-492125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288925</wp:posOffset>
            </wp:positionV>
            <wp:extent cx="242570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143510</wp:posOffset>
            </wp:positionV>
            <wp:extent cx="1594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5"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06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3"/>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r>
        <w:trPr>
          <w:trHeight w:val="170"/>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33"/>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bl>
    <w:p>
      <w:pPr>
        <w:spacing w:after="0" w:line="167" w:lineRule="exact"/>
        <w:rPr>
          <w:sz w:val="24"/>
          <w:szCs w:val="24"/>
          <w:color w:val="auto"/>
        </w:rPr>
      </w:pPr>
    </w:p>
    <w:p>
      <w:pPr>
        <w:jc w:val="both"/>
        <w:ind w:left="180"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8"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8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June 5, 2020: 104,233,930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436880</wp:posOffset>
            </wp:positionV>
            <wp:extent cx="639508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6395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59690</wp:posOffset>
            </wp:positionV>
            <wp:extent cx="639508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5" w:right="839" w:bottom="1440" w:gutter="0" w:footer="0" w:header="0"/>
          <w:type w:val="continuous"/>
        </w:sectPr>
      </w:pPr>
    </w:p>
    <w:bookmarkStart w:id="1" w:name="page2"/>
    <w:bookmarkEnd w:id="1"/>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gridSpan w:val="2"/>
          </w:tcPr>
          <w:p>
            <w:pPr>
              <w:ind w:left="9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bottom w:val="single" w:sz="8" w:color="CCEEFF"/>
            </w:tcBorders>
            <w:shd w:val="clear" w:color="auto" w:fill="CCEEFF"/>
          </w:tcPr>
          <w:p>
            <w:pPr>
              <w:spacing w:after="0" w:line="197" w:lineRule="exact"/>
              <w:rPr>
                <w:rFonts w:ascii="Arial" w:cs="Arial" w:eastAsia="Arial" w:hAnsi="Arial"/>
                <w:sz w:val="18"/>
                <w:szCs w:val="18"/>
                <w:color w:val="0000EE"/>
              </w:rPr>
            </w:pPr>
            <w:hyperlink w:anchor="page4">
              <w:r>
                <w:rPr>
                  <w:rFonts w:ascii="Arial" w:cs="Arial" w:eastAsia="Arial" w:hAnsi="Arial"/>
                  <w:sz w:val="18"/>
                  <w:szCs w:val="18"/>
                  <w:u w:val="single" w:color="auto"/>
                  <w:color w:val="0000EE"/>
                </w:rPr>
                <w:t>PART</w:t>
              </w:r>
              <w:r>
                <w:rPr>
                  <w:rFonts w:ascii="Arial" w:cs="Arial" w:eastAsia="Arial" w:hAnsi="Arial"/>
                  <w:sz w:val="18"/>
                  <w:szCs w:val="18"/>
                  <w:color w:val="0000EE"/>
                </w:rPr>
                <w:t xml:space="preserve"> I</w:t>
              </w:r>
            </w:hyperlink>
          </w:p>
        </w:tc>
        <w:tc>
          <w:tcPr>
            <w:tcW w:w="7380" w:type="dxa"/>
            <w:vAlign w:val="bottom"/>
            <w:tcBorders>
              <w:top w:val="single" w:sz="8" w:color="CCEEFF"/>
              <w:bottom w:val="single" w:sz="8" w:color="CCEEFF"/>
            </w:tcBorders>
            <w:gridSpan w:val="4"/>
            <w:shd w:val="clear" w:color="auto" w:fill="CCEEFF"/>
          </w:tcPr>
          <w:p>
            <w:pPr>
              <w:ind w:left="120"/>
              <w:spacing w:after="0" w:line="197"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5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5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 Income</w:t>
              </w:r>
            </w:hyperlink>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Shareholders’ Equity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5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120"/>
              <w:spacing w:after="0" w:line="176"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w:t>
              </w:r>
            </w:hyperlink>
          </w:p>
        </w:tc>
        <w:tc>
          <w:tcPr>
            <w:tcW w:w="61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Management’s Discussion and Analysis of Financial Condition and Results of</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520" w:type="dxa"/>
            <w:vAlign w:val="bottom"/>
            <w:gridSpan w:val="3"/>
            <w:shd w:val="clear" w:color="auto" w:fill="CCEEFF"/>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Operations</w:t>
              </w:r>
            </w:hyperlink>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PART II</w:t>
              </w:r>
            </w:hyperlink>
          </w:p>
        </w:tc>
        <w:tc>
          <w:tcPr>
            <w:tcW w:w="7380" w:type="dxa"/>
            <w:vAlign w:val="bottom"/>
            <w:gridSpan w:val="4"/>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w:t>
              </w:r>
            </w:hyperlink>
          </w:p>
        </w:tc>
        <w:tc>
          <w:tcPr>
            <w:tcW w:w="65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w:t>
              </w:r>
            </w:hyperlink>
          </w:p>
        </w:tc>
        <w:tc>
          <w:tcPr>
            <w:tcW w:w="65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6.</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6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2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w:t>
              </w:r>
            </w:hyperlink>
          </w:p>
        </w:tc>
        <w:tc>
          <w:tcPr>
            <w:tcW w:w="8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48"/>
        </w:trPr>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ind w:left="80" w:right="99"/>
        <w:spacing w:after="0" w:line="23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effects of the coronavirus pandemic (COVID-19) and recent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 available operating, financial, and competitive information and are subject to various risks and uncertainties, many of which are unforeseeable and beyond our control, such as the developing situation, and uncertainty caused, related to the COVID-19 pandemic. Additional risks and uncertainties that we do not presently know about or that we currently consider to be insignificant may also affect our business operations and financial performance.</w:t>
      </w:r>
    </w:p>
    <w:p>
      <w:pPr>
        <w:spacing w:after="0" w:line="199" w:lineRule="exact"/>
        <w:rPr>
          <w:sz w:val="20"/>
          <w:szCs w:val="20"/>
          <w:color w:val="auto"/>
        </w:rPr>
      </w:pPr>
    </w:p>
    <w:p>
      <w:pPr>
        <w:jc w:val="both"/>
        <w:ind w:left="80" w:right="99"/>
        <w:spacing w:after="0" w:line="236" w:lineRule="auto"/>
        <w:rPr>
          <w:sz w:val="20"/>
          <w:szCs w:val="20"/>
          <w:color w:val="auto"/>
        </w:rPr>
      </w:pPr>
      <w:r>
        <w:rPr>
          <w:rFonts w:ascii="Arial" w:cs="Arial" w:eastAsia="Arial" w:hAnsi="Arial"/>
          <w:sz w:val="18"/>
          <w:szCs w:val="18"/>
          <w:color w:val="auto"/>
        </w:rPr>
        <w:t>Please refer to “Item 1A. Risk Factors” of our most recent Annual Report on Form 10-K filed with the Securities and Exchange Commission and “Item 1A Risk Factors” included in this filing. Given these risks and uncertainties, you should not rely on forward-looking statements as a prediction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621030</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148590</wp:posOffset>
            </wp:positionV>
            <wp:extent cx="183451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Arial" w:cs="Arial" w:eastAsia="Arial" w:hAnsi="Arial"/>
                <w:sz w:val="17"/>
                <w:szCs w:val="17"/>
                <w:b w:val="1"/>
                <w:bCs w:val="1"/>
                <w:color w:val="auto"/>
              </w:rPr>
              <w:t>May 2,</w:t>
            </w:r>
          </w:p>
        </w:tc>
        <w:tc>
          <w:tcPr>
            <w:tcW w:w="32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Arial" w:cs="Arial" w:eastAsia="Arial" w:hAnsi="Arial"/>
                <w:sz w:val="17"/>
                <w:szCs w:val="17"/>
                <w:b w:val="1"/>
                <w:bCs w:val="1"/>
                <w:color w:val="auto"/>
              </w:rPr>
              <w:t>May 4,</w:t>
            </w:r>
          </w:p>
        </w:tc>
        <w:tc>
          <w:tcPr>
            <w:tcW w:w="280" w:type="dxa"/>
            <w:vAlign w:val="bottom"/>
          </w:tcPr>
          <w:p>
            <w:pPr>
              <w:spacing w:after="0"/>
              <w:rPr>
                <w:sz w:val="16"/>
                <w:szCs w:val="16"/>
                <w:color w:val="auto"/>
              </w:rPr>
            </w:pPr>
          </w:p>
        </w:tc>
        <w:tc>
          <w:tcPr>
            <w:tcW w:w="1440" w:type="dxa"/>
            <w:vAlign w:val="bottom"/>
          </w:tcPr>
          <w:p>
            <w:pPr>
              <w:jc w:val="right"/>
              <w:ind w:right="37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95"/>
              <w:spacing w:after="0" w:line="176" w:lineRule="exact"/>
              <w:rPr>
                <w:sz w:val="20"/>
                <w:szCs w:val="20"/>
                <w:color w:val="auto"/>
              </w:rPr>
            </w:pPr>
            <w:r>
              <w:rPr>
                <w:rFonts w:ascii="Arial" w:cs="Arial" w:eastAsia="Arial" w:hAnsi="Arial"/>
                <w:sz w:val="17"/>
                <w:szCs w:val="17"/>
                <w:b w:val="1"/>
                <w:bCs w:val="1"/>
                <w:color w:val="auto"/>
              </w:rPr>
              <w:t>(Unaudited)</w:t>
            </w:r>
          </w:p>
        </w:tc>
        <w:tc>
          <w:tcPr>
            <w:tcW w:w="320" w:type="dxa"/>
            <w:vAlign w:val="bottom"/>
          </w:tcPr>
          <w:p>
            <w:pPr>
              <w:spacing w:after="0"/>
              <w:rPr>
                <w:sz w:val="15"/>
                <w:szCs w:val="15"/>
                <w:color w:val="auto"/>
              </w:rPr>
            </w:pPr>
          </w:p>
        </w:tc>
        <w:tc>
          <w:tcPr>
            <w:tcW w:w="1240" w:type="dxa"/>
            <w:vAlign w:val="bottom"/>
          </w:tcPr>
          <w:p>
            <w:pPr>
              <w:jc w:val="right"/>
              <w:ind w:right="95"/>
              <w:spacing w:after="0" w:line="176" w:lineRule="exact"/>
              <w:rPr>
                <w:sz w:val="20"/>
                <w:szCs w:val="20"/>
                <w:color w:val="auto"/>
              </w:rPr>
            </w:pPr>
            <w:r>
              <w:rPr>
                <w:rFonts w:ascii="Arial" w:cs="Arial" w:eastAsia="Arial" w:hAnsi="Arial"/>
                <w:sz w:val="17"/>
                <w:szCs w:val="17"/>
                <w:b w:val="1"/>
                <w:bCs w:val="1"/>
                <w:color w:val="auto"/>
              </w:rPr>
              <w:t>(Unaudited)</w:t>
            </w:r>
          </w:p>
        </w:tc>
        <w:tc>
          <w:tcPr>
            <w:tcW w:w="280" w:type="dxa"/>
            <w:vAlign w:val="bottom"/>
          </w:tcPr>
          <w:p>
            <w:pPr>
              <w:spacing w:after="0"/>
              <w:rPr>
                <w:sz w:val="15"/>
                <w:szCs w:val="15"/>
                <w:color w:val="auto"/>
              </w:rPr>
            </w:pPr>
          </w:p>
        </w:tc>
        <w:tc>
          <w:tcPr>
            <w:tcW w:w="1440" w:type="dxa"/>
            <w:vAlign w:val="bottom"/>
          </w:tcPr>
          <w:p>
            <w:pPr>
              <w:jc w:val="right"/>
              <w:ind w:right="695"/>
              <w:spacing w:after="0" w:line="176"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Cash and cash equivalents</w:t>
            </w:r>
          </w:p>
        </w:tc>
        <w:tc>
          <w:tcPr>
            <w:tcW w:w="4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1,012</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1,126</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Merchandise inventories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1,458</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1,211</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Other current assets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268</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255</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2,738</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2,592</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4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787</w:t>
            </w:r>
          </w:p>
        </w:tc>
        <w:tc>
          <w:tcPr>
            <w:tcW w:w="32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810</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2,807</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3,025</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4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63</w:t>
            </w:r>
          </w:p>
        </w:tc>
        <w:tc>
          <w:tcPr>
            <w:tcW w:w="32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89</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156</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156</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4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32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22</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226</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234</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6,796</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6,928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6,589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Revolving credit facility</w:t>
            </w:r>
          </w:p>
        </w:tc>
        <w:tc>
          <w:tcPr>
            <w:tcW w:w="4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330</w:t>
            </w: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468</w:t>
            </w:r>
          </w:p>
        </w:tc>
        <w:tc>
          <w:tcPr>
            <w:tcW w:w="32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451</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264</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340</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Current portion of lease obligations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581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499</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1,643</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1,290</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1,194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Long-term debt</w:t>
            </w:r>
          </w:p>
        </w:tc>
        <w:tc>
          <w:tcPr>
            <w:tcW w:w="40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121</w:t>
            </w:r>
          </w:p>
        </w:tc>
        <w:tc>
          <w:tcPr>
            <w:tcW w:w="32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123</w:t>
            </w:r>
          </w:p>
        </w:tc>
        <w:tc>
          <w:tcPr>
            <w:tcW w:w="280" w:type="dxa"/>
            <w:vAlign w:val="bottom"/>
          </w:tcPr>
          <w:p>
            <w:pPr>
              <w:spacing w:after="0"/>
              <w:rPr>
                <w:sz w:val="16"/>
                <w:szCs w:val="16"/>
                <w:color w:val="auto"/>
              </w:rPr>
            </w:pPr>
          </w:p>
        </w:tc>
        <w:tc>
          <w:tcPr>
            <w:tcW w:w="144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lease obligations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2,591</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2,804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liabilities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127</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109</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4,482</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4,326</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4,116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Common stock and paid-in capital: 104,245,181;</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ind w:left="200"/>
              <w:spacing w:after="0" w:line="183" w:lineRule="exact"/>
              <w:rPr>
                <w:sz w:val="20"/>
                <w:szCs w:val="20"/>
                <w:color w:val="auto"/>
              </w:rPr>
            </w:pPr>
            <w:r>
              <w:rPr>
                <w:rFonts w:ascii="Arial" w:cs="Arial" w:eastAsia="Arial" w:hAnsi="Arial"/>
                <w:sz w:val="17"/>
                <w:szCs w:val="17"/>
                <w:color w:val="auto"/>
              </w:rPr>
              <w:t>113,161,373; and 104,187,310 shares</w:t>
            </w:r>
          </w:p>
        </w:tc>
        <w:tc>
          <w:tcPr>
            <w:tcW w:w="400" w:type="dxa"/>
            <w:vAlign w:val="bottom"/>
          </w:tcPr>
          <w:p>
            <w:pPr>
              <w:spacing w:after="0"/>
              <w:rPr>
                <w:sz w:val="15"/>
                <w:szCs w:val="15"/>
                <w:color w:val="auto"/>
              </w:rPr>
            </w:pPr>
          </w:p>
        </w:tc>
        <w:tc>
          <w:tcPr>
            <w:tcW w:w="124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767</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ind w:left="360"/>
              <w:spacing w:after="0"/>
              <w:rPr>
                <w:sz w:val="20"/>
                <w:szCs w:val="20"/>
                <w:color w:val="auto"/>
              </w:rPr>
            </w:pPr>
            <w:r>
              <w:rPr>
                <w:rFonts w:ascii="Arial" w:cs="Arial" w:eastAsia="Arial" w:hAnsi="Arial"/>
                <w:sz w:val="17"/>
                <w:szCs w:val="17"/>
                <w:color w:val="auto"/>
              </w:rPr>
              <w:t>outstanding, respectively</w:t>
            </w:r>
          </w:p>
        </w:tc>
        <w:tc>
          <w:tcPr>
            <w:tcW w:w="4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820</w:t>
            </w:r>
          </w:p>
        </w:tc>
        <w:tc>
          <w:tcPr>
            <w:tcW w:w="280" w:type="dxa"/>
            <w:vAlign w:val="bottom"/>
          </w:tcPr>
          <w:p>
            <w:pPr>
              <w:spacing w:after="0"/>
              <w:rPr>
                <w:sz w:val="16"/>
                <w:szCs w:val="16"/>
                <w:color w:val="auto"/>
              </w:rPr>
            </w:pPr>
          </w:p>
        </w:tc>
        <w:tc>
          <w:tcPr>
            <w:tcW w:w="1440" w:type="dxa"/>
            <w:vAlign w:val="bottom"/>
          </w:tcPr>
          <w:p>
            <w:pPr>
              <w:jc w:val="right"/>
              <w:ind w:right="215"/>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Retained earnings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1,951</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2,207</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ind w:left="80"/>
              <w:spacing w:after="0" w:line="189" w:lineRule="exact"/>
              <w:rPr>
                <w:sz w:val="20"/>
                <w:szCs w:val="20"/>
                <w:color w:val="auto"/>
              </w:rPr>
            </w:pPr>
            <w:r>
              <w:rPr>
                <w:rFonts w:ascii="Arial" w:cs="Arial" w:eastAsia="Arial" w:hAnsi="Arial"/>
                <w:sz w:val="17"/>
                <w:szCs w:val="17"/>
                <w:color w:val="auto"/>
              </w:rPr>
              <w:t>Accumulated other comprehensive loss</w:t>
            </w:r>
          </w:p>
        </w:tc>
        <w:tc>
          <w:tcPr>
            <w:tcW w:w="4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(404)</w:t>
            </w:r>
          </w:p>
        </w:tc>
        <w:tc>
          <w:tcPr>
            <w:tcW w:w="32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(384)</w:t>
            </w:r>
          </w:p>
        </w:tc>
        <w:tc>
          <w:tcPr>
            <w:tcW w:w="280" w:type="dxa"/>
            <w:vAlign w:val="bottom"/>
          </w:tcPr>
          <w:p>
            <w:pPr>
              <w:spacing w:after="0"/>
              <w:rPr>
                <w:sz w:val="16"/>
                <w:szCs w:val="16"/>
                <w:color w:val="auto"/>
              </w:rPr>
            </w:pPr>
          </w:p>
        </w:tc>
        <w:tc>
          <w:tcPr>
            <w:tcW w:w="14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Less: Treasury stock at cost: 22,879; 774,355;</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and -- shares, respectively</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(41)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shareholders' equity</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2,314</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2,602</w:t>
            </w: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2,473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6,796</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6,928</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380" w:right="79" w:hanging="330"/>
        <w:spacing w:after="0" w:line="223"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balance sheet at February 1, 2020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2020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p>
      <w:pPr>
        <w:ind w:left="62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2,</w:t>
            </w:r>
          </w:p>
        </w:tc>
        <w:tc>
          <w:tcPr>
            <w:tcW w:w="3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75"/>
              <w:spacing w:after="0" w:line="156" w:lineRule="exact"/>
              <w:rPr>
                <w:sz w:val="20"/>
                <w:szCs w:val="20"/>
                <w:color w:val="auto"/>
              </w:rPr>
            </w:pPr>
            <w:r>
              <w:rPr>
                <w:rFonts w:ascii="Arial" w:cs="Arial" w:eastAsia="Arial" w:hAnsi="Arial"/>
                <w:sz w:val="17"/>
                <w:szCs w:val="17"/>
                <w:b w:val="1"/>
                <w:bCs w:val="1"/>
                <w:color w:val="auto"/>
              </w:rPr>
              <w:t>May 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1,176</w:t>
            </w:r>
          </w:p>
        </w:tc>
        <w:tc>
          <w:tcPr>
            <w:tcW w:w="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905</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860" w:type="dxa"/>
            <w:vAlign w:val="bottom"/>
          </w:tcPr>
          <w:p>
            <w:pPr>
              <w:spacing w:after="0"/>
              <w:rPr>
                <w:sz w:val="16"/>
                <w:szCs w:val="16"/>
                <w:color w:val="auto"/>
              </w:rPr>
            </w:pP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316</w:t>
            </w: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416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44</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16</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income from operations</w:t>
            </w:r>
          </w:p>
        </w:tc>
        <w:tc>
          <w:tcPr>
            <w:tcW w:w="8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(105)</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228</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income, net</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income before income taxes</w:t>
            </w:r>
          </w:p>
        </w:tc>
        <w:tc>
          <w:tcPr>
            <w:tcW w:w="8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(105)</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(loss) income</w:t>
            </w:r>
          </w:p>
        </w:tc>
        <w:tc>
          <w:tcPr>
            <w:tcW w:w="8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(110)</w:t>
            </w:r>
          </w:p>
        </w:tc>
        <w:tc>
          <w:tcPr>
            <w:tcW w:w="3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172</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(loss) earnings per share</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(1.06)</w:t>
            </w:r>
          </w:p>
        </w:tc>
        <w:tc>
          <w:tcPr>
            <w:tcW w:w="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860" w:type="dxa"/>
            <w:vAlign w:val="bottom"/>
          </w:tcPr>
          <w:p>
            <w:pPr>
              <w:spacing w:after="0"/>
              <w:rPr>
                <w:sz w:val="16"/>
                <w:szCs w:val="16"/>
                <w:color w:val="auto"/>
              </w:rPr>
            </w:pP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104.3</w:t>
            </w: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112.4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ind w:left="80"/>
              <w:spacing w:after="0" w:line="189" w:lineRule="exact"/>
              <w:rPr>
                <w:sz w:val="20"/>
                <w:szCs w:val="20"/>
                <w:color w:val="auto"/>
              </w:rPr>
            </w:pPr>
            <w:r>
              <w:rPr>
                <w:rFonts w:ascii="Arial" w:cs="Arial" w:eastAsia="Arial" w:hAnsi="Arial"/>
                <w:sz w:val="17"/>
                <w:szCs w:val="17"/>
                <w:color w:val="auto"/>
              </w:rPr>
              <w:t>Diluted (loss) earnings per share</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(1.06)</w:t>
            </w:r>
          </w:p>
        </w:tc>
        <w:tc>
          <w:tcPr>
            <w:tcW w:w="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8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104.3</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113.1</w:t>
            </w:r>
          </w:p>
        </w:tc>
        <w:tc>
          <w:tcPr>
            <w:tcW w:w="2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2020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6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COMPREHENSIVE (LOSS) INCOME </w:t>
      </w:r>
      <w:r>
        <w:rPr>
          <w:rFonts w:ascii="Arial" w:cs="Arial" w:eastAsia="Arial" w:hAnsi="Arial"/>
          <w:sz w:val="18"/>
          <w:szCs w:val="18"/>
          <w:color w:val="auto"/>
        </w:rPr>
        <w:t>(Unaudited)</w:t>
      </w:r>
    </w:p>
    <w:p>
      <w:pPr>
        <w:spacing w:after="0" w:line="366"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7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5"/>
              <w:spacing w:after="0" w:line="156" w:lineRule="exact"/>
              <w:rPr>
                <w:sz w:val="20"/>
                <w:szCs w:val="20"/>
                <w:color w:val="auto"/>
              </w:rPr>
            </w:pPr>
            <w:r>
              <w:rPr>
                <w:rFonts w:ascii="Arial" w:cs="Arial" w:eastAsia="Arial" w:hAnsi="Arial"/>
                <w:sz w:val="17"/>
                <w:szCs w:val="17"/>
                <w:b w:val="1"/>
                <w:bCs w:val="1"/>
                <w:color w:val="auto"/>
              </w:rPr>
              <w:t>May 2,</w:t>
            </w: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5"/>
              <w:spacing w:after="0" w:line="156" w:lineRule="exact"/>
              <w:rPr>
                <w:sz w:val="20"/>
                <w:szCs w:val="20"/>
                <w:color w:val="auto"/>
              </w:rPr>
            </w:pPr>
            <w:r>
              <w:rPr>
                <w:rFonts w:ascii="Arial" w:cs="Arial" w:eastAsia="Arial" w:hAnsi="Arial"/>
                <w:sz w:val="17"/>
                <w:szCs w:val="17"/>
                <w:b w:val="1"/>
                <w:bCs w:val="1"/>
                <w:color w:val="auto"/>
              </w:rPr>
              <w:t>May 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 income</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(110)</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line="189" w:lineRule="exact"/>
              <w:rPr>
                <w:sz w:val="20"/>
                <w:szCs w:val="20"/>
                <w:color w:val="auto"/>
              </w:rPr>
            </w:pPr>
            <w:r>
              <w:rPr>
                <w:rFonts w:ascii="Arial" w:cs="Arial" w:eastAsia="Arial" w:hAnsi="Arial"/>
                <w:sz w:val="17"/>
                <w:szCs w:val="17"/>
                <w:color w:val="auto"/>
              </w:rPr>
              <w:t>Other comprehensive (loss) income, net of income tax</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6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Translation adjustment arising during the period, net of income tax of $-</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and $-, respectively</w:t>
            </w:r>
          </w:p>
        </w:tc>
        <w:tc>
          <w:tcPr>
            <w:tcW w:w="3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Pr>
          <w:p>
            <w:pPr>
              <w:ind w:left="80"/>
              <w:spacing w:after="0" w:line="183" w:lineRule="exact"/>
              <w:rPr>
                <w:sz w:val="20"/>
                <w:szCs w:val="20"/>
                <w:color w:val="auto"/>
              </w:rPr>
            </w:pPr>
            <w:r>
              <w:rPr>
                <w:rFonts w:ascii="Arial" w:cs="Arial" w:eastAsia="Arial" w:hAnsi="Arial"/>
                <w:sz w:val="17"/>
                <w:szCs w:val="17"/>
                <w:color w:val="auto"/>
              </w:rPr>
              <w:t>Change in fair value of derivatives, net of income tax benefit of $1 and $-,</w:t>
            </w:r>
          </w:p>
        </w:tc>
        <w:tc>
          <w:tcPr>
            <w:tcW w:w="360" w:type="dxa"/>
            <w:vAlign w:val="bottom"/>
          </w:tcPr>
          <w:p>
            <w:pPr>
              <w:spacing w:after="0"/>
              <w:rPr>
                <w:sz w:val="15"/>
                <w:szCs w:val="15"/>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Pr>
          <w:p>
            <w:pPr>
              <w:ind w:left="240"/>
              <w:spacing w:after="0"/>
              <w:rPr>
                <w:sz w:val="20"/>
                <w:szCs w:val="20"/>
                <w:color w:val="auto"/>
              </w:rPr>
            </w:pPr>
            <w:r>
              <w:rPr>
                <w:rFonts w:ascii="Arial" w:cs="Arial" w:eastAsia="Arial" w:hAnsi="Arial"/>
                <w:sz w:val="17"/>
                <w:szCs w:val="17"/>
                <w:color w:val="auto"/>
              </w:rPr>
              <w:t>respectively</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6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Amortization of net actuarial gain/loss and prior service cost included in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periodic benefit costs, net of income tax expense of $1 and $1,</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respectively</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(loss) income</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(120)</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158</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2020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692150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SHAREHOLDERS’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Additional Paid-In</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93"/>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3320" w:type="dxa"/>
            <w:vAlign w:val="bottom"/>
          </w:tcPr>
          <w:p>
            <w:pPr>
              <w:spacing w:after="0"/>
              <w:rPr>
                <w:sz w:val="12"/>
                <w:szCs w:val="12"/>
                <w:color w:val="auto"/>
              </w:rPr>
            </w:pPr>
          </w:p>
        </w:tc>
        <w:tc>
          <w:tcPr>
            <w:tcW w:w="9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rPr>
              <w:t>Capital &amp;</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2"/>
                <w:szCs w:val="12"/>
                <w:color w:val="auto"/>
              </w:rPr>
            </w:pPr>
          </w:p>
        </w:tc>
        <w:tc>
          <w:tcPr>
            <w:tcW w:w="720" w:type="dxa"/>
            <w:vAlign w:val="bottom"/>
          </w:tcPr>
          <w:p>
            <w:pPr>
              <w:jc w:val="center"/>
              <w:ind w:right="93"/>
              <w:spacing w:after="0"/>
              <w:rPr>
                <w:sz w:val="20"/>
                <w:szCs w:val="20"/>
                <w:color w:val="auto"/>
              </w:rPr>
            </w:pPr>
            <w:r>
              <w:rPr>
                <w:rFonts w:ascii="Arial" w:cs="Arial" w:eastAsia="Arial" w:hAnsi="Arial"/>
                <w:sz w:val="13"/>
                <w:szCs w:val="13"/>
                <w:b w:val="1"/>
                <w:bCs w:val="1"/>
                <w:color w:val="auto"/>
              </w:rPr>
              <w:t>Total</w:t>
            </w:r>
          </w:p>
        </w:tc>
      </w:tr>
      <w:tr>
        <w:trPr>
          <w:trHeight w:val="165"/>
        </w:trPr>
        <w:tc>
          <w:tcPr>
            <w:tcW w:w="332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Treasury Stock</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3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(shares in thousands, amounts in millions)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3"/>
                <w:szCs w:val="13"/>
                <w:b w:val="1"/>
                <w:bCs w:val="1"/>
                <w:color w:val="auto"/>
              </w:rPr>
              <w:t>Loss</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33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104,188</w:t>
            </w:r>
          </w:p>
        </w:tc>
        <w:tc>
          <w:tcPr>
            <w:tcW w:w="360" w:type="dxa"/>
            <w:vAlign w:val="bottom"/>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2,103</w:t>
            </w:r>
          </w:p>
        </w:tc>
        <w:tc>
          <w:tcPr>
            <w:tcW w:w="16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(394)</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2,473</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rPr>
                <w:sz w:val="20"/>
                <w:szCs w:val="20"/>
                <w:color w:val="auto"/>
              </w:rPr>
            </w:pPr>
            <w:r>
              <w:rPr>
                <w:rFonts w:ascii="Arial" w:cs="Arial" w:eastAsia="Arial" w:hAnsi="Arial"/>
                <w:sz w:val="13"/>
                <w:szCs w:val="13"/>
                <w:color w:val="auto"/>
              </w:rPr>
              <w:t>54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withholding obligations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dividends declared on common stock ($0.40</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share)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(42)</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cash flow hedges,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42"/>
        </w:trPr>
        <w:tc>
          <w:tcPr>
            <w:tcW w:w="332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May 2, 2020</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104,245</w:t>
            </w:r>
          </w:p>
        </w:tc>
        <w:tc>
          <w:tcPr>
            <w:tcW w:w="360" w:type="dxa"/>
            <w:vAlign w:val="bottom"/>
            <w:tcBorders>
              <w:bottom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767</w:t>
            </w: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(23)</w:t>
            </w:r>
          </w:p>
        </w:tc>
        <w:tc>
          <w:tcPr>
            <w:tcW w:w="2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1,951</w:t>
            </w:r>
          </w:p>
        </w:tc>
        <w:tc>
          <w:tcPr>
            <w:tcW w:w="16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(404)</w:t>
            </w: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2,314</w:t>
            </w:r>
          </w:p>
        </w:tc>
      </w:tr>
      <w:tr>
        <w:trPr>
          <w:trHeight w:val="341"/>
        </w:trPr>
        <w:tc>
          <w:tcPr>
            <w:tcW w:w="3320" w:type="dxa"/>
            <w:vAlign w:val="bottom"/>
          </w:tcPr>
          <w:p>
            <w:pPr>
              <w:spacing w:after="0"/>
              <w:rPr>
                <w:sz w:val="24"/>
                <w:szCs w:val="2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Additional Paid-In</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93"/>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9"/>
        </w:trPr>
        <w:tc>
          <w:tcPr>
            <w:tcW w:w="3320" w:type="dxa"/>
            <w:vAlign w:val="bottom"/>
          </w:tcPr>
          <w:p>
            <w:pPr>
              <w:spacing w:after="0"/>
              <w:rPr>
                <w:sz w:val="12"/>
                <w:szCs w:val="12"/>
                <w:color w:val="auto"/>
              </w:rPr>
            </w:pPr>
          </w:p>
        </w:tc>
        <w:tc>
          <w:tcPr>
            <w:tcW w:w="94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rPr>
              <w:t>Capital &amp;</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2"/>
                <w:szCs w:val="12"/>
                <w:color w:val="auto"/>
              </w:rPr>
            </w:pPr>
          </w:p>
        </w:tc>
        <w:tc>
          <w:tcPr>
            <w:tcW w:w="720" w:type="dxa"/>
            <w:vAlign w:val="bottom"/>
          </w:tcPr>
          <w:p>
            <w:pPr>
              <w:jc w:val="center"/>
              <w:ind w:right="93"/>
              <w:spacing w:after="0"/>
              <w:rPr>
                <w:sz w:val="20"/>
                <w:szCs w:val="20"/>
                <w:color w:val="auto"/>
              </w:rPr>
            </w:pPr>
            <w:r>
              <w:rPr>
                <w:rFonts w:ascii="Arial" w:cs="Arial" w:eastAsia="Arial" w:hAnsi="Arial"/>
                <w:sz w:val="13"/>
                <w:szCs w:val="13"/>
                <w:b w:val="1"/>
                <w:bCs w:val="1"/>
                <w:color w:val="auto"/>
              </w:rPr>
              <w:t>Total</w:t>
            </w:r>
          </w:p>
        </w:tc>
      </w:tr>
      <w:tr>
        <w:trPr>
          <w:trHeight w:val="165"/>
        </w:trPr>
        <w:tc>
          <w:tcPr>
            <w:tcW w:w="332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Treasury Stock</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3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(shares in thousands, amounts in millions)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3"/>
                <w:szCs w:val="13"/>
                <w:b w:val="1"/>
                <w:bCs w:val="1"/>
                <w:color w:val="auto"/>
              </w:rPr>
              <w:t>Loss</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33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February 2, 2019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112,933</w:t>
            </w:r>
          </w:p>
        </w:tc>
        <w:tc>
          <w:tcPr>
            <w:tcW w:w="360" w:type="dxa"/>
            <w:vAlign w:val="bottom"/>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809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(711)</w:t>
            </w: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(37)</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2,104</w:t>
            </w:r>
          </w:p>
        </w:tc>
        <w:tc>
          <w:tcPr>
            <w:tcW w:w="16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(370)</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2,506</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rPr>
                <w:sz w:val="20"/>
                <w:szCs w:val="20"/>
                <w:color w:val="auto"/>
              </w:rPr>
            </w:pPr>
            <w:r>
              <w:rPr>
                <w:rFonts w:ascii="Arial" w:cs="Arial" w:eastAsia="Arial" w:hAnsi="Arial"/>
                <w:sz w:val="13"/>
                <w:szCs w:val="13"/>
                <w:color w:val="auto"/>
              </w:rPr>
              <w:t>72</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withholding obligations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(32)</w:t>
            </w:r>
          </w:p>
        </w:tc>
        <w:tc>
          <w:tcPr>
            <w:tcW w:w="2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49"/>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172</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48"/>
        </w:trPr>
        <w:tc>
          <w:tcPr>
            <w:tcW w:w="3320" w:type="dxa"/>
            <w:vAlign w:val="bottom"/>
          </w:tcPr>
          <w:p>
            <w:pPr>
              <w:ind w:left="20"/>
              <w:spacing w:after="0" w:line="148" w:lineRule="exact"/>
              <w:rPr>
                <w:sz w:val="20"/>
                <w:szCs w:val="20"/>
                <w:color w:val="auto"/>
              </w:rPr>
            </w:pPr>
            <w:r>
              <w:rPr>
                <w:rFonts w:ascii="Arial" w:cs="Arial" w:eastAsia="Arial" w:hAnsi="Arial"/>
                <w:sz w:val="13"/>
                <w:szCs w:val="13"/>
                <w:color w:val="auto"/>
              </w:rPr>
              <w:t>Cash dividends declared on common stock ($0.38</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320" w:type="dxa"/>
            <w:vAlign w:val="bottom"/>
          </w:tcPr>
          <w:p>
            <w:pPr>
              <w:ind w:left="160"/>
              <w:spacing w:after="0"/>
              <w:rPr>
                <w:sz w:val="20"/>
                <w:szCs w:val="20"/>
                <w:color w:val="auto"/>
              </w:rPr>
            </w:pPr>
            <w:r>
              <w:rPr>
                <w:rFonts w:ascii="Arial" w:cs="Arial" w:eastAsia="Arial" w:hAnsi="Arial"/>
                <w:sz w:val="13"/>
                <w:szCs w:val="13"/>
                <w:color w:val="auto"/>
              </w:rPr>
              <w:t>per share)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(43)</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49"/>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Change in cash flow hedges, net of tax</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postretirement adjustments,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4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Cumulative effect of the adoption of Topic 842</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42"/>
        </w:trPr>
        <w:tc>
          <w:tcPr>
            <w:tcW w:w="332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May 4, 2019</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113,161</w:t>
            </w:r>
          </w:p>
        </w:tc>
        <w:tc>
          <w:tcPr>
            <w:tcW w:w="360" w:type="dxa"/>
            <w:vAlign w:val="bottom"/>
            <w:tcBorders>
              <w:bottom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820</w:t>
            </w: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(774)</w:t>
            </w:r>
          </w:p>
        </w:tc>
        <w:tc>
          <w:tcPr>
            <w:tcW w:w="2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(41)</w:t>
            </w:r>
          </w:p>
        </w:tc>
        <w:tc>
          <w:tcPr>
            <w:tcW w:w="22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2,207</w:t>
            </w:r>
          </w:p>
        </w:tc>
        <w:tc>
          <w:tcPr>
            <w:tcW w:w="16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(384)</w:t>
            </w: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2,602</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717550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8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35"/>
              <w:spacing w:after="0" w:line="156" w:lineRule="exact"/>
              <w:rPr>
                <w:sz w:val="20"/>
                <w:szCs w:val="20"/>
                <w:color w:val="auto"/>
              </w:rPr>
            </w:pPr>
            <w:r>
              <w:rPr>
                <w:rFonts w:ascii="Arial" w:cs="Arial" w:eastAsia="Arial" w:hAnsi="Arial"/>
                <w:sz w:val="17"/>
                <w:szCs w:val="17"/>
                <w:b w:val="1"/>
                <w:bCs w:val="1"/>
                <w:color w:val="auto"/>
              </w:rPr>
              <w:t>May 2,</w:t>
            </w:r>
          </w:p>
        </w:tc>
        <w:tc>
          <w:tcPr>
            <w:tcW w:w="3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3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40" w:type="dxa"/>
            <w:vAlign w:val="bottom"/>
            <w:gridSpan w:val="3"/>
          </w:tcPr>
          <w:p>
            <w:pPr>
              <w:jc w:val="right"/>
              <w:ind w:right="755"/>
              <w:spacing w:after="0" w:line="183" w:lineRule="exact"/>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operating activities: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80"/>
              <w:spacing w:after="0" w:line="189" w:lineRule="exact"/>
              <w:rPr>
                <w:sz w:val="20"/>
                <w:szCs w:val="20"/>
                <w:color w:val="auto"/>
              </w:rPr>
            </w:pPr>
            <w:r>
              <w:rPr>
                <w:rFonts w:ascii="Arial" w:cs="Arial" w:eastAsia="Arial" w:hAnsi="Arial"/>
                <w:sz w:val="17"/>
                <w:szCs w:val="17"/>
                <w:color w:val="auto"/>
              </w:rPr>
              <w:t>Net (loss) income</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(110)</w:t>
            </w:r>
          </w:p>
        </w:tc>
        <w:tc>
          <w:tcPr>
            <w:tcW w:w="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Adjustments to reconcile net (loss) income to net cash provided by</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activities: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200"/>
              <w:spacing w:after="0" w:line="189" w:lineRule="exact"/>
              <w:rPr>
                <w:sz w:val="20"/>
                <w:szCs w:val="20"/>
                <w:color w:val="auto"/>
              </w:rPr>
            </w:pPr>
            <w:r>
              <w:rPr>
                <w:rFonts w:ascii="Arial" w:cs="Arial" w:eastAsia="Arial" w:hAnsi="Arial"/>
                <w:sz w:val="17"/>
                <w:szCs w:val="17"/>
                <w:color w:val="auto"/>
              </w:rPr>
              <w:t>Impairment charges</w:t>
            </w:r>
          </w:p>
        </w:tc>
        <w:tc>
          <w:tcPr>
            <w:tcW w:w="40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40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24</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Share-based compensation expense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200"/>
              <w:spacing w:after="0" w:line="189" w:lineRule="exact"/>
              <w:rPr>
                <w:sz w:val="20"/>
                <w:szCs w:val="20"/>
                <w:color w:val="auto"/>
              </w:rPr>
            </w:pPr>
            <w:r>
              <w:rPr>
                <w:rFonts w:ascii="Arial" w:cs="Arial" w:eastAsia="Arial" w:hAnsi="Arial"/>
                <w:sz w:val="17"/>
                <w:szCs w:val="17"/>
                <w:color w:val="auto"/>
              </w:rPr>
              <w:t>Qualified pension plan contributions</w:t>
            </w:r>
          </w:p>
        </w:tc>
        <w:tc>
          <w:tcPr>
            <w:tcW w:w="40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assets and liabilities: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300"/>
              <w:spacing w:after="0" w:line="189" w:lineRule="exact"/>
              <w:rPr>
                <w:sz w:val="20"/>
                <w:szCs w:val="20"/>
                <w:color w:val="auto"/>
              </w:rPr>
            </w:pPr>
            <w:r>
              <w:rPr>
                <w:rFonts w:ascii="Arial" w:cs="Arial" w:eastAsia="Arial" w:hAnsi="Arial"/>
                <w:sz w:val="17"/>
                <w:szCs w:val="17"/>
                <w:color w:val="auto"/>
              </w:rPr>
              <w:t>Merchandise inventories</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(257)</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138</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300"/>
              <w:spacing w:after="0" w:line="189" w:lineRule="exact"/>
              <w:rPr>
                <w:sz w:val="20"/>
                <w:szCs w:val="20"/>
                <w:color w:val="auto"/>
              </w:rPr>
            </w:pPr>
            <w:r>
              <w:rPr>
                <w:rFonts w:ascii="Arial" w:cs="Arial" w:eastAsia="Arial" w:hAnsi="Arial"/>
                <w:sz w:val="17"/>
                <w:szCs w:val="17"/>
                <w:color w:val="auto"/>
              </w:rPr>
              <w:t>Accrued and other liabilities</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(44)</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Borders>
              <w:bottom w:val="single" w:sz="8" w:color="auto"/>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Other, net</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71</w:t>
            </w: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(used in) provided by operating activities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(116)</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40" w:type="dxa"/>
            <w:vAlign w:val="bottom"/>
          </w:tcPr>
          <w:p>
            <w:pPr>
              <w:spacing w:after="0" w:line="189" w:lineRule="exact"/>
              <w:rPr>
                <w:sz w:val="20"/>
                <w:szCs w:val="20"/>
                <w:color w:val="auto"/>
              </w:rPr>
            </w:pPr>
            <w:r>
              <w:rPr>
                <w:rFonts w:ascii="Arial" w:cs="Arial" w:eastAsia="Arial" w:hAnsi="Arial"/>
                <w:sz w:val="17"/>
                <w:szCs w:val="17"/>
                <w:b w:val="1"/>
                <w:bCs w:val="1"/>
                <w:color w:val="auto"/>
              </w:rPr>
              <w:t>From investing activities: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Capital expenditures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(52)</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Minority investments</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(58)</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financing activities: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80"/>
              <w:spacing w:after="0" w:line="189" w:lineRule="exact"/>
              <w:rPr>
                <w:sz w:val="20"/>
                <w:szCs w:val="20"/>
                <w:color w:val="auto"/>
              </w:rPr>
            </w:pPr>
            <w:r>
              <w:rPr>
                <w:rFonts w:ascii="Arial" w:cs="Arial" w:eastAsia="Arial" w:hAnsi="Arial"/>
                <w:sz w:val="17"/>
                <w:szCs w:val="17"/>
                <w:color w:val="auto"/>
              </w:rPr>
              <w:t>Proceeds from the revolving credit facility</w:t>
            </w:r>
          </w:p>
        </w:tc>
        <w:tc>
          <w:tcPr>
            <w:tcW w:w="40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330</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Purchase of treasury shares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80"/>
              <w:spacing w:after="0" w:line="189" w:lineRule="exact"/>
              <w:rPr>
                <w:sz w:val="20"/>
                <w:szCs w:val="20"/>
                <w:color w:val="auto"/>
              </w:rPr>
            </w:pPr>
            <w:r>
              <w:rPr>
                <w:rFonts w:ascii="Arial" w:cs="Arial" w:eastAsia="Arial" w:hAnsi="Arial"/>
                <w:sz w:val="17"/>
                <w:szCs w:val="17"/>
                <w:color w:val="auto"/>
              </w:rPr>
              <w:t>Dividends paid on common stock</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(42)</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exercise of stock options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(used in) financing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288</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Effect of exchange rate fluctuations on cash, cash equivalents, and</w:t>
            </w:r>
          </w:p>
        </w:tc>
        <w:tc>
          <w:tcPr>
            <w:tcW w:w="4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restricted cash</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400" w:type="dxa"/>
            <w:vAlign w:val="bottom"/>
          </w:tcPr>
          <w:p>
            <w:pPr>
              <w:spacing w:after="0"/>
              <w:rPr>
                <w:sz w:val="15"/>
                <w:szCs w:val="15"/>
                <w:color w:val="auto"/>
              </w:rPr>
            </w:pPr>
          </w:p>
        </w:tc>
        <w:tc>
          <w:tcPr>
            <w:tcW w:w="118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105</w:t>
            </w:r>
          </w:p>
        </w:tc>
        <w:tc>
          <w:tcPr>
            <w:tcW w:w="3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942</w:t>
            </w: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4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1,047</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1,161</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40" w:type="dxa"/>
            <w:vAlign w:val="bottom"/>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Interest</w:t>
            </w:r>
          </w:p>
        </w:tc>
        <w:tc>
          <w:tcPr>
            <w:tcW w:w="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Income taxes</w:t>
            </w:r>
          </w:p>
        </w:tc>
        <w:tc>
          <w:tcPr>
            <w:tcW w:w="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First Quarter 2020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right="819" w:firstLine="767"/>
        <w:spacing w:after="0" w:line="41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 Summary of Significant Accounting Policies</w:t>
      </w: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Condensed Consolidated Financial Statements (Unaudited) the terms “Foot Locker,” “Company,” “we,” “our,” and “us” refer to Foot Locker, Inc. and its consolidated subsidiaries.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 ended May 2, 2020 are not necessarily indicative of the results to be expected for the full fiscal year due to the continued uncertainty of general economic conditions that may affect us for the remainder of 2020. Specifically, we are uncertain of the extent to which the coronavirus (“COVID-19”) pandemic will affect our sales, traffic to our stores, including our distribution capabilities and those of our suppliers.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Foot Locker, Inc.’s Form 10-K for the year ended February 1, 2020, as filed with the U.S. Securities and Exchange Commission (the “SEC”) on March 27, 2020.</w:t>
      </w:r>
    </w:p>
    <w:p>
      <w:pPr>
        <w:spacing w:after="0" w:line="185"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our Annual Report on Form 10-K for the year ended February 1,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2, 2020, we adopted FASB guidance on the accounting for implementation costs of a cloud computing arrangement that is considered to be a service contract, that requires companies to follow the guidance for internal-use software to determine which costs to capitalize in a cloud computing arrangement that is a service contract. Under this guidance, such implementation costs will be capitalized in “Other assets” on the Condensed Consolidated Balance Sheet, with the related amortization presented in “Selling, general and administrative expenses” on the Condensed Consolidated Statement of Operations. This guidance was applied prospectively to implementation costs incurred after February 2, 2020. The adoption of this guidance did not have a significant effect on our condensed consolidated financial statements.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On February 2, 2020, we adopted FASB’s updated guidance on the accounting for performing goodwill impairment tests. This update eliminates the requirement to perform a hypothetical purchase price allocation to measure goodwill impairment. In testing goodwill for impairment, an entity may elect to utilize a qualitative assessment to evaluate whether it is more likely than not that the fair value of a reporting unit is less than its carrying amount. If the qualitative assessment indicates that goodwill impairment is more likely than not, an entity should perform its goodwill impairment test by comparing the fair value of a reporting unit to its carrying amount and recognize an impairment charge for the amount by which the carrying amount exceeds the reporting unit's fair value, not to exceed the total amount of goodwill allocated to the reporting unit. Refer to our updated accounting policy in Note 6, </w:t>
      </w:r>
      <w:r>
        <w:rPr>
          <w:rFonts w:ascii="Arial" w:cs="Arial" w:eastAsia="Arial" w:hAnsi="Arial"/>
          <w:sz w:val="18"/>
          <w:szCs w:val="18"/>
          <w:i w:val="1"/>
          <w:iCs w:val="1"/>
          <w:color w:val="auto"/>
        </w:rPr>
        <w:t>Goodwill.</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9" w:name="page10"/>
    <w:bookmarkEnd w:id="9"/>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2. Revenue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sales disaggregated based upon sales channel.</w:t>
      </w:r>
    </w:p>
    <w:p>
      <w:pPr>
        <w:sectPr>
          <w:pgSz w:w="11900" w:h="16838" w:orient="portrait"/>
          <w:cols w:equalWidth="0" w:num="1">
            <w:col w:w="9019"/>
          </w:cols>
          <w:pgMar w:left="1440" w:top="9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Sales by Channel</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Stores</w:t>
      </w:r>
    </w:p>
    <w:p>
      <w:pPr>
        <w:ind w:left="60"/>
        <w:spacing w:after="0"/>
        <w:rPr>
          <w:sz w:val="20"/>
          <w:szCs w:val="20"/>
          <w:color w:val="auto"/>
        </w:rPr>
      </w:pPr>
      <w:r>
        <w:rPr>
          <w:rFonts w:ascii="Arial" w:cs="Arial" w:eastAsia="Arial" w:hAnsi="Arial"/>
          <w:sz w:val="16"/>
          <w:szCs w:val="16"/>
          <w:color w:val="auto"/>
        </w:rPr>
        <w:t>Direct-to-customers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sales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12700</wp:posOffset>
            </wp:positionV>
            <wp:extent cx="5648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440" w:type="dxa"/>
            <w:vAlign w:val="bottom"/>
          </w:tcPr>
          <w:p>
            <w:pPr>
              <w:jc w:val="right"/>
              <w:ind w:right="595"/>
              <w:spacing w:after="0"/>
              <w:rPr>
                <w:sz w:val="20"/>
                <w:szCs w:val="20"/>
                <w:color w:val="auto"/>
              </w:rPr>
            </w:pPr>
            <w:r>
              <w:rPr>
                <w:rFonts w:ascii="Arial" w:cs="Arial" w:eastAsia="Arial" w:hAnsi="Arial"/>
                <w:sz w:val="17"/>
                <w:szCs w:val="17"/>
                <w:b w:val="1"/>
                <w:bCs w:val="1"/>
                <w:color w:val="auto"/>
              </w:rPr>
              <w:t>May 2,</w:t>
            </w:r>
          </w:p>
        </w:tc>
        <w:tc>
          <w:tcPr>
            <w:tcW w:w="64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Arial" w:cs="Arial" w:eastAsia="Arial" w:hAnsi="Arial"/>
                <w:sz w:val="17"/>
                <w:szCs w:val="17"/>
                <w:b w:val="1"/>
                <w:bCs w:val="1"/>
                <w:color w:val="auto"/>
              </w:rPr>
              <w:t>May 4,</w:t>
            </w:r>
          </w:p>
        </w:tc>
      </w:tr>
      <w:tr>
        <w:trPr>
          <w:trHeight w:val="223"/>
        </w:trPr>
        <w:tc>
          <w:tcPr>
            <w:tcW w:w="320" w:type="dxa"/>
            <w:vAlign w:val="bottom"/>
          </w:tcPr>
          <w:p>
            <w:pPr>
              <w:spacing w:after="0"/>
              <w:rPr>
                <w:sz w:val="19"/>
                <w:szCs w:val="19"/>
                <w:color w:val="auto"/>
              </w:rPr>
            </w:pPr>
          </w:p>
        </w:tc>
        <w:tc>
          <w:tcPr>
            <w:tcW w:w="1440" w:type="dxa"/>
            <w:vAlign w:val="bottom"/>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640" w:type="dxa"/>
            <w:vAlign w:val="bottom"/>
          </w:tcPr>
          <w:p>
            <w:pPr>
              <w:spacing w:after="0"/>
              <w:rPr>
                <w:sz w:val="19"/>
                <w:szCs w:val="19"/>
                <w:color w:val="auto"/>
              </w:rPr>
            </w:pPr>
          </w:p>
        </w:tc>
        <w:tc>
          <w:tcPr>
            <w:tcW w:w="1140" w:type="dxa"/>
            <w:vAlign w:val="bottom"/>
          </w:tcPr>
          <w:p>
            <w:pPr>
              <w:jc w:val="right"/>
              <w:ind w:right="495"/>
              <w:spacing w:after="0"/>
              <w:rPr>
                <w:sz w:val="20"/>
                <w:szCs w:val="20"/>
                <w:color w:val="auto"/>
              </w:rPr>
            </w:pPr>
            <w:r>
              <w:rPr>
                <w:rFonts w:ascii="Arial" w:cs="Arial" w:eastAsia="Arial" w:hAnsi="Arial"/>
                <w:sz w:val="17"/>
                <w:szCs w:val="17"/>
                <w:b w:val="1"/>
                <w:bCs w:val="1"/>
                <w:color w:val="auto"/>
              </w:rPr>
              <w:t>2019</w:t>
            </w:r>
          </w:p>
        </w:tc>
      </w:tr>
      <w:tr>
        <w:trPr>
          <w:trHeight w:val="205"/>
        </w:trPr>
        <w:tc>
          <w:tcPr>
            <w:tcW w:w="320" w:type="dxa"/>
            <w:vAlign w:val="bottom"/>
          </w:tcPr>
          <w:p>
            <w:pPr>
              <w:spacing w:after="0"/>
              <w:rPr>
                <w:sz w:val="17"/>
                <w:szCs w:val="17"/>
                <w:color w:val="auto"/>
              </w:rPr>
            </w:pPr>
          </w:p>
        </w:tc>
        <w:tc>
          <w:tcPr>
            <w:tcW w:w="20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140" w:type="dxa"/>
            <w:vAlign w:val="bottom"/>
          </w:tcPr>
          <w:p>
            <w:pPr>
              <w:spacing w:after="0"/>
              <w:rPr>
                <w:sz w:val="17"/>
                <w:szCs w:val="17"/>
                <w:color w:val="auto"/>
              </w:rPr>
            </w:pPr>
          </w:p>
        </w:tc>
      </w:tr>
      <w:tr>
        <w:trPr>
          <w:trHeight w:val="342"/>
        </w:trPr>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Pr>
          <w:p>
            <w:pPr>
              <w:jc w:val="right"/>
              <w:ind w:right="75"/>
              <w:spacing w:after="0"/>
              <w:rPr>
                <w:sz w:val="20"/>
                <w:szCs w:val="20"/>
                <w:color w:val="auto"/>
              </w:rPr>
            </w:pPr>
            <w:r>
              <w:rPr>
                <w:rFonts w:ascii="Arial" w:cs="Arial" w:eastAsia="Arial" w:hAnsi="Arial"/>
                <w:sz w:val="17"/>
                <w:szCs w:val="17"/>
                <w:b w:val="1"/>
                <w:bCs w:val="1"/>
                <w:color w:val="auto"/>
              </w:rPr>
              <w:t>814</w:t>
            </w:r>
          </w:p>
        </w:tc>
        <w:tc>
          <w:tcPr>
            <w:tcW w:w="6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1,758</w:t>
            </w:r>
          </w:p>
        </w:tc>
      </w:tr>
      <w:tr>
        <w:trPr>
          <w:trHeight w:val="203"/>
        </w:trPr>
        <w:tc>
          <w:tcPr>
            <w:tcW w:w="320" w:type="dxa"/>
            <w:vAlign w:val="bottom"/>
          </w:tcPr>
          <w:p>
            <w:pPr>
              <w:spacing w:after="0"/>
              <w:rPr>
                <w:sz w:val="17"/>
                <w:szCs w:val="17"/>
                <w:color w:val="auto"/>
              </w:rPr>
            </w:pPr>
          </w:p>
        </w:tc>
        <w:tc>
          <w:tcPr>
            <w:tcW w:w="1440" w:type="dxa"/>
            <w:vAlign w:val="bottom"/>
          </w:tcPr>
          <w:p>
            <w:pPr>
              <w:jc w:val="right"/>
              <w:ind w:right="75"/>
              <w:spacing w:after="0"/>
              <w:rPr>
                <w:sz w:val="20"/>
                <w:szCs w:val="20"/>
                <w:color w:val="auto"/>
              </w:rPr>
            </w:pPr>
            <w:r>
              <w:rPr>
                <w:rFonts w:ascii="Arial" w:cs="Arial" w:eastAsia="Arial" w:hAnsi="Arial"/>
                <w:sz w:val="17"/>
                <w:szCs w:val="17"/>
                <w:b w:val="1"/>
                <w:bCs w:val="1"/>
                <w:color w:val="auto"/>
              </w:rPr>
              <w:t>362</w:t>
            </w: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w:t>
            </w:r>
          </w:p>
        </w:tc>
      </w:tr>
      <w:tr>
        <w:trPr>
          <w:trHeight w:val="225"/>
        </w:trPr>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Pr>
          <w:p>
            <w:pPr>
              <w:jc w:val="right"/>
              <w:ind w:right="75"/>
              <w:spacing w:after="0"/>
              <w:rPr>
                <w:sz w:val="20"/>
                <w:szCs w:val="20"/>
                <w:color w:val="auto"/>
              </w:rPr>
            </w:pPr>
            <w:r>
              <w:rPr>
                <w:rFonts w:ascii="Arial" w:cs="Arial" w:eastAsia="Arial" w:hAnsi="Arial"/>
                <w:sz w:val="17"/>
                <w:szCs w:val="17"/>
                <w:b w:val="1"/>
                <w:bCs w:val="1"/>
                <w:color w:val="auto"/>
              </w:rPr>
              <w:t>1,176</w:t>
            </w:r>
          </w:p>
        </w:tc>
        <w:tc>
          <w:tcPr>
            <w:tcW w:w="6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-374015</wp:posOffset>
            </wp:positionV>
            <wp:extent cx="564896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-133985</wp:posOffset>
            </wp:positionV>
            <wp:extent cx="56489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-622935</wp:posOffset>
            </wp:positionV>
            <wp:extent cx="5648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3659"/>
          </w:cols>
          <w:pgMar w:left="1440" w:top="994" w:right="1440" w:bottom="1440" w:gutter="0" w:footer="0" w:header="0"/>
          <w:type w:val="continuous"/>
        </w:sectPr>
      </w:pPr>
    </w:p>
    <w:p>
      <w:pPr>
        <w:spacing w:after="0" w:line="3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Arial" w:cs="Arial" w:eastAsia="Arial" w:hAnsi="Arial"/>
                <w:sz w:val="17"/>
                <w:szCs w:val="17"/>
                <w:b w:val="1"/>
                <w:bCs w:val="1"/>
                <w:color w:val="auto"/>
              </w:rPr>
              <w:t>May 2,</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98"/>
        </w:trPr>
        <w:tc>
          <w:tcPr>
            <w:tcW w:w="3460" w:type="dxa"/>
            <w:vAlign w:val="bottom"/>
            <w:vMerge w:val="restart"/>
          </w:tcPr>
          <w:p>
            <w:pPr>
              <w:spacing w:after="0"/>
              <w:rPr>
                <w:sz w:val="20"/>
                <w:szCs w:val="20"/>
                <w:color w:val="auto"/>
              </w:rPr>
            </w:pPr>
            <w:r>
              <w:rPr>
                <w:rFonts w:ascii="Arial" w:cs="Arial" w:eastAsia="Arial" w:hAnsi="Arial"/>
                <w:sz w:val="17"/>
                <w:szCs w:val="17"/>
                <w:b w:val="1"/>
                <w:bCs w:val="1"/>
                <w:color w:val="auto"/>
              </w:rPr>
              <w:t>Sales by Geography</w:t>
            </w:r>
          </w:p>
        </w:tc>
        <w:tc>
          <w:tcPr>
            <w:tcW w:w="296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296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911</w:t>
            </w:r>
          </w:p>
        </w:tc>
        <w:tc>
          <w:tcPr>
            <w:tcW w:w="6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2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265</w:t>
            </w: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2960" w:type="dxa"/>
            <w:vAlign w:val="bottom"/>
            <w:tcBorders>
              <w:bottom w:val="single" w:sz="8" w:color="auto"/>
            </w:tcBorders>
            <w:shd w:val="clear" w:color="auto" w:fill="CCEEFF"/>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1,176</w:t>
            </w:r>
          </w:p>
        </w:tc>
        <w:tc>
          <w:tcPr>
            <w:tcW w:w="64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0" w:type="dxa"/>
            <w:vAlign w:val="bottom"/>
          </w:tcPr>
          <w:p>
            <w:pPr>
              <w:jc w:val="right"/>
              <w:ind w:right="15"/>
              <w:spacing w:after="0"/>
              <w:rPr>
                <w:sz w:val="20"/>
                <w:szCs w:val="20"/>
                <w:color w:val="auto"/>
              </w:rPr>
            </w:pPr>
            <w:r>
              <w:rPr>
                <w:rFonts w:ascii="Arial" w:cs="Arial" w:eastAsia="Arial" w:hAnsi="Arial"/>
                <w:sz w:val="17"/>
                <w:szCs w:val="17"/>
                <w:b w:val="1"/>
                <w:bCs w:val="1"/>
                <w:color w:val="auto"/>
              </w:rPr>
              <w:t>May 2,</w:t>
            </w: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7"/>
                <w:szCs w:val="17"/>
                <w:b w:val="1"/>
                <w:bCs w:val="1"/>
                <w:color w:val="auto"/>
              </w:rPr>
              <w:t>May 4,</w:t>
            </w:r>
          </w:p>
        </w:tc>
      </w:tr>
      <w:tr>
        <w:trPr>
          <w:trHeight w:val="215"/>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Gift card liability at beginning of year</w:t>
            </w:r>
          </w:p>
        </w:tc>
        <w:tc>
          <w:tcPr>
            <w:tcW w:w="2400" w:type="dxa"/>
            <w:vAlign w:val="bottom"/>
            <w:shd w:val="clear" w:color="auto" w:fill="CCEEFF"/>
          </w:tcPr>
          <w:p>
            <w:pPr>
              <w:jc w:val="right"/>
              <w:ind w:right="89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35</w:t>
            </w:r>
          </w:p>
        </w:tc>
        <w:tc>
          <w:tcPr>
            <w:tcW w:w="5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r>
      <w:tr>
        <w:trPr>
          <w:trHeight w:val="189"/>
        </w:trPr>
        <w:tc>
          <w:tcPr>
            <w:tcW w:w="20" w:type="dxa"/>
            <w:vAlign w:val="bottom"/>
          </w:tcPr>
          <w:p>
            <w:pPr>
              <w:spacing w:after="0"/>
              <w:rPr>
                <w:sz w:val="16"/>
                <w:szCs w:val="16"/>
                <w:color w:val="auto"/>
              </w:rPr>
            </w:pPr>
          </w:p>
        </w:tc>
        <w:tc>
          <w:tcPr>
            <w:tcW w:w="4060" w:type="dxa"/>
            <w:vAlign w:val="bottom"/>
          </w:tcPr>
          <w:p>
            <w:pPr>
              <w:ind w:left="200"/>
              <w:spacing w:after="0" w:line="189" w:lineRule="exact"/>
              <w:rPr>
                <w:sz w:val="20"/>
                <w:szCs w:val="20"/>
                <w:color w:val="auto"/>
              </w:rPr>
            </w:pPr>
            <w:r>
              <w:rPr>
                <w:rFonts w:ascii="Arial" w:cs="Arial" w:eastAsia="Arial" w:hAnsi="Arial"/>
                <w:sz w:val="17"/>
                <w:szCs w:val="17"/>
                <w:color w:val="auto"/>
              </w:rPr>
              <w:t>Redemptions</w:t>
            </w:r>
          </w:p>
        </w:tc>
        <w:tc>
          <w:tcPr>
            <w:tcW w:w="2400" w:type="dxa"/>
            <w:vAlign w:val="bottom"/>
          </w:tcPr>
          <w:p>
            <w:pPr>
              <w:spacing w:after="0"/>
              <w:rPr>
                <w:sz w:val="16"/>
                <w:szCs w:val="16"/>
                <w:color w:val="auto"/>
              </w:rPr>
            </w:pPr>
          </w:p>
        </w:tc>
        <w:tc>
          <w:tcPr>
            <w:tcW w:w="66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(15)</w:t>
            </w:r>
          </w:p>
        </w:tc>
        <w:tc>
          <w:tcPr>
            <w:tcW w:w="5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Breakage recognized in sales</w:t>
            </w:r>
          </w:p>
        </w:tc>
        <w:tc>
          <w:tcPr>
            <w:tcW w:w="2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4060" w:type="dxa"/>
            <w:vAlign w:val="bottom"/>
          </w:tcPr>
          <w:p>
            <w:pPr>
              <w:ind w:left="200"/>
              <w:spacing w:after="0" w:line="189" w:lineRule="exact"/>
              <w:rPr>
                <w:sz w:val="20"/>
                <w:szCs w:val="20"/>
                <w:color w:val="auto"/>
              </w:rPr>
            </w:pPr>
            <w:r>
              <w:rPr>
                <w:rFonts w:ascii="Arial" w:cs="Arial" w:eastAsia="Arial" w:hAnsi="Arial"/>
                <w:sz w:val="17"/>
                <w:szCs w:val="17"/>
                <w:color w:val="auto"/>
              </w:rPr>
              <w:t>Activations</w:t>
            </w:r>
          </w:p>
        </w:tc>
        <w:tc>
          <w:tcPr>
            <w:tcW w:w="2400" w:type="dxa"/>
            <w:vAlign w:val="bottom"/>
          </w:tcPr>
          <w:p>
            <w:pPr>
              <w:spacing w:after="0"/>
              <w:rPr>
                <w:sz w:val="16"/>
                <w:szCs w:val="16"/>
                <w:color w:val="auto"/>
              </w:rPr>
            </w:pPr>
          </w:p>
        </w:tc>
        <w:tc>
          <w:tcPr>
            <w:tcW w:w="6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14</w:t>
            </w:r>
          </w:p>
        </w:tc>
        <w:tc>
          <w:tcPr>
            <w:tcW w:w="5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Foreign currency fluctuations</w:t>
            </w:r>
          </w:p>
        </w:tc>
        <w:tc>
          <w:tcPr>
            <w:tcW w:w="24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2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Gift card liability</w:t>
            </w:r>
          </w:p>
        </w:tc>
        <w:tc>
          <w:tcPr>
            <w:tcW w:w="2400" w:type="dxa"/>
            <w:vAlign w:val="bottom"/>
            <w:tcBorders>
              <w:bottom w:val="single" w:sz="8" w:color="auto"/>
            </w:tcBorders>
          </w:tcPr>
          <w:p>
            <w:pPr>
              <w:jc w:val="right"/>
              <w:ind w:right="89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32</w:t>
            </w:r>
          </w:p>
        </w:tc>
        <w:tc>
          <w:tcPr>
            <w:tcW w:w="56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30</w:t>
            </w: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19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153"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(loss) profit. Division (loss) profit reflects (loss) income before income taxes, impairment and other charges, corporate expense, non-operating income, and net interest (expense) income.</w:t>
      </w:r>
    </w:p>
    <w:p>
      <w:pPr>
        <w:spacing w:after="0" w:line="3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w:t>
      </w:r>
    </w:p>
    <w:p>
      <w:pPr>
        <w:spacing w:after="0" w:line="186"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6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8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230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1,176</w:t>
            </w:r>
          </w:p>
        </w:tc>
        <w:tc>
          <w:tcPr>
            <w:tcW w:w="60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2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Division (loss) profit</w:t>
            </w:r>
          </w:p>
        </w:tc>
        <w:tc>
          <w:tcPr>
            <w:tcW w:w="230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(79)</w:t>
            </w:r>
          </w:p>
        </w:tc>
        <w:tc>
          <w:tcPr>
            <w:tcW w:w="6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2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16</w:t>
            </w:r>
          </w:p>
        </w:tc>
        <w:tc>
          <w:tcPr>
            <w:tcW w:w="6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2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10</w:t>
            </w: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income from operations</w:t>
            </w:r>
          </w:p>
        </w:tc>
        <w:tc>
          <w:tcPr>
            <w:tcW w:w="23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(105)</w:t>
            </w: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230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6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2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6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(Loss) income before income taxes</w:t>
            </w:r>
          </w:p>
        </w:tc>
        <w:tc>
          <w:tcPr>
            <w:tcW w:w="230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(105)</w:t>
            </w:r>
          </w:p>
        </w:tc>
        <w:tc>
          <w:tcPr>
            <w:tcW w:w="600" w:type="dxa"/>
            <w:vAlign w:val="bottom"/>
            <w:tcBorders>
              <w:bottom w:val="single" w:sz="8" w:color="auto"/>
            </w:tcBorders>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80" w:right="79" w:hanging="330"/>
        <w:spacing w:after="0" w:line="247"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thirteen weeks ended May 2, 2020, we recorded pre-tax charges of $15 million related to the impairment of certain Runners Point and Sidestep stores that will be closing before lease expiration and other underperforming stores in Europe. We recorded pre-tax charges of $1 million in each of the thirteen weeks ended May 2, 2020 and May 4, 2019 related to administrative costs in connection with the pension plan reformation.</w:t>
      </w:r>
    </w:p>
    <w:p>
      <w:pPr>
        <w:spacing w:after="0" w:line="9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Impairment and Other Charges</w:t>
      </w:r>
    </w:p>
    <w:p>
      <w:pPr>
        <w:spacing w:after="0" w:line="20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7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5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4,</w:t>
            </w:r>
          </w:p>
        </w:tc>
      </w:tr>
      <w:tr>
        <w:trPr>
          <w:trHeight w:val="215"/>
        </w:trPr>
        <w:tc>
          <w:tcPr>
            <w:tcW w:w="47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4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5"/>
                <w:szCs w:val="15"/>
                <w:color w:val="auto"/>
              </w:rPr>
            </w:pPr>
          </w:p>
        </w:tc>
      </w:tr>
      <w:tr>
        <w:trPr>
          <w:trHeight w:val="189"/>
        </w:trPr>
        <w:tc>
          <w:tcPr>
            <w:tcW w:w="4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Impairment of long-lived assets and right-of-use assets</w:t>
            </w:r>
          </w:p>
        </w:tc>
        <w:tc>
          <w:tcPr>
            <w:tcW w:w="176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w:t>
            </w:r>
          </w:p>
        </w:tc>
        <w:tc>
          <w:tcPr>
            <w:tcW w:w="6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7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17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47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1760" w:type="dxa"/>
            <w:vAlign w:val="bottom"/>
            <w:tcBorders>
              <w:bottom w:val="single" w:sz="8" w:color="auto"/>
            </w:tcBorders>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16</w:t>
            </w:r>
          </w:p>
        </w:tc>
        <w:tc>
          <w:tcPr>
            <w:tcW w:w="64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In May 2020, we made the strategic decision to close our Runners Point business. As part of the decision to close the banner, certain Runners Point stores will convert to other banners and approximately 40 Runners Point and Sidestep stores will close prior to their natural lease expiration. Due to the COVID-19 pandemic and its effect on our actual and projected results, we determined that a triggering event had occurred for certain underperforming stores operating in Europe and, therefore, we conducted an impairment review during the first quarter of 2020. We evaluated the long-lived assets, including the right-of-use assets, of 70 stores and recorded non-cash charges of $15 million to write down store fixtures, leasehold improvements, and right-of-use assets.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and the Company’s U.S. pension plan were involved in litigation related to the conversion of the plan to a cash balance plan. The court entered its final judgment in 2018, which required the plan to be reformed as directed by the court order. We recorded charges of $1 million for both the thirteen weeks ended May 2, 2020 and May 4, 2019 related to administrative expenses in connection with the reformation.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1" w:name="page12"/>
    <w:bookmarkEnd w:id="11"/>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5. Cash, Cash Equivalents, and Restricted Cash</w:t>
      </w:r>
    </w:p>
    <w:p>
      <w:pPr>
        <w:spacing w:after="0" w:line="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May 2,</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7"/>
                <w:szCs w:val="17"/>
                <w:b w:val="1"/>
                <w:bCs w:val="1"/>
                <w:color w:val="auto"/>
              </w:rPr>
              <w:t>May 4,</w:t>
            </w:r>
          </w:p>
        </w:tc>
      </w:tr>
      <w:tr>
        <w:trPr>
          <w:trHeight w:val="215"/>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80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1,012</w:t>
            </w:r>
          </w:p>
        </w:tc>
        <w:tc>
          <w:tcPr>
            <w:tcW w:w="6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1,126</w:t>
            </w: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800" w:type="dxa"/>
            <w:vAlign w:val="bottom"/>
          </w:tcPr>
          <w:p>
            <w:pPr>
              <w:spacing w:after="0"/>
              <w:rPr>
                <w:sz w:val="16"/>
                <w:szCs w:val="16"/>
                <w:color w:val="auto"/>
              </w:rPr>
            </w:pPr>
          </w:p>
        </w:tc>
        <w:tc>
          <w:tcPr>
            <w:tcW w:w="6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6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20" w:type="dxa"/>
            <w:vAlign w:val="bottom"/>
          </w:tcPr>
          <w:p>
            <w:pPr>
              <w:spacing w:after="0"/>
              <w:rPr>
                <w:sz w:val="16"/>
                <w:szCs w:val="16"/>
                <w:color w:val="auto"/>
              </w:rPr>
            </w:pPr>
          </w:p>
        </w:tc>
        <w:tc>
          <w:tcPr>
            <w:tcW w:w="4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8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w:t>
            </w:r>
          </w:p>
        </w:tc>
        <w:tc>
          <w:tcPr>
            <w:tcW w:w="6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r>
      <w:tr>
        <w:trPr>
          <w:trHeight w:val="183"/>
        </w:trPr>
        <w:tc>
          <w:tcPr>
            <w:tcW w:w="2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80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1,047</w:t>
            </w:r>
          </w:p>
        </w:tc>
        <w:tc>
          <w:tcPr>
            <w:tcW w:w="640" w:type="dxa"/>
            <w:vAlign w:val="bottom"/>
            <w:tcBorders>
              <w:bottom w:val="single" w:sz="8" w:color="auto"/>
            </w:tcBorders>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1,161</w:t>
            </w: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performing our qualitative assessment of as the beginning of the year, we performed an additional quantitative assessment due to the COVID-19 pandemic and its effect on our results and stock price. Neither assessment resulted in the recognition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2" w:name="page13"/>
    <w:bookmarkEnd w:id="12"/>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7. Other Intangible Assets, net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May 2, 2020</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May 4, 2019</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jc w:val="right"/>
              <w:ind w:right="55"/>
              <w:spacing w:after="0" w:line="156" w:lineRule="exact"/>
              <w:rPr>
                <w:sz w:val="20"/>
                <w:szCs w:val="20"/>
                <w:color w:val="auto"/>
              </w:rPr>
            </w:pPr>
            <w:r>
              <w:rPr>
                <w:rFonts w:ascii="Arial" w:cs="Arial" w:eastAsia="Arial" w:hAnsi="Arial"/>
                <w:sz w:val="17"/>
                <w:szCs w:val="17"/>
                <w:b w:val="1"/>
                <w:bCs w:val="1"/>
                <w:color w:val="auto"/>
              </w:rPr>
              <w:t>Gross</w:t>
            </w:r>
          </w:p>
        </w:tc>
        <w:tc>
          <w:tcPr>
            <w:tcW w:w="94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Accum.</w:t>
            </w:r>
          </w:p>
        </w:tc>
        <w:tc>
          <w:tcPr>
            <w:tcW w:w="180" w:type="dxa"/>
            <w:vAlign w:val="bottom"/>
          </w:tcPr>
          <w:p>
            <w:pPr>
              <w:spacing w:after="0"/>
              <w:rPr>
                <w:sz w:val="13"/>
                <w:szCs w:val="13"/>
                <w:color w:val="auto"/>
              </w:rPr>
            </w:pPr>
          </w:p>
        </w:tc>
        <w:tc>
          <w:tcPr>
            <w:tcW w:w="660" w:type="dxa"/>
            <w:vAlign w:val="bottom"/>
          </w:tcPr>
          <w:p>
            <w:pPr>
              <w:jc w:val="right"/>
              <w:ind w:right="195"/>
              <w:spacing w:after="0" w:line="156" w:lineRule="exact"/>
              <w:rPr>
                <w:sz w:val="20"/>
                <w:szCs w:val="20"/>
                <w:color w:val="auto"/>
              </w:rPr>
            </w:pPr>
            <w:r>
              <w:rPr>
                <w:rFonts w:ascii="Arial" w:cs="Arial" w:eastAsia="Arial" w:hAnsi="Arial"/>
                <w:sz w:val="17"/>
                <w:szCs w:val="17"/>
                <w:b w:val="1"/>
                <w:bCs w:val="1"/>
                <w:color w:val="auto"/>
              </w:rPr>
              <w:t>Net</w:t>
            </w:r>
          </w:p>
        </w:tc>
        <w:tc>
          <w:tcPr>
            <w:tcW w:w="200" w:type="dxa"/>
            <w:vAlign w:val="bottom"/>
          </w:tcPr>
          <w:p>
            <w:pPr>
              <w:spacing w:after="0"/>
              <w:rPr>
                <w:sz w:val="13"/>
                <w:szCs w:val="13"/>
                <w:color w:val="auto"/>
              </w:rPr>
            </w:pPr>
          </w:p>
        </w:tc>
        <w:tc>
          <w:tcPr>
            <w:tcW w:w="640" w:type="dxa"/>
            <w:vAlign w:val="bottom"/>
          </w:tcPr>
          <w:p>
            <w:pPr>
              <w:jc w:val="right"/>
              <w:ind w:right="35"/>
              <w:spacing w:after="0" w:line="156" w:lineRule="exact"/>
              <w:rPr>
                <w:sz w:val="20"/>
                <w:szCs w:val="20"/>
                <w:color w:val="auto"/>
              </w:rPr>
            </w:pPr>
            <w:r>
              <w:rPr>
                <w:rFonts w:ascii="Arial" w:cs="Arial" w:eastAsia="Arial" w:hAnsi="Arial"/>
                <w:sz w:val="17"/>
                <w:szCs w:val="17"/>
                <w:b w:val="1"/>
                <w:bCs w:val="1"/>
                <w:color w:val="auto"/>
              </w:rPr>
              <w:t>Gross</w:t>
            </w:r>
          </w:p>
        </w:tc>
        <w:tc>
          <w:tcPr>
            <w:tcW w:w="940" w:type="dxa"/>
            <w:vAlign w:val="bottom"/>
            <w:gridSpan w:val="2"/>
          </w:tcPr>
          <w:p>
            <w:pPr>
              <w:jc w:val="right"/>
              <w:ind w:right="35"/>
              <w:spacing w:after="0" w:line="156" w:lineRule="exact"/>
              <w:rPr>
                <w:sz w:val="20"/>
                <w:szCs w:val="20"/>
                <w:color w:val="auto"/>
              </w:rPr>
            </w:pPr>
            <w:r>
              <w:rPr>
                <w:rFonts w:ascii="Arial" w:cs="Arial" w:eastAsia="Arial" w:hAnsi="Arial"/>
                <w:sz w:val="17"/>
                <w:szCs w:val="17"/>
                <w:b w:val="1"/>
                <w:bCs w:val="1"/>
                <w:color w:val="auto"/>
              </w:rPr>
              <w:t>Accum.</w:t>
            </w:r>
          </w:p>
        </w:tc>
        <w:tc>
          <w:tcPr>
            <w:tcW w:w="180" w:type="dxa"/>
            <w:vAlign w:val="bottom"/>
          </w:tcPr>
          <w:p>
            <w:pPr>
              <w:spacing w:after="0"/>
              <w:rPr>
                <w:sz w:val="13"/>
                <w:szCs w:val="13"/>
                <w:color w:val="auto"/>
              </w:rPr>
            </w:pPr>
          </w:p>
        </w:tc>
        <w:tc>
          <w:tcPr>
            <w:tcW w:w="60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4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7"/>
                <w:szCs w:val="17"/>
                <w:b w:val="1"/>
                <w:bCs w:val="1"/>
                <w:color w:val="auto"/>
              </w:rPr>
              <w:t>value</w:t>
            </w:r>
          </w:p>
        </w:tc>
        <w:tc>
          <w:tcPr>
            <w:tcW w:w="22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7"/>
                <w:szCs w:val="17"/>
                <w:b w:val="1"/>
                <w:bCs w:val="1"/>
                <w:color w:val="auto"/>
                <w:w w:val="99"/>
              </w:rPr>
              <w:t>amort.</w:t>
            </w:r>
          </w:p>
        </w:tc>
        <w:tc>
          <w:tcPr>
            <w:tcW w:w="18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7"/>
                <w:szCs w:val="17"/>
                <w:b w:val="1"/>
                <w:bCs w:val="1"/>
                <w:color w:val="auto"/>
              </w:rPr>
              <w:t>value</w:t>
            </w:r>
          </w:p>
        </w:tc>
        <w:tc>
          <w:tcPr>
            <w:tcW w:w="20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auto"/>
              </w:rPr>
              <w:t>value</w:t>
            </w:r>
          </w:p>
        </w:tc>
        <w:tc>
          <w:tcPr>
            <w:tcW w:w="240" w:type="dxa"/>
            <w:vAlign w:val="bottom"/>
          </w:tcPr>
          <w:p>
            <w:pPr>
              <w:spacing w:after="0"/>
              <w:rPr>
                <w:sz w:val="18"/>
                <w:szCs w:val="18"/>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b w:val="1"/>
                <w:bCs w:val="1"/>
                <w:color w:val="auto"/>
                <w:w w:val="96"/>
              </w:rPr>
              <w:t>amort.</w:t>
            </w:r>
          </w:p>
        </w:tc>
        <w:tc>
          <w:tcPr>
            <w:tcW w:w="180" w:type="dxa"/>
            <w:vAlign w:val="bottom"/>
          </w:tcPr>
          <w:p>
            <w:pPr>
              <w:spacing w:after="0"/>
              <w:rPr>
                <w:sz w:val="18"/>
                <w:szCs w:val="18"/>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7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tcPr>
          <w:p>
            <w:pPr>
              <w:ind w:left="200"/>
              <w:spacing w:after="0" w:line="189" w:lineRule="exact"/>
              <w:rPr>
                <w:sz w:val="20"/>
                <w:szCs w:val="20"/>
                <w:color w:val="auto"/>
              </w:rPr>
            </w:pPr>
            <w:r>
              <w:rPr>
                <w:rFonts w:ascii="Arial" w:cs="Arial" w:eastAsia="Arial" w:hAnsi="Arial"/>
                <w:sz w:val="17"/>
                <w:szCs w:val="17"/>
                <w:color w:val="auto"/>
              </w:rPr>
              <w:t>Lease acquisition costs</w:t>
            </w: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113</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(106)</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116</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7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(122)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(123)</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20" w:type="dxa"/>
            <w:vAlign w:val="bottom"/>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7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intangible assets, net</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19</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80" w:right="79" w:hanging="330"/>
        <w:spacing w:after="0" w:line="25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reflects the effect of foreign currency fluctuations due primarily to movements of the euro in relation to the U.S. dollar.</w:t>
      </w:r>
    </w:p>
    <w:p>
      <w:pPr>
        <w:spacing w:after="0" w:line="17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2020 did not result in the recognition of impairment.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173"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4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3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May 2, 2020</w:t>
            </w:r>
          </w:p>
        </w:tc>
        <w:tc>
          <w:tcPr>
            <w:tcW w:w="2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May 4, 2019</w:t>
            </w: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3340" w:type="dxa"/>
            <w:vAlign w:val="bottom"/>
            <w:tcBorders>
              <w:bottom w:val="single" w:sz="8" w:color="auto"/>
            </w:tcBorders>
            <w:shd w:val="clear" w:color="auto" w:fill="CCEEFF"/>
          </w:tcPr>
          <w:p>
            <w:pPr>
              <w:jc w:val="right"/>
              <w:ind w:right="129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3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 in millions)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2020</w:t>
            </w:r>
          </w:p>
        </w:tc>
        <w:tc>
          <w:tcPr>
            <w:tcW w:w="3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15"/>
              <w:spacing w:after="0" w:line="183"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2021</w:t>
            </w: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2022</w:t>
            </w:r>
          </w:p>
        </w:tc>
        <w:tc>
          <w:tcPr>
            <w:tcW w:w="3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3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2025</w:t>
            </w:r>
          </w:p>
        </w:tc>
        <w:tc>
          <w:tcPr>
            <w:tcW w:w="3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Revolving Credit Facility</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May 19, 2016, we entered into a credit agreement with our banks (“2016 Credit Agreement”). The 2016 Credit Agreement provides for a $ 400 million asset-based revolving credit facility maturing on May 19, 2021. During the term of the 2016 Credit Agreement, we may also increase the commitments by up to $200 million, subject to customary conditions. In the first quarter of 2020, we have drawn $330 million of our credit facility.</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Interest is determined by the eurodollar rate, determined by reference to LIBOR, plus a margin of 1.125 percent to 1.375 percent depending on availability under the 2016 Credit Agreement. In addition, we are paying a commitment fee of 0.20 percent per annum on the unused portion of the commitments.</w:t>
      </w:r>
    </w:p>
    <w:p>
      <w:pPr>
        <w:spacing w:after="0" w:line="1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not required to comply with any financial covenants unless certain events of default have occurred and are continuing, or if availability under the 2016 Credit Agreement does not exceed the greater of $ 40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7"/>
                <w:szCs w:val="17"/>
                <w:b w:val="1"/>
                <w:bCs w:val="1"/>
                <w:color w:val="auto"/>
              </w:rPr>
              <w:t>May 2,</w:t>
            </w:r>
          </w:p>
        </w:tc>
        <w:tc>
          <w:tcPr>
            <w:tcW w:w="300" w:type="dxa"/>
            <w:vAlign w:val="bottom"/>
          </w:tcPr>
          <w:p>
            <w:pPr>
              <w:spacing w:after="0"/>
              <w:rPr>
                <w:sz w:val="16"/>
                <w:szCs w:val="16"/>
                <w:color w:val="auto"/>
              </w:rPr>
            </w:pPr>
          </w:p>
        </w:tc>
        <w:tc>
          <w:tcPr>
            <w:tcW w:w="1240" w:type="dxa"/>
            <w:vAlign w:val="bottom"/>
          </w:tcPr>
          <w:p>
            <w:pPr>
              <w:jc w:val="right"/>
              <w:ind w:right="415"/>
              <w:spacing w:after="0"/>
              <w:rPr>
                <w:sz w:val="20"/>
                <w:szCs w:val="20"/>
                <w:color w:val="auto"/>
              </w:rPr>
            </w:pPr>
            <w:r>
              <w:rPr>
                <w:rFonts w:ascii="Arial" w:cs="Arial" w:eastAsia="Arial" w:hAnsi="Arial"/>
                <w:sz w:val="17"/>
                <w:szCs w:val="17"/>
                <w:b w:val="1"/>
                <w:bCs w:val="1"/>
                <w:color w:val="auto"/>
              </w:rPr>
              <w:t>May 4,</w:t>
            </w:r>
          </w:p>
        </w:tc>
        <w:tc>
          <w:tcPr>
            <w:tcW w:w="26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55"/>
              <w:spacing w:after="0" w:line="183"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(120)</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6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pension cost and postretirement</w:t>
            </w:r>
          </w:p>
        </w:tc>
        <w:tc>
          <w:tcPr>
            <w:tcW w:w="6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(284)</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benefit</w:t>
            </w:r>
          </w:p>
        </w:tc>
        <w:tc>
          <w:tcPr>
            <w:tcW w:w="6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(283)</w:t>
            </w:r>
          </w:p>
        </w:tc>
        <w:tc>
          <w:tcPr>
            <w:tcW w:w="2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(404)</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(384)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thirteen weeks ended May 2, 2020 were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Currency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34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Translation</w:t>
            </w:r>
          </w:p>
        </w:tc>
        <w:tc>
          <w:tcPr>
            <w:tcW w:w="1200" w:type="dxa"/>
            <w:vAlign w:val="bottom"/>
            <w:gridSpan w:val="2"/>
          </w:tcPr>
          <w:p>
            <w:pPr>
              <w:jc w:val="right"/>
              <w:ind w:right="75"/>
              <w:spacing w:after="0" w:line="189" w:lineRule="exact"/>
              <w:rPr>
                <w:sz w:val="20"/>
                <w:szCs w:val="20"/>
                <w:color w:val="auto"/>
              </w:rPr>
            </w:pPr>
            <w:r>
              <w:rPr>
                <w:rFonts w:ascii="Arial" w:cs="Arial" w:eastAsia="Arial" w:hAnsi="Arial"/>
                <w:sz w:val="17"/>
                <w:szCs w:val="17"/>
                <w:b w:val="1"/>
                <w:bCs w:val="1"/>
                <w:color w:val="auto"/>
              </w:rPr>
              <w:t>Cash Flow</w:t>
            </w: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8"/>
                <w:szCs w:val="18"/>
                <w:color w:val="auto"/>
              </w:rPr>
            </w:pPr>
          </w:p>
        </w:tc>
        <w:tc>
          <w:tcPr>
            <w:tcW w:w="800" w:type="dxa"/>
            <w:vAlign w:val="bottom"/>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1, 2020</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(287)</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(16)</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May 2, 2020</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(120)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(284)</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gridSpan w:val="7"/>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00" w:type="dxa"/>
            <w:vAlign w:val="bottom"/>
            <w:gridSpan w:val="8"/>
          </w:tcPr>
          <w:p>
            <w:pPr>
              <w:spacing w:after="0"/>
              <w:rPr>
                <w:sz w:val="20"/>
                <w:szCs w:val="20"/>
                <w:color w:val="auto"/>
              </w:rPr>
            </w:pPr>
            <w:r>
              <w:rPr>
                <w:rFonts w:ascii="Arial" w:cs="Arial" w:eastAsia="Arial" w:hAnsi="Arial"/>
                <w:sz w:val="18"/>
                <w:szCs w:val="18"/>
                <w:color w:val="auto"/>
              </w:rPr>
              <w:t>Reclassifications from AOCL for the thirteen weeks ended May 2, 2020 were as follows: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Fair Value Measurements</w:t>
      </w:r>
    </w:p>
    <w:p>
      <w:pPr>
        <w:spacing w:after="0" w:line="19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75"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71" w:lineRule="exact"/>
        <w:rPr>
          <w:sz w:val="20"/>
          <w:szCs w:val="20"/>
          <w:color w:val="auto"/>
        </w:rPr>
      </w:pPr>
    </w:p>
    <w:p>
      <w:pPr>
        <w:jc w:val="both"/>
        <w:ind w:left="1340" w:right="79" w:hanging="971"/>
        <w:spacing w:after="0" w:line="23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64" w:lineRule="exact"/>
        <w:rPr>
          <w:sz w:val="20"/>
          <w:szCs w:val="20"/>
          <w:color w:val="auto"/>
        </w:rPr>
      </w:pPr>
    </w:p>
    <w:p>
      <w:pPr>
        <w:jc w:val="both"/>
        <w:ind w:left="1340" w:right="79" w:hanging="971"/>
        <w:spacing w:after="0" w:line="24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2020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15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56"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640"/>
              <w:spacing w:after="0"/>
              <w:rPr>
                <w:sz w:val="20"/>
                <w:szCs w:val="20"/>
                <w:color w:val="auto"/>
              </w:rPr>
            </w:pPr>
            <w:r>
              <w:rPr>
                <w:rFonts w:ascii="Arial" w:cs="Arial" w:eastAsia="Arial" w:hAnsi="Arial"/>
                <w:sz w:val="17"/>
                <w:szCs w:val="17"/>
                <w:b w:val="1"/>
                <w:bCs w:val="1"/>
                <w:color w:val="auto"/>
                <w:w w:val="98"/>
              </w:rPr>
              <w:t>As of May 2, 2020</w:t>
            </w: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May 4, 2019</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ind w:left="340"/>
              <w:spacing w:after="0" w:line="156"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Level 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8"/>
              </w:rPr>
              <w:t>Level 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7"/>
                <w:szCs w:val="17"/>
                <w:color w:val="auto"/>
              </w:rPr>
              <w:t>Available-for-sale security</w:t>
            </w:r>
          </w:p>
        </w:tc>
        <w:tc>
          <w:tcPr>
            <w:tcW w:w="560" w:type="dxa"/>
            <w:vAlign w:val="bottom"/>
          </w:tcPr>
          <w:p>
            <w:pPr>
              <w:spacing w:after="0"/>
              <w:rPr>
                <w:sz w:val="16"/>
                <w:szCs w:val="16"/>
                <w:color w:val="auto"/>
              </w:rPr>
            </w:pPr>
          </w:p>
        </w:tc>
        <w:tc>
          <w:tcPr>
            <w:tcW w:w="780" w:type="dxa"/>
            <w:vAlign w:val="bottom"/>
          </w:tcPr>
          <w:p>
            <w:pPr>
              <w:ind w:left="48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240" w:type="dxa"/>
            <w:vAlign w:val="bottom"/>
          </w:tcPr>
          <w:p>
            <w:pPr>
              <w:spacing w:after="0"/>
              <w:rPr>
                <w:sz w:val="16"/>
                <w:szCs w:val="16"/>
                <w:color w:val="auto"/>
              </w:rPr>
            </w:pPr>
          </w:p>
        </w:tc>
        <w:tc>
          <w:tcPr>
            <w:tcW w:w="800" w:type="dxa"/>
            <w:vAlign w:val="bottom"/>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780" w:type="dxa"/>
            <w:vAlign w:val="bottom"/>
          </w:tcPr>
          <w:p>
            <w:pPr>
              <w:ind w:left="48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7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w:t>
            </w:r>
          </w:p>
        </w:tc>
        <w:tc>
          <w:tcPr>
            <w:tcW w:w="260" w:type="dxa"/>
            <w:vAlign w:val="bottom"/>
          </w:tcPr>
          <w:p>
            <w:pPr>
              <w:spacing w:after="0"/>
              <w:rPr>
                <w:sz w:val="16"/>
                <w:szCs w:val="16"/>
                <w:color w:val="auto"/>
              </w:rPr>
            </w:pPr>
          </w:p>
        </w:tc>
        <w:tc>
          <w:tcPr>
            <w:tcW w:w="720" w:type="dxa"/>
            <w:vAlign w:val="bottom"/>
          </w:tcPr>
          <w:p>
            <w:pPr>
              <w:ind w:left="4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exchange forward</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contracts</w:t>
            </w:r>
          </w:p>
        </w:tc>
        <w:tc>
          <w:tcPr>
            <w:tcW w:w="5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exchange forward</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contracts</w:t>
            </w:r>
          </w:p>
        </w:tc>
        <w:tc>
          <w:tcPr>
            <w:tcW w:w="5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Liabilities</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ind w:left="48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7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Minority interests measured using the fair value option had a carrying value of $142 million and $133 million as of May 2, 2020 and May 4, 2019, respectively, and are included within Other assets. During the fourth quarter of 2019, we recorded a non-cash charge of $7 million related to the write-down of such minority investments.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 and estimated fair value of long-term debt were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May 2, 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May 4, 2019</w:t>
            </w:r>
          </w:p>
        </w:tc>
      </w:tr>
      <w:tr>
        <w:trPr>
          <w:trHeight w:val="183"/>
        </w:trPr>
        <w:tc>
          <w:tcPr>
            <w:tcW w:w="3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00" w:type="dxa"/>
            <w:vAlign w:val="bottom"/>
            <w:gridSpan w:val="3"/>
          </w:tcPr>
          <w:p>
            <w:pPr>
              <w:jc w:val="right"/>
              <w:ind w:right="93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Carrying value</w:t>
            </w:r>
          </w:p>
        </w:tc>
        <w:tc>
          <w:tcPr>
            <w:tcW w:w="2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121</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w:t>
            </w:r>
          </w:p>
        </w:tc>
      </w:tr>
      <w:tr>
        <w:trPr>
          <w:trHeight w:val="189"/>
        </w:trPr>
        <w:tc>
          <w:tcPr>
            <w:tcW w:w="34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121</w:t>
            </w: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136</w:t>
            </w: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5" w:name="page16"/>
    <w:bookmarkEnd w:id="15"/>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11. Earnings Per Share</w:t>
      </w:r>
    </w:p>
    <w:p>
      <w:pPr>
        <w:spacing w:after="0" w:line="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(loss)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159"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6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4,</w:t>
            </w: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24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(in millions, except per share data)</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income</w:t>
            </w:r>
          </w:p>
        </w:tc>
        <w:tc>
          <w:tcPr>
            <w:tcW w:w="126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(110)</w:t>
            </w:r>
          </w:p>
        </w:tc>
        <w:tc>
          <w:tcPr>
            <w:tcW w:w="130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104.3</w:t>
            </w:r>
          </w:p>
        </w:tc>
        <w:tc>
          <w:tcPr>
            <w:tcW w:w="1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assuming dilution</w:t>
            </w:r>
          </w:p>
        </w:tc>
        <w:tc>
          <w:tcPr>
            <w:tcW w:w="1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104.3</w:t>
            </w:r>
          </w:p>
        </w:tc>
        <w:tc>
          <w:tcPr>
            <w:tcW w:w="1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 per share - basic</w:t>
            </w:r>
          </w:p>
        </w:tc>
        <w:tc>
          <w:tcPr>
            <w:tcW w:w="126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(1.06)</w:t>
            </w:r>
          </w:p>
        </w:tc>
        <w:tc>
          <w:tcPr>
            <w:tcW w:w="130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Arial" w:cs="Arial" w:eastAsia="Arial" w:hAnsi="Arial"/>
                <w:sz w:val="17"/>
                <w:szCs w:val="17"/>
                <w:color w:val="auto"/>
              </w:rPr>
              <w:t>(Loss) earnings per share - diluted</w:t>
            </w:r>
          </w:p>
        </w:tc>
        <w:tc>
          <w:tcPr>
            <w:tcW w:w="1260" w:type="dxa"/>
            <w:vAlign w:val="bottom"/>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(1.06)</w:t>
            </w:r>
          </w:p>
        </w:tc>
        <w:tc>
          <w:tcPr>
            <w:tcW w:w="1300" w:type="dxa"/>
            <w:vAlign w:val="bottom"/>
          </w:tcPr>
          <w:p>
            <w:pPr>
              <w:jc w:val="right"/>
              <w:ind w:right="995"/>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5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Anti-dilutive share-based awards excluded from diluted calculation</w:t>
            </w: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2.7</w:t>
            </w:r>
          </w:p>
        </w:tc>
        <w:tc>
          <w:tcPr>
            <w:tcW w:w="1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Restricted stock units related to our long-term incentive programs of 0.5 million and 0.8 million have been excluded from diluted weighted-average shares for the periods ended May 2, 2020 and May 4, 2019, respectively. The issuance of these shares are contingent on our performance metrics as compared to the pre-established performance goals, which have not been achieved.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Pension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a defined benefit pension plan covering certain of our North American employees.</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components of net periodic pension benefit cost are presented in the table below. Service cost is recognized as part of SG&amp;A expense, while the other components are recognized as part of Other income, net.</w:t>
      </w:r>
    </w:p>
    <w:p>
      <w:pPr>
        <w:spacing w:after="0" w:line="144" w:lineRule="exact"/>
        <w:rPr>
          <w:sz w:val="20"/>
          <w:szCs w:val="20"/>
          <w:color w:val="auto"/>
        </w:rPr>
      </w:pPr>
    </w:p>
    <w:p>
      <w:pPr>
        <w:ind w:left="63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0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5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55"/>
              <w:spacing w:after="0" w:line="156" w:lineRule="exact"/>
              <w:rPr>
                <w:sz w:val="20"/>
                <w:szCs w:val="20"/>
                <w:color w:val="auto"/>
              </w:rPr>
            </w:pPr>
            <w:r>
              <w:rPr>
                <w:rFonts w:ascii="Arial" w:cs="Arial" w:eastAsia="Arial" w:hAnsi="Arial"/>
                <w:sz w:val="17"/>
                <w:szCs w:val="17"/>
                <w:b w:val="1"/>
                <w:bCs w:val="1"/>
                <w:color w:val="auto"/>
              </w:rPr>
              <w:t>May 4,</w:t>
            </w:r>
          </w:p>
        </w:tc>
        <w:tc>
          <w:tcPr>
            <w:tcW w:w="20" w:type="dxa"/>
            <w:vAlign w:val="bottom"/>
          </w:tcPr>
          <w:p>
            <w:pPr>
              <w:spacing w:after="0"/>
              <w:rPr>
                <w:sz w:val="13"/>
                <w:szCs w:val="13"/>
                <w:color w:val="auto"/>
              </w:rPr>
            </w:pPr>
          </w:p>
        </w:tc>
      </w:tr>
      <w:tr>
        <w:trPr>
          <w:trHeight w:val="215"/>
        </w:trPr>
        <w:tc>
          <w:tcPr>
            <w:tcW w:w="39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8"/>
                <w:szCs w:val="18"/>
                <w:color w:val="auto"/>
              </w:rPr>
            </w:pPr>
          </w:p>
        </w:tc>
      </w:tr>
      <w:tr>
        <w:trPr>
          <w:trHeight w:val="183"/>
        </w:trPr>
        <w:tc>
          <w:tcPr>
            <w:tcW w:w="39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80" w:type="dxa"/>
            <w:vAlign w:val="bottom"/>
            <w:gridSpan w:val="2"/>
          </w:tcPr>
          <w:p>
            <w:pPr>
              <w:jc w:val="right"/>
              <w:ind w:right="55"/>
              <w:spacing w:after="0" w:line="183" w:lineRule="exact"/>
              <w:rPr>
                <w:sz w:val="20"/>
                <w:szCs w:val="20"/>
                <w:color w:val="auto"/>
              </w:rPr>
            </w:pPr>
            <w:r>
              <w:rPr>
                <w:rFonts w:ascii="Arial" w:cs="Arial" w:eastAsia="Arial" w:hAnsi="Arial"/>
                <w:sz w:val="17"/>
                <w:szCs w:val="17"/>
                <w:color w:val="auto"/>
              </w:rPr>
              <w:t>($ in millions)</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Service cost</w:t>
            </w:r>
          </w:p>
        </w:tc>
        <w:tc>
          <w:tcPr>
            <w:tcW w:w="272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4</w:t>
            </w:r>
          </w:p>
        </w:tc>
        <w:tc>
          <w:tcPr>
            <w:tcW w:w="64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2720" w:type="dxa"/>
            <w:vAlign w:val="bottom"/>
          </w:tcPr>
          <w:p>
            <w:pPr>
              <w:spacing w:after="0"/>
              <w:rPr>
                <w:sz w:val="16"/>
                <w:szCs w:val="16"/>
                <w:color w:val="auto"/>
              </w:rPr>
            </w:pPr>
          </w:p>
        </w:tc>
        <w:tc>
          <w:tcPr>
            <w:tcW w:w="5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5</w:t>
            </w:r>
          </w:p>
        </w:tc>
        <w:tc>
          <w:tcPr>
            <w:tcW w:w="6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27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6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9"/>
        </w:trPr>
        <w:tc>
          <w:tcPr>
            <w:tcW w:w="3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2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3</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3"/>
        </w:trPr>
        <w:tc>
          <w:tcPr>
            <w:tcW w:w="39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2720" w:type="dxa"/>
            <w:vAlign w:val="bottom"/>
            <w:tcBorders>
              <w:bottom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3</w:t>
            </w:r>
          </w:p>
        </w:tc>
        <w:tc>
          <w:tcPr>
            <w:tcW w:w="640" w:type="dxa"/>
            <w:vAlign w:val="bottom"/>
            <w:tcBorders>
              <w:bottom w:val="single" w:sz="8" w:color="auto"/>
            </w:tcBorders>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5"/>
                <w:szCs w:val="15"/>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6" w:name="page17"/>
    <w:bookmarkEnd w:id="16"/>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13. Share-Based Compensation</w:t>
      </w:r>
    </w:p>
    <w:p>
      <w:pPr>
        <w:spacing w:after="0" w:line="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44"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5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and shares purchased under the stock purchase plan</w:t>
            </w:r>
          </w:p>
        </w:tc>
        <w:tc>
          <w:tcPr>
            <w:tcW w:w="150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6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and restricted stock units</w:t>
            </w:r>
          </w:p>
        </w:tc>
        <w:tc>
          <w:tcPr>
            <w:tcW w:w="1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1500" w:type="dxa"/>
            <w:vAlign w:val="bottom"/>
            <w:tcBorders>
              <w:bottom w:val="single" w:sz="8" w:color="auto"/>
            </w:tcBorders>
            <w:shd w:val="clear" w:color="auto" w:fill="CCEEFF"/>
          </w:tcPr>
          <w:p>
            <w:pPr>
              <w:jc w:val="right"/>
              <w:ind w:right="99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64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1500" w:type="dxa"/>
            <w:vAlign w:val="bottom"/>
            <w:tcBorders>
              <w:bottom w:val="single" w:sz="8" w:color="auto"/>
            </w:tcBorders>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shows assumptions used to compute share-based compensation expense for awards granted during the thirteen weeks ended May 2, 2020 and May 4, 2019:</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c>
          <w:tcPr>
            <w:tcW w:w="280" w:type="dxa"/>
            <w:vAlign w:val="bottom"/>
          </w:tcPr>
          <w:p>
            <w:pPr>
              <w:spacing w:after="0"/>
              <w:rPr>
                <w:sz w:val="13"/>
                <w:szCs w:val="13"/>
                <w:color w:val="auto"/>
              </w:rPr>
            </w:pPr>
          </w:p>
        </w:tc>
        <w:tc>
          <w:tcPr>
            <w:tcW w:w="1220" w:type="dxa"/>
            <w:vAlign w:val="bottom"/>
          </w:tcPr>
          <w:p>
            <w:pPr>
              <w:jc w:val="right"/>
              <w:ind w:right="475"/>
              <w:spacing w:after="0" w:line="156" w:lineRule="exact"/>
              <w:rPr>
                <w:sz w:val="20"/>
                <w:szCs w:val="20"/>
                <w:color w:val="auto"/>
              </w:rPr>
            </w:pPr>
            <w:r>
              <w:rPr>
                <w:rFonts w:ascii="Arial" w:cs="Arial" w:eastAsia="Arial" w:hAnsi="Arial"/>
                <w:sz w:val="17"/>
                <w:szCs w:val="17"/>
                <w:b w:val="1"/>
                <w:bCs w:val="1"/>
                <w:color w:val="auto"/>
              </w:rPr>
              <w:t>May 4,</w:t>
            </w:r>
          </w:p>
        </w:tc>
        <w:tc>
          <w:tcPr>
            <w:tcW w:w="280" w:type="dxa"/>
            <w:vAlign w:val="bottom"/>
          </w:tcPr>
          <w:p>
            <w:pPr>
              <w:spacing w:after="0"/>
              <w:rPr>
                <w:sz w:val="13"/>
                <w:szCs w:val="13"/>
                <w:color w:val="auto"/>
              </w:rPr>
            </w:pPr>
          </w:p>
        </w:tc>
        <w:tc>
          <w:tcPr>
            <w:tcW w:w="1220" w:type="dxa"/>
            <w:vAlign w:val="bottom"/>
          </w:tcPr>
          <w:p>
            <w:pPr>
              <w:jc w:val="right"/>
              <w:ind w:right="475"/>
              <w:spacing w:after="0" w:line="156" w:lineRule="exact"/>
              <w:rPr>
                <w:sz w:val="20"/>
                <w:szCs w:val="20"/>
                <w:color w:val="auto"/>
              </w:rPr>
            </w:pPr>
            <w:r>
              <w:rPr>
                <w:rFonts w:ascii="Arial" w:cs="Arial" w:eastAsia="Arial" w:hAnsi="Arial"/>
                <w:sz w:val="17"/>
                <w:szCs w:val="17"/>
                <w:b w:val="1"/>
                <w:bCs w:val="1"/>
                <w:color w:val="auto"/>
              </w:rPr>
              <w:t>May 2,</w:t>
            </w:r>
          </w:p>
        </w:tc>
        <w:tc>
          <w:tcPr>
            <w:tcW w:w="280" w:type="dxa"/>
            <w:vAlign w:val="bottom"/>
          </w:tcPr>
          <w:p>
            <w:pPr>
              <w:spacing w:after="0"/>
              <w:rPr>
                <w:sz w:val="13"/>
                <w:szCs w:val="13"/>
                <w:color w:val="auto"/>
              </w:rPr>
            </w:pPr>
          </w:p>
        </w:tc>
        <w:tc>
          <w:tcPr>
            <w:tcW w:w="1320" w:type="dxa"/>
            <w:vAlign w:val="bottom"/>
          </w:tcPr>
          <w:p>
            <w:pPr>
              <w:jc w:val="right"/>
              <w:ind w:right="57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 free rate of</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0.6 %</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42 %</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48 %</w:t>
            </w:r>
          </w:p>
        </w:tc>
        <w:tc>
          <w:tcPr>
            <w:tcW w:w="28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 years)</w:t>
            </w:r>
          </w:p>
        </w:tc>
        <w:tc>
          <w:tcPr>
            <w:tcW w:w="3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4.9 %</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3.8 %</w:t>
            </w:r>
          </w:p>
        </w:tc>
        <w:tc>
          <w:tcPr>
            <w:tcW w:w="28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5.03</w:t>
            </w:r>
          </w:p>
        </w:tc>
        <w:tc>
          <w:tcPr>
            <w:tcW w:w="2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17.19</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11.91</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information in the following table covers option activity under our stock option plans for the thirteen weeks ended May 2, 2020:</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6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w:t>
            </w:r>
          </w:p>
        </w:tc>
        <w:tc>
          <w:tcPr>
            <w:tcW w:w="50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Number</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of</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Remaining</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455"/>
              <w:spacing w:after="0"/>
              <w:rPr>
                <w:sz w:val="20"/>
                <w:szCs w:val="20"/>
                <w:color w:val="auto"/>
              </w:rPr>
            </w:pPr>
            <w:r>
              <w:rPr>
                <w:rFonts w:ascii="Arial" w:cs="Arial" w:eastAsia="Arial" w:hAnsi="Arial"/>
                <w:sz w:val="17"/>
                <w:szCs w:val="17"/>
                <w:b w:val="1"/>
                <w:bCs w:val="1"/>
                <w:color w:val="auto"/>
              </w:rPr>
              <w:t>Shares</w:t>
            </w:r>
          </w:p>
        </w:tc>
        <w:tc>
          <w:tcPr>
            <w:tcW w:w="18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Contractual Life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r>
      <w:tr>
        <w:trPr>
          <w:trHeight w:val="18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jc w:val="right"/>
              <w:ind w:right="75"/>
              <w:spacing w:after="0" w:line="183" w:lineRule="exact"/>
              <w:rPr>
                <w:sz w:val="20"/>
                <w:szCs w:val="20"/>
                <w:color w:val="auto"/>
              </w:rPr>
            </w:pPr>
            <w:r>
              <w:rPr>
                <w:rFonts w:ascii="Arial" w:cs="Arial" w:eastAsia="Arial" w:hAnsi="Arial"/>
                <w:sz w:val="17"/>
                <w:szCs w:val="17"/>
                <w:color w:val="auto"/>
              </w:rPr>
              <w:t>(in thousands)</w:t>
            </w:r>
          </w:p>
        </w:tc>
        <w:tc>
          <w:tcPr>
            <w:tcW w:w="1860" w:type="dxa"/>
            <w:vAlign w:val="bottom"/>
          </w:tcPr>
          <w:p>
            <w:pPr>
              <w:jc w:val="center"/>
              <w:ind w:right="115"/>
              <w:spacing w:after="0" w:line="183" w:lineRule="exact"/>
              <w:rPr>
                <w:sz w:val="20"/>
                <w:szCs w:val="20"/>
                <w:color w:val="auto"/>
              </w:rPr>
            </w:pPr>
            <w:r>
              <w:rPr>
                <w:rFonts w:ascii="Arial" w:cs="Arial" w:eastAsia="Arial" w:hAnsi="Arial"/>
                <w:sz w:val="17"/>
                <w:szCs w:val="17"/>
                <w:color w:val="auto"/>
                <w:w w:val="98"/>
              </w:rPr>
              <w:t>(in years)</w:t>
            </w:r>
          </w:p>
        </w:tc>
        <w:tc>
          <w:tcPr>
            <w:tcW w:w="500" w:type="dxa"/>
            <w:vAlign w:val="bottom"/>
          </w:tcPr>
          <w:p>
            <w:pPr>
              <w:spacing w:after="0"/>
              <w:rPr>
                <w:sz w:val="15"/>
                <w:szCs w:val="15"/>
                <w:color w:val="auto"/>
              </w:rPr>
            </w:pPr>
          </w:p>
        </w:tc>
        <w:tc>
          <w:tcPr>
            <w:tcW w:w="108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r>
      <w:tr>
        <w:trPr>
          <w:trHeight w:val="189"/>
        </w:trPr>
        <w:tc>
          <w:tcPr>
            <w:tcW w:w="20" w:type="dxa"/>
            <w:vAlign w:val="bottom"/>
          </w:tcPr>
          <w:p>
            <w:pPr>
              <w:spacing w:after="0"/>
              <w:rPr>
                <w:sz w:val="16"/>
                <w:szCs w:val="16"/>
                <w:color w:val="auto"/>
              </w:rPr>
            </w:pPr>
          </w:p>
        </w:tc>
        <w:tc>
          <w:tcPr>
            <w:tcW w:w="3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60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2,881</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54.21</w:t>
            </w:r>
          </w:p>
        </w:tc>
      </w:tr>
      <w:tr>
        <w:trPr>
          <w:trHeight w:val="189"/>
        </w:trPr>
        <w:tc>
          <w:tcPr>
            <w:tcW w:w="20" w:type="dxa"/>
            <w:vAlign w:val="bottom"/>
          </w:tcPr>
          <w:p>
            <w:pPr>
              <w:spacing w:after="0"/>
              <w:rPr>
                <w:sz w:val="16"/>
                <w:szCs w:val="16"/>
                <w:color w:val="auto"/>
              </w:rPr>
            </w:pPr>
          </w:p>
        </w:tc>
        <w:tc>
          <w:tcPr>
            <w:tcW w:w="38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60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1,069</w:t>
            </w: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21.61</w:t>
            </w:r>
          </w:p>
        </w:tc>
      </w:tr>
      <w:tr>
        <w:trPr>
          <w:trHeight w:val="189"/>
        </w:trPr>
        <w:tc>
          <w:tcPr>
            <w:tcW w:w="20" w:type="dxa"/>
            <w:vAlign w:val="bottom"/>
          </w:tcPr>
          <w:p>
            <w:pPr>
              <w:spacing w:after="0"/>
              <w:rPr>
                <w:sz w:val="16"/>
                <w:szCs w:val="16"/>
                <w:color w:val="auto"/>
              </w:rPr>
            </w:pPr>
          </w:p>
        </w:tc>
        <w:tc>
          <w:tcPr>
            <w:tcW w:w="3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600" w:type="dxa"/>
            <w:vAlign w:val="bottom"/>
            <w:shd w:val="clear" w:color="auto" w:fill="CCEEFF"/>
          </w:tcPr>
          <w:p>
            <w:pPr>
              <w:jc w:val="right"/>
              <w:ind w:right="495"/>
              <w:spacing w:after="0" w:line="189" w:lineRule="exact"/>
              <w:rPr>
                <w:sz w:val="20"/>
                <w:szCs w:val="20"/>
                <w:color w:val="auto"/>
              </w:rPr>
            </w:pPr>
            <w:r>
              <w:rPr>
                <w:rFonts w:ascii="Arial" w:cs="Arial" w:eastAsia="Arial" w:hAnsi="Arial"/>
                <w:sz w:val="17"/>
                <w:szCs w:val="17"/>
                <w:color w:val="auto"/>
              </w:rPr>
              <w:t>(4)</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15.10</w:t>
            </w:r>
          </w:p>
        </w:tc>
      </w:tr>
      <w:tr>
        <w:trPr>
          <w:trHeight w:val="189"/>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600" w:type="dxa"/>
            <w:vAlign w:val="bottom"/>
            <w:tcBorders>
              <w:bottom w:val="single" w:sz="8" w:color="auto"/>
            </w:tcBorders>
          </w:tcPr>
          <w:p>
            <w:pPr>
              <w:jc w:val="right"/>
              <w:ind w:right="495"/>
              <w:spacing w:after="0" w:line="189" w:lineRule="exact"/>
              <w:rPr>
                <w:sz w:val="20"/>
                <w:szCs w:val="20"/>
                <w:color w:val="auto"/>
              </w:rPr>
            </w:pPr>
            <w:r>
              <w:rPr>
                <w:rFonts w:ascii="Arial" w:cs="Arial" w:eastAsia="Arial" w:hAnsi="Arial"/>
                <w:sz w:val="17"/>
                <w:szCs w:val="17"/>
                <w:color w:val="auto"/>
              </w:rPr>
              <w:t>(44)</w:t>
            </w:r>
          </w:p>
        </w:tc>
        <w:tc>
          <w:tcPr>
            <w:tcW w:w="1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51.02</w:t>
            </w:r>
          </w:p>
        </w:tc>
      </w:tr>
      <w:tr>
        <w:trPr>
          <w:trHeight w:val="183"/>
        </w:trPr>
        <w:tc>
          <w:tcPr>
            <w:tcW w:w="20" w:type="dxa"/>
            <w:vAlign w:val="bottom"/>
          </w:tcPr>
          <w:p>
            <w:pPr>
              <w:spacing w:after="0"/>
              <w:rPr>
                <w:sz w:val="15"/>
                <w:szCs w:val="15"/>
                <w:color w:val="auto"/>
              </w:rPr>
            </w:pPr>
          </w:p>
        </w:tc>
        <w:tc>
          <w:tcPr>
            <w:tcW w:w="3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May 2, 2020</w:t>
            </w:r>
          </w:p>
        </w:tc>
        <w:tc>
          <w:tcPr>
            <w:tcW w:w="160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color w:val="auto"/>
              </w:rPr>
              <w:t>3,902</w:t>
            </w:r>
          </w:p>
        </w:tc>
        <w:tc>
          <w:tcPr>
            <w:tcW w:w="186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6.7</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45.35</w:t>
            </w:r>
          </w:p>
        </w:tc>
      </w:tr>
      <w:tr>
        <w:trPr>
          <w:trHeight w:val="20"/>
        </w:trPr>
        <w:tc>
          <w:tcPr>
            <w:tcW w:w="38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7"/>
                <w:szCs w:val="17"/>
                <w:color w:val="auto"/>
              </w:rPr>
              <w:t>Options exercisable at May 2, 2020</w:t>
            </w:r>
          </w:p>
        </w:tc>
        <w:tc>
          <w:tcPr>
            <w:tcW w:w="1600" w:type="dxa"/>
            <w:vAlign w:val="bottom"/>
            <w:tcBorders>
              <w:top w:val="single" w:sz="8" w:color="auto"/>
              <w:bottom w:val="single" w:sz="8" w:color="auto"/>
            </w:tcBorders>
          </w:tcPr>
          <w:p>
            <w:pPr>
              <w:jc w:val="right"/>
              <w:ind w:right="555"/>
              <w:spacing w:after="0" w:line="170" w:lineRule="exact"/>
              <w:rPr>
                <w:sz w:val="20"/>
                <w:szCs w:val="20"/>
                <w:color w:val="auto"/>
              </w:rPr>
            </w:pPr>
            <w:r>
              <w:rPr>
                <w:rFonts w:ascii="Arial" w:cs="Arial" w:eastAsia="Arial" w:hAnsi="Arial"/>
                <w:sz w:val="17"/>
                <w:szCs w:val="17"/>
                <w:color w:val="auto"/>
              </w:rPr>
              <w:t>2,473</w:t>
            </w:r>
          </w:p>
        </w:tc>
        <w:tc>
          <w:tcPr>
            <w:tcW w:w="1860" w:type="dxa"/>
            <w:vAlign w:val="bottom"/>
            <w:tcBorders>
              <w:top w:val="single" w:sz="8" w:color="auto"/>
              <w:bottom w:val="single" w:sz="8" w:color="auto"/>
            </w:tcBorders>
          </w:tcPr>
          <w:p>
            <w:pPr>
              <w:jc w:val="right"/>
              <w:ind w:right="335"/>
              <w:spacing w:after="0" w:line="170" w:lineRule="exact"/>
              <w:rPr>
                <w:sz w:val="20"/>
                <w:szCs w:val="20"/>
                <w:color w:val="auto"/>
              </w:rPr>
            </w:pPr>
            <w:r>
              <w:rPr>
                <w:rFonts w:ascii="Arial" w:cs="Arial" w:eastAsia="Arial" w:hAnsi="Arial"/>
                <w:sz w:val="17"/>
                <w:szCs w:val="17"/>
                <w:color w:val="auto"/>
              </w:rPr>
              <w:t>5.0</w:t>
            </w:r>
          </w:p>
        </w:tc>
        <w:tc>
          <w:tcPr>
            <w:tcW w:w="5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54.67</w:t>
            </w:r>
          </w:p>
        </w:tc>
      </w:tr>
      <w:tr>
        <w:trPr>
          <w:trHeight w:val="277"/>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Options available for future grant at May 2, 2020</w:t>
            </w:r>
          </w:p>
        </w:tc>
        <w:tc>
          <w:tcPr>
            <w:tcW w:w="160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5,571</w:t>
            </w:r>
          </w:p>
        </w:tc>
        <w:tc>
          <w:tcPr>
            <w:tcW w:w="1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15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fair value of options vested during the thirteen weeks ended May 2, 2020 and May 4, 2019 was $5 million and $6 million, respectively. The cash received and related tax benefits realized from option exercises during the thirteen weeks ended May 2, 2020 was not significant.</w:t>
      </w:r>
    </w:p>
    <w:p>
      <w:pPr>
        <w:spacing w:after="0" w:line="1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44"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040" w:type="dxa"/>
            <w:vAlign w:val="bottom"/>
            <w:tcBorders>
              <w:top w:val="single" w:sz="8" w:color="auto"/>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ind w:left="120"/>
              <w:spacing w:after="0" w:line="183" w:lineRule="exact"/>
              <w:rPr>
                <w:sz w:val="20"/>
                <w:szCs w:val="20"/>
                <w:color w:val="auto"/>
              </w:rPr>
            </w:pPr>
            <w:r>
              <w:rPr>
                <w:rFonts w:ascii="Arial" w:cs="Arial" w:eastAsia="Arial" w:hAnsi="Arial"/>
                <w:sz w:val="17"/>
                <w:szCs w:val="17"/>
                <w:b w:val="1"/>
                <w:bCs w:val="1"/>
                <w:color w:val="auto"/>
              </w:rPr>
              <w:t>May 2, 2020</w:t>
            </w:r>
          </w:p>
        </w:tc>
        <w:tc>
          <w:tcPr>
            <w:tcW w:w="4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255"/>
              <w:spacing w:after="0" w:line="183" w:lineRule="exact"/>
              <w:rPr>
                <w:sz w:val="20"/>
                <w:szCs w:val="20"/>
                <w:color w:val="auto"/>
              </w:rPr>
            </w:pPr>
            <w:r>
              <w:rPr>
                <w:rFonts w:ascii="Arial" w:cs="Arial" w:eastAsia="Arial" w:hAnsi="Arial"/>
                <w:sz w:val="17"/>
                <w:szCs w:val="17"/>
                <w:b w:val="1"/>
                <w:bCs w:val="1"/>
                <w:color w:val="auto"/>
              </w:rPr>
              <w:t>May 4, 2019</w:t>
            </w:r>
          </w:p>
        </w:tc>
      </w:tr>
      <w:tr>
        <w:trPr>
          <w:trHeight w:val="183"/>
        </w:trPr>
        <w:tc>
          <w:tcPr>
            <w:tcW w:w="30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360" w:type="dxa"/>
            <w:vAlign w:val="bottom"/>
            <w:gridSpan w:val="3"/>
          </w:tcPr>
          <w:p>
            <w:pPr>
              <w:jc w:val="right"/>
              <w:ind w:right="119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0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Exercised</w:t>
            </w:r>
          </w:p>
        </w:tc>
        <w:tc>
          <w:tcPr>
            <w:tcW w:w="25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shd w:val="clear" w:color="auto" w:fill="CCEEFF"/>
          </w:tcPr>
          <w:p>
            <w:pPr>
              <w:ind w:left="1200"/>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64"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rPr>
                <w:sz w:val="15"/>
                <w:szCs w:val="15"/>
                <w:color w:val="auto"/>
              </w:rPr>
            </w:pPr>
          </w:p>
        </w:tc>
        <w:tc>
          <w:tcPr>
            <w:tcW w:w="2960" w:type="dxa"/>
            <w:vAlign w:val="bottom"/>
            <w:tcBorders>
              <w:top w:val="single" w:sz="8" w:color="auto"/>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May 2, 2020</w:t>
            </w:r>
          </w:p>
        </w:tc>
        <w:tc>
          <w:tcPr>
            <w:tcW w:w="3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May 4, 2019</w:t>
            </w:r>
          </w:p>
        </w:tc>
        <w:tc>
          <w:tcPr>
            <w:tcW w:w="300" w:type="dxa"/>
            <w:vAlign w:val="bottom"/>
            <w:tcBorders>
              <w:top w:val="single" w:sz="8" w:color="auto"/>
              <w:bottom w:val="single" w:sz="8" w:color="auto"/>
            </w:tcBorders>
          </w:tcPr>
          <w:p>
            <w:pPr>
              <w:spacing w:after="0"/>
              <w:rPr>
                <w:sz w:val="15"/>
                <w:szCs w:val="15"/>
                <w:color w:val="auto"/>
              </w:rPr>
            </w:pPr>
          </w:p>
        </w:tc>
      </w:tr>
      <w:tr>
        <w:trPr>
          <w:trHeight w:val="183"/>
        </w:trPr>
        <w:tc>
          <w:tcPr>
            <w:tcW w:w="3740" w:type="dxa"/>
            <w:vAlign w:val="bottom"/>
          </w:tcPr>
          <w:p>
            <w:pPr>
              <w:spacing w:after="0"/>
              <w:rPr>
                <w:sz w:val="15"/>
                <w:szCs w:val="15"/>
                <w:color w:val="auto"/>
              </w:rPr>
            </w:pPr>
          </w:p>
        </w:tc>
        <w:tc>
          <w:tcPr>
            <w:tcW w:w="4860" w:type="dxa"/>
            <w:vAlign w:val="bottom"/>
            <w:gridSpan w:val="3"/>
          </w:tcPr>
          <w:p>
            <w:pPr>
              <w:jc w:val="right"/>
              <w:ind w:right="915"/>
              <w:spacing w:after="0" w:line="183" w:lineRule="exact"/>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5"/>
                <w:szCs w:val="15"/>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2960" w:type="dxa"/>
            <w:vAlign w:val="bottom"/>
            <w:shd w:val="clear" w:color="auto" w:fill="CCEEFF"/>
          </w:tcPr>
          <w:p>
            <w:pPr>
              <w:jc w:val="right"/>
              <w:ind w:right="121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1540" w:type="dxa"/>
            <w:vAlign w:val="bottom"/>
            <w:shd w:val="clear" w:color="auto" w:fill="CCEEFF"/>
          </w:tcPr>
          <w:p>
            <w:pPr>
              <w:jc w:val="right"/>
              <w:ind w:right="119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960" w:type="dxa"/>
            <w:vAlign w:val="bottom"/>
            <w:tcBorders>
              <w:bottom w:val="single" w:sz="8" w:color="auto"/>
            </w:tcBorders>
          </w:tcPr>
          <w:p>
            <w:pPr>
              <w:jc w:val="right"/>
              <w:ind w:right="121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1540" w:type="dxa"/>
            <w:vAlign w:val="bottom"/>
            <w:tcBorders>
              <w:bottom w:val="single" w:sz="8" w:color="auto"/>
            </w:tcBorders>
          </w:tcPr>
          <w:p>
            <w:pPr>
              <w:jc w:val="right"/>
              <w:ind w:right="119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w:t>
            </w: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May 2, 2020 there was $ 7 million of total unrecognized compensation cost related to nonvested stock options, which is expected to be recognized over a remaining weighted-average period of 1.7 years.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2, 2020:</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3"/>
          </w:tcPr>
          <w:p>
            <w:pPr>
              <w:jc w:val="center"/>
              <w:ind w:left="1715"/>
              <w:spacing w:after="0"/>
              <w:rPr>
                <w:sz w:val="20"/>
                <w:szCs w:val="20"/>
                <w:color w:val="auto"/>
              </w:rPr>
            </w:pPr>
            <w:r>
              <w:rPr>
                <w:rFonts w:ascii="Arial" w:cs="Arial" w:eastAsia="Arial" w:hAnsi="Arial"/>
                <w:sz w:val="17"/>
                <w:szCs w:val="17"/>
                <w:b w:val="1"/>
                <w:bCs w:val="1"/>
                <w:color w:val="auto"/>
              </w:rPr>
              <w:t>Options Outstanding</w:t>
            </w:r>
          </w:p>
        </w:tc>
        <w:tc>
          <w:tcPr>
            <w:tcW w:w="7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2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7"/>
                <w:szCs w:val="17"/>
                <w:b w:val="1"/>
                <w:bCs w:val="1"/>
                <w:color w:val="auto"/>
                <w:w w:val="99"/>
              </w:rPr>
              <w:t>Weighted-</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9"/>
        </w:trPr>
        <w:tc>
          <w:tcPr>
            <w:tcW w:w="24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w:t>
            </w:r>
          </w:p>
        </w:tc>
        <w:tc>
          <w:tcPr>
            <w:tcW w:w="1160" w:type="dxa"/>
            <w:vAlign w:val="bottom"/>
          </w:tcPr>
          <w:p>
            <w:pPr>
              <w:spacing w:after="0"/>
              <w:rPr>
                <w:sz w:val="16"/>
                <w:szCs w:val="16"/>
                <w:color w:val="auto"/>
              </w:rPr>
            </w:pPr>
          </w:p>
        </w:tc>
        <w:tc>
          <w:tcPr>
            <w:tcW w:w="100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24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20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Contractual</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2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Outstanding</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rPr>
              <w:t>Price</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rPr>
              <w:t>Price</w:t>
            </w:r>
          </w:p>
        </w:tc>
      </w:tr>
      <w:tr>
        <w:trPr>
          <w:trHeight w:val="183"/>
        </w:trPr>
        <w:tc>
          <w:tcPr>
            <w:tcW w:w="2460" w:type="dxa"/>
            <w:vAlign w:val="bottom"/>
          </w:tcPr>
          <w:p>
            <w:pPr>
              <w:spacing w:after="0"/>
              <w:rPr>
                <w:sz w:val="15"/>
                <w:szCs w:val="15"/>
                <w:color w:val="auto"/>
              </w:rPr>
            </w:pPr>
          </w:p>
        </w:tc>
        <w:tc>
          <w:tcPr>
            <w:tcW w:w="6440" w:type="dxa"/>
            <w:vAlign w:val="bottom"/>
            <w:gridSpan w:val="7"/>
          </w:tcPr>
          <w:p>
            <w:pPr>
              <w:jc w:val="right"/>
              <w:ind w:right="43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r>
      <w:tr>
        <w:trPr>
          <w:trHeight w:val="189"/>
        </w:trPr>
        <w:tc>
          <w:tcPr>
            <w:tcW w:w="2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$15.10 to $23.09</w:t>
            </w:r>
          </w:p>
        </w:tc>
        <w:tc>
          <w:tcPr>
            <w:tcW w:w="2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1,181</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9.0</w:t>
            </w: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21.33</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117</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18.84</w:t>
            </w: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7"/>
                <w:szCs w:val="17"/>
                <w:color w:val="auto"/>
              </w:rPr>
              <w:t>$24.75 to $34.75</w:t>
            </w:r>
          </w:p>
        </w:tc>
        <w:tc>
          <w:tcPr>
            <w:tcW w:w="2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376</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2.8</w:t>
            </w:r>
          </w:p>
        </w:tc>
        <w:tc>
          <w:tcPr>
            <w:tcW w:w="32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32.13</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333</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31.77</w:t>
            </w:r>
          </w:p>
        </w:tc>
      </w:tr>
      <w:tr>
        <w:trPr>
          <w:trHeight w:val="189"/>
        </w:trPr>
        <w:tc>
          <w:tcPr>
            <w:tcW w:w="2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$44.78 to $45.75</w:t>
            </w:r>
          </w:p>
        </w:tc>
        <w:tc>
          <w:tcPr>
            <w:tcW w:w="2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563</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44.91</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454</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44.94</w:t>
            </w: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7"/>
                <w:szCs w:val="17"/>
                <w:color w:val="auto"/>
              </w:rPr>
              <w:t>$46.64 to $62.11</w:t>
            </w:r>
          </w:p>
        </w:tc>
        <w:tc>
          <w:tcPr>
            <w:tcW w:w="20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910</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6.2</w:t>
            </w:r>
          </w:p>
        </w:tc>
        <w:tc>
          <w:tcPr>
            <w:tcW w:w="32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59.95</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697</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60.51</w:t>
            </w:r>
          </w:p>
        </w:tc>
      </w:tr>
      <w:tr>
        <w:trPr>
          <w:trHeight w:val="189"/>
        </w:trPr>
        <w:tc>
          <w:tcPr>
            <w:tcW w:w="24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$63.33 to $73.21</w:t>
            </w:r>
          </w:p>
        </w:tc>
        <w:tc>
          <w:tcPr>
            <w:tcW w:w="20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872</w:t>
            </w: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6.2</w:t>
            </w: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68.60</w:t>
            </w: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872</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68.60</w:t>
            </w:r>
          </w:p>
        </w:tc>
      </w:tr>
      <w:tr>
        <w:trPr>
          <w:trHeight w:val="183"/>
        </w:trPr>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3,902</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6.7</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45.35</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2,473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54.67</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Restricted stock units (“RSU”) may be awarded to certain officers and key employees of the Company. Additionally, RSU awards are made to employees in connection with our long-term incentive program, and to nonemployee directors. Each RSU award represents the right to receive one share of our common stock provided that the performance and vesting conditions are satisfied.</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our performance-based long-term incentive program are earned after the attainment of certain performance metrics and, with regards to certain awards, vest after an additional one-year period.</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8" w:name="page19"/>
    <w:bookmarkEnd w:id="18"/>
    <w:p>
      <w:pPr>
        <w:ind w:left="60" w:right="819" w:firstLine="767"/>
        <w:spacing w:after="0" w:line="42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 xml:space="preserve">NOTES TO THE UNAUDITED CONDENSED CONSOLIDATED FINANCIAL STATEMENTS </w:t>
      </w:r>
      <w:r>
        <w:rPr>
          <w:rFonts w:ascii="Arial" w:cs="Arial" w:eastAsia="Arial" w:hAnsi="Arial"/>
          <w:sz w:val="18"/>
          <w:szCs w:val="18"/>
          <w:color w:val="auto"/>
        </w:rPr>
        <w:t>No dividends are paid or accumulated on any RSU awards.</w:t>
      </w:r>
    </w:p>
    <w:p>
      <w:pPr>
        <w:spacing w:after="0" w:line="1"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Compensation expense is recognized using the market value at the date of grant and is amortized over the vesting period, provided the recipient continues to be employed by the Company.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activity for the thirteen weeks ended May 2, 2020 is summarized as follows: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40" w:type="dxa"/>
            <w:vAlign w:val="bottom"/>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4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4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936</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08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351</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(54)</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08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(132)</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w:t>
            </w:r>
          </w:p>
        </w:tc>
        <w:tc>
          <w:tcPr>
            <w:tcW w:w="1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May 2, 2020</w:t>
            </w: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1,095</w:t>
            </w:r>
          </w:p>
        </w:tc>
        <w:tc>
          <w:tcPr>
            <w:tcW w:w="16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38.65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42</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right="79" w:hanging="330"/>
        <w:spacing w:after="0" w:line="25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our current performance against predefined financial targets.</w:t>
      </w:r>
    </w:p>
    <w:p>
      <w:pPr>
        <w:spacing w:after="0" w:line="14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value of awards that vested during the thirteen weeks ended May 2, 2020 and May 4, 2019 was $4 million and $5 million, respectively. As of May 2, 2020, there was $19 million of total unrecognized compensation cost related to nonvested awards.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the thirteen weeks ended May 2, 2020, we recorded an income tax provision of $5 million, which represented an effective tax rate of negative 4.9 percent on a pretax loss. Included in this quarter’s provision is a $27 million tax charge related to the revaluation of certain intellectual property rights pursuant to a non-U.S. advance pricing agreement.</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income, excluding unusual or infrequently occurring discrete items, for the reporting period. In accordance with the authoritative guidance, we used a discrete effective tax rate method to calculate income taxes for the thirteen weeks ended May 2, 2020 because small changes in the estimated level and mix of annual income or loss by jurisdiction would result in significant changes in the estimated annual effective tax rate making the historical method unreliable.</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in the U.S. to provide certain relief as a result of the COVID-19 pandemic. In addition, governments around the world enacted or implemented various forms of tax relief measures in response to the economic conditions in the wake of COVID-19. We are required to recognize the effects of tax law changes in the period of enactment. We have assessed the applicability of the CARES Act and changes to income tax laws or regulations in other jurisdictions and determined there is no significant affect to our income tax provision for the thirteen weeks ended May 2, 2020. We continue to assess the effect of the CARES Act and ongoing government guidance related to COVID-19 that may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9" w:name="page20"/>
    <w:bookmarkEnd w:id="19"/>
    <w:p>
      <w:pPr>
        <w:ind w:left="60" w:right="819" w:firstLine="767"/>
        <w:spacing w:after="0" w:line="42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15. Legal Proceedings</w:t>
      </w:r>
    </w:p>
    <w:p>
      <w:pPr>
        <w:spacing w:after="0" w:line="2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Subsequent to the end of first quarter, given the recent social unrest experienced in various cities across the United States, we temporarily closed approximately 130 stores to protect the safety of team members and customers, most of which were already temporarily closed due to COVID-19. Many of these locations may be closed for the foreseeable future given the potentially extensive physical damage. The extent of physical damage, inventory loss, and potential business interruption cannot be determined until we are able to enter the stores safely and assess the damage with our insurance adjusters, such amounts may be significant. The timing and amount of any possible insurance recoveries related to the losses is currently uncertain.</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Foot Locker, Inc. leads the celebration of sneaker and youth culture around the globe through a portfolio of brands including Foot Locker, Lady Foot Locker, Kids Foot Locker, Champs Sports, Eastbay, Footaction, Runners Point, and Sidestep. We operate primarily mall-based stores, as well as stores in high-traffic urban retail areas and high streets, in 27 countries including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5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ladyfootlocker.com, kidsfootlocker.com, champssports.com, footaction.com, footlocker.ca, footlocker.eu (and related e-commerce sites in the various European countries that we operate), footlocker.com.au, runnerspoint.com, sidestep-shoes.com,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67" w:lineRule="exact"/>
        <w:rPr>
          <w:sz w:val="20"/>
          <w:szCs w:val="20"/>
          <w:color w:val="auto"/>
        </w:rPr>
      </w:pPr>
    </w:p>
    <w:p>
      <w:pPr>
        <w:ind w:left="60" w:right="1039"/>
        <w:spacing w:after="0" w:line="430" w:lineRule="auto"/>
        <w:rPr>
          <w:sz w:val="20"/>
          <w:szCs w:val="20"/>
          <w:color w:val="auto"/>
        </w:rPr>
      </w:pPr>
      <w:r>
        <w:rPr>
          <w:rFonts w:ascii="Arial" w:cs="Arial" w:eastAsia="Arial" w:hAnsi="Arial"/>
          <w:sz w:val="18"/>
          <w:szCs w:val="18"/>
          <w:color w:val="auto"/>
        </w:rPr>
        <w:t xml:space="preserve">Foot Locker, Inc. and its subsidiaries hereafter are referred to as the “Company,” “we,” “our,” or “us.” </w:t>
      </w:r>
      <w:r>
        <w:rPr>
          <w:rFonts w:ascii="Arial" w:cs="Arial" w:eastAsia="Arial" w:hAnsi="Arial"/>
          <w:sz w:val="18"/>
          <w:szCs w:val="18"/>
          <w:i w:val="1"/>
          <w:iCs w:val="1"/>
          <w:u w:val="single" w:color="auto"/>
          <w:color w:val="auto"/>
        </w:rPr>
        <w:t>Store Count</w:t>
      </w:r>
    </w:p>
    <w:p>
      <w:pPr>
        <w:spacing w:after="0" w:line="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At May 2, 2020, we operated 3,113 stores as compared with 3,129 and 3,201 stores at February 1, 2020 and May 4, 2019,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 total of 135 franchised stores were operating at May 2, 2020, as compared with 139 and 129 stores at February 1, 2020 and May 4, 2019, respectively. Revenue from franchised stores was not significant for any of the periods presented. These stores are not included in the operating store count above.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In March 2020, the World Health Organization designated COVID-19 a pandemic. COVID-19 is having a significant effect on overall economic conditions in nearly all regions around the world and resulted in travel restrictions and business slowdowns or shutdowns. In March, we closed all our stores in North America, EMEA (Europe, Middle East, and Africa), and most of Asia Pacific. We also transitioned to a work-from-home environment for all our office team members and temporarily closed our distribution centers. Our stores remained closed for a significant portion of the first quarter, with approximately 100 stores reopened as of May 2, 2020.</w:t>
      </w:r>
    </w:p>
    <w:p>
      <w:pPr>
        <w:spacing w:after="0" w:line="1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set up a special management committee and the committee is taking the necessary precautionary measures to protect the health and safety of our team members, as well as following the guidance provided by local health authorities. We have been highly focused on the changes we are making to operate more safely in light of the COVID-19 pandemic. We implemented newly established health protocols, including providing personal protective equipment to our team members and implementing social distancing working practices. Prior to reopening our stores, we are implementing various protocols including: occupancy limits, installing protective shields at the register, encouraging social distancing, providing markers in our queue lines, implementing new processes for handling merchandise returns, and instituting new cleaning regimens, including enhanced cleaning of high-touch surfaces throughout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2020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1" w:name="page22"/>
    <w:bookmarkEnd w:id="21"/>
    <w:p>
      <w:pPr>
        <w:jc w:val="both"/>
        <w:ind w:left="60" w:right="59"/>
        <w:spacing w:after="0" w:line="238" w:lineRule="auto"/>
        <w:rPr>
          <w:sz w:val="20"/>
          <w:szCs w:val="20"/>
          <w:color w:val="auto"/>
        </w:rPr>
      </w:pPr>
      <w:r>
        <w:rPr>
          <w:rFonts w:ascii="Arial" w:cs="Arial" w:eastAsia="Arial" w:hAnsi="Arial"/>
          <w:sz w:val="18"/>
          <w:szCs w:val="18"/>
          <w:color w:val="auto"/>
        </w:rPr>
        <w:t>As we reopen stores, we are doing so in accordance with local government guidelines. As of June 9, 2020, we have approximately 2,200 stores open with an additional 175 expected to open in the next two weeks. We expect to continue reopening stores and other facilities around the world in a phased approach, as more states and countries reopen for retail and after considering our safety protocols. The expected number of store re-openings may be affected by the recent disruptions caused by social unrest across the United States.</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taken numerous steps to protect the health and well-being of our team members, customers, and communities, while also focusing on further strengthening our financial liquidity and flexibility. On April 21, 2020, we communicated to our United States, Canadian, and Australian employees that we were temporarily furloughing (or its equivalent under applicable local law) the majority of our hourly store and certain of our hourly distribution centers team members. We continued to pay all active employees through the week ended April 26, 2020. Additionally, other measures to preserve our financial position were taken, such as temporarily reducing executive salaries, suspending the cash element of director compensation, temporarily suspending share repurchases and dividends, and by significantly reducing planned capital expenditures.</w:t>
      </w:r>
    </w:p>
    <w:p>
      <w:pPr>
        <w:spacing w:after="0" w:line="1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March 27, 2020, the Coronavirus Aid, Relief, and Economic Security Act (the “CARES Act”) was enacted into law and provided opportunities for additional liquidity, emergency assistance for individuals, families and businesses affected by the novel coronavirus pandemic. During the first quarter, we recognized benefits from the CARES Act, including federal retention tax credits of up to $5,000 per employee for the wages and health insurance we continued to provide to team members not providing services, a deferral of employer social security taxes for the remainder of 2020, 50 percent of which is payable by December 2021 and the remainder payable by December 2022. Additionally, various jurisdictions in which we operate implemented similar legislation to encourage the continued employment of team members. We intend to continue to review and consider any available potential benefits under the CARES Act or other governmental support for which we qualify. During the first quarter of 2020, we recognized benefits of $40 million from the various governmental support programs. No U.S. employer social security taxes were deferred during the first quarter.</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Additionally, the CARES Act contains several significant income tax provisions, including a temporary five-year carryback of net operating losses and relaxed restrictions on business interest deductions, as well as a permanent technical correction to the depreciation method applicable to “qualified improvement property” placed in service after 2017. We are required to recognize the effect of tax law changes in the period of enactment. We have assessed the applicability of this legislation on our income tax provision and determined there is no significant effect to our first quarter 2020 income tax provision.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continuation of the coronavirus outbreak may cause prolonged or additional intermittent periods of store closures, modified operating schedules, and may result in changes in customer behaviors, including a potential reduction in consumer discretionary spending in our stores. We are experiencing an increase in operating costs for health and safety protocols for both our team members and customers. Due to the continued effects of the COVID-19 pandemic our results may be further negatively affected and may lead to increased asset recovery and valuation risks, such as long-lived tangible and right-of-use asset impairments and an inability to realize deferred tax assets due to sustaining losses in certain jurisdictions. The uncertainties in the global economy will likely affect the financial viability of some number of our vendors and require other changes to our operations. Given the dynamic nature of these circumstances, the duration of business disruption, and reduced customer traffic, the related financial affect cannot be reasonably estimated at this time but are expected to materially affect our business for the remainder of 2020. Due to these unprecedented conditions, we have withdrawn our financial guidance for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 addition to reporting our financial results in accordance with generally accepted accounting principles (“GAAP”), we report certain financial results that differ from what is reported under GAAP.</w:t>
      </w: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2" w:name="page23"/>
    <w:bookmarkEnd w:id="22"/>
    <w:p>
      <w:pPr>
        <w:jc w:val="both"/>
        <w:ind w:left="60" w:right="59"/>
        <w:spacing w:after="0"/>
        <w:rPr>
          <w:sz w:val="20"/>
          <w:szCs w:val="20"/>
          <w:color w:val="auto"/>
        </w:rPr>
      </w:pPr>
      <w:r>
        <w:rPr>
          <w:rFonts w:ascii="Arial" w:cs="Arial" w:eastAsia="Arial" w:hAnsi="Arial"/>
          <w:sz w:val="18"/>
          <w:szCs w:val="18"/>
          <w:color w:val="auto"/>
        </w:rPr>
        <w:t>We have presented certain financial measures identified as non-GAAP, such as sales changes excluding foreign currency fluctuations, adjusted (loss) income before income taxes, adjusted net (loss) income, and adjusted diluted (loss) earnings per share.</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6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w:t>
      </w:r>
    </w:p>
    <w:p>
      <w:pPr>
        <w:spacing w:after="0" w:line="16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non-GAAP financial information is provided in addition to, and not as an alternative to, our reported results prepared in accordance with GAAP. Presented below is a reconciliation of GAAP and non-GAAP results for the thirteen weeks ended May 2, 2020 and May 4, 2019.</w:t>
      </w:r>
    </w:p>
    <w:p>
      <w:pPr>
        <w:spacing w:after="0" w:line="137"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55"/>
              <w:spacing w:after="0" w:line="156" w:lineRule="exact"/>
              <w:rPr>
                <w:sz w:val="20"/>
                <w:szCs w:val="20"/>
                <w:color w:val="auto"/>
              </w:rPr>
            </w:pPr>
            <w:r>
              <w:rPr>
                <w:rFonts w:ascii="Arial" w:cs="Arial" w:eastAsia="Arial" w:hAnsi="Arial"/>
                <w:sz w:val="17"/>
                <w:szCs w:val="17"/>
                <w:b w:val="1"/>
                <w:bCs w:val="1"/>
                <w:color w:val="auto"/>
              </w:rPr>
              <w:t>May 2,</w:t>
            </w:r>
          </w:p>
        </w:tc>
        <w:tc>
          <w:tcPr>
            <w:tcW w:w="7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67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2020</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00" w:type="dxa"/>
            <w:vAlign w:val="bottom"/>
            <w:gridSpan w:val="2"/>
          </w:tcPr>
          <w:p>
            <w:pPr>
              <w:jc w:val="right"/>
              <w:ind w:right="115"/>
              <w:spacing w:after="0" w:line="183" w:lineRule="exact"/>
              <w:rPr>
                <w:sz w:val="20"/>
                <w:szCs w:val="20"/>
                <w:color w:val="auto"/>
              </w:rPr>
            </w:pPr>
            <w:r>
              <w:rPr>
                <w:rFonts w:ascii="Arial" w:cs="Arial" w:eastAsia="Arial" w:hAnsi="Arial"/>
                <w:sz w:val="17"/>
                <w:szCs w:val="17"/>
                <w:color w:val="auto"/>
              </w:rPr>
              <w:t>($ in millions)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Pre-tax income:</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(Loss) income before income taxes</w:t>
            </w:r>
          </w:p>
        </w:tc>
        <w:tc>
          <w:tcPr>
            <w:tcW w:w="1600" w:type="dxa"/>
            <w:vAlign w:val="bottom"/>
          </w:tcPr>
          <w:p>
            <w:pPr>
              <w:jc w:val="right"/>
              <w:ind w:right="1235"/>
              <w:spacing w:after="0" w:line="189" w:lineRule="exact"/>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(105)</w:t>
            </w:r>
          </w:p>
        </w:tc>
        <w:tc>
          <w:tcPr>
            <w:tcW w:w="72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auto"/>
            </w:tcBorders>
          </w:tcPr>
          <w:p>
            <w:pPr>
              <w:ind w:left="180"/>
              <w:spacing w:after="0" w:line="189" w:lineRule="exact"/>
              <w:rPr>
                <w:sz w:val="20"/>
                <w:szCs w:val="20"/>
                <w:color w:val="auto"/>
              </w:rPr>
            </w:pPr>
            <w:r>
              <w:rPr>
                <w:rFonts w:ascii="Arial" w:cs="Arial" w:eastAsia="Arial" w:hAnsi="Arial"/>
                <w:sz w:val="17"/>
                <w:szCs w:val="17"/>
                <w:color w:val="auto"/>
              </w:rPr>
              <w:t>Impairment and other charges</w:t>
            </w:r>
          </w:p>
        </w:tc>
        <w:tc>
          <w:tcPr>
            <w:tcW w:w="1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16</w:t>
            </w:r>
          </w:p>
        </w:tc>
        <w:tc>
          <w:tcPr>
            <w:tcW w:w="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Adjusted (loss) income before income taxes (non-</w:t>
            </w:r>
          </w:p>
        </w:tc>
        <w:tc>
          <w:tcPr>
            <w:tcW w:w="1600" w:type="dxa"/>
            <w:vAlign w:val="bottom"/>
            <w:vMerge w:val="restart"/>
            <w:shd w:val="clear" w:color="auto" w:fill="CCEEFF"/>
          </w:tcPr>
          <w:p>
            <w:pPr>
              <w:jc w:val="right"/>
              <w:ind w:right="1235"/>
              <w:spacing w:after="0"/>
              <w:rPr>
                <w:sz w:val="20"/>
                <w:szCs w:val="20"/>
                <w:color w:val="auto"/>
              </w:rPr>
            </w:pPr>
            <w:r>
              <w:rPr>
                <w:rFonts w:ascii="Arial" w:cs="Arial" w:eastAsia="Arial" w:hAnsi="Arial"/>
                <w:sz w:val="17"/>
                <w:szCs w:val="17"/>
                <w:b w:val="1"/>
                <w:bCs w:val="1"/>
                <w:color w:val="auto"/>
              </w:rPr>
              <w:t>$</w:t>
            </w:r>
          </w:p>
        </w:tc>
        <w:tc>
          <w:tcPr>
            <w:tcW w:w="7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(89)</w:t>
            </w:r>
          </w:p>
        </w:tc>
        <w:tc>
          <w:tcPr>
            <w:tcW w:w="7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GAAP)</w:t>
            </w: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Net (loss) income</w:t>
            </w:r>
          </w:p>
        </w:tc>
        <w:tc>
          <w:tcPr>
            <w:tcW w:w="1600" w:type="dxa"/>
            <w:vAlign w:val="bottom"/>
          </w:tcPr>
          <w:p>
            <w:pPr>
              <w:jc w:val="right"/>
              <w:ind w:right="1235"/>
              <w:spacing w:after="0" w:line="189" w:lineRule="exact"/>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(110)</w:t>
            </w:r>
          </w:p>
        </w:tc>
        <w:tc>
          <w:tcPr>
            <w:tcW w:w="72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80"/>
              <w:spacing w:after="0" w:line="183" w:lineRule="exact"/>
              <w:rPr>
                <w:sz w:val="20"/>
                <w:szCs w:val="20"/>
                <w:color w:val="auto"/>
              </w:rPr>
            </w:pPr>
            <w:r>
              <w:rPr>
                <w:rFonts w:ascii="Arial" w:cs="Arial" w:eastAsia="Arial" w:hAnsi="Arial"/>
                <w:sz w:val="17"/>
                <w:szCs w:val="17"/>
                <w:color w:val="auto"/>
              </w:rPr>
              <w:t>Impairment and other charges, net of income tax</w:t>
            </w:r>
          </w:p>
        </w:tc>
        <w:tc>
          <w:tcPr>
            <w:tcW w:w="1600" w:type="dxa"/>
            <w:vAlign w:val="bottom"/>
          </w:tcPr>
          <w:p>
            <w:pPr>
              <w:spacing w:after="0"/>
              <w:rPr>
                <w:sz w:val="15"/>
                <w:szCs w:val="15"/>
                <w:color w:val="auto"/>
              </w:rPr>
            </w:pPr>
          </w:p>
        </w:tc>
        <w:tc>
          <w:tcPr>
            <w:tcW w:w="78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13</w:t>
            </w: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Pr>
          <w:p>
            <w:pPr>
              <w:ind w:left="180"/>
              <w:spacing w:after="0"/>
              <w:rPr>
                <w:sz w:val="20"/>
                <w:szCs w:val="20"/>
                <w:color w:val="auto"/>
              </w:rPr>
            </w:pPr>
            <w:r>
              <w:rPr>
                <w:rFonts w:ascii="Arial" w:cs="Arial" w:eastAsia="Arial" w:hAnsi="Arial"/>
                <w:sz w:val="17"/>
                <w:szCs w:val="17"/>
                <w:color w:val="auto"/>
              </w:rPr>
              <w:t>benefit of $3 and $- million, respectively</w:t>
            </w:r>
          </w:p>
        </w:tc>
        <w:tc>
          <w:tcPr>
            <w:tcW w:w="16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shd w:val="clear" w:color="auto" w:fill="CCEEFF"/>
          </w:tcPr>
          <w:p>
            <w:pPr>
              <w:ind w:left="18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16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27</w:t>
            </w:r>
          </w:p>
        </w:tc>
        <w:tc>
          <w:tcPr>
            <w:tcW w:w="7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intellectual property rights</w:t>
            </w:r>
          </w:p>
        </w:tc>
        <w:tc>
          <w:tcPr>
            <w:tcW w:w="16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(loss) income (non-GAAP)</w:t>
            </w:r>
          </w:p>
        </w:tc>
        <w:tc>
          <w:tcPr>
            <w:tcW w:w="1600" w:type="dxa"/>
            <w:vAlign w:val="bottom"/>
            <w:tcBorders>
              <w:bottom w:val="single" w:sz="8" w:color="auto"/>
            </w:tcBorders>
          </w:tcPr>
          <w:p>
            <w:pPr>
              <w:jc w:val="right"/>
              <w:ind w:right="1235"/>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(70)</w:t>
            </w:r>
          </w:p>
        </w:tc>
        <w:tc>
          <w:tcPr>
            <w:tcW w:w="72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(loss) earnings per share</w:t>
            </w:r>
          </w:p>
        </w:tc>
        <w:tc>
          <w:tcPr>
            <w:tcW w:w="1600" w:type="dxa"/>
            <w:vAlign w:val="bottom"/>
            <w:shd w:val="clear" w:color="auto" w:fill="CCEEFF"/>
          </w:tcPr>
          <w:p>
            <w:pPr>
              <w:jc w:val="right"/>
              <w:ind w:right="1235"/>
              <w:spacing w:after="0" w:line="189" w:lineRule="exact"/>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(1.06)</w:t>
            </w:r>
          </w:p>
        </w:tc>
        <w:tc>
          <w:tcPr>
            <w:tcW w:w="72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Impairment and other charges</w:t>
            </w:r>
          </w:p>
        </w:tc>
        <w:tc>
          <w:tcPr>
            <w:tcW w:w="16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0.13</w:t>
            </w:r>
          </w:p>
        </w:tc>
        <w:tc>
          <w:tcPr>
            <w:tcW w:w="7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ind w:left="180"/>
              <w:spacing w:after="0" w:line="183" w:lineRule="exact"/>
              <w:rPr>
                <w:sz w:val="20"/>
                <w:szCs w:val="20"/>
                <w:color w:val="auto"/>
              </w:rPr>
            </w:pPr>
            <w:r>
              <w:rPr>
                <w:rFonts w:ascii="Arial" w:cs="Arial" w:eastAsia="Arial" w:hAnsi="Arial"/>
                <w:sz w:val="17"/>
                <w:szCs w:val="17"/>
                <w:color w:val="auto"/>
              </w:rPr>
              <w:t>Tax charge related to revaluation of certain</w:t>
            </w:r>
          </w:p>
        </w:tc>
        <w:tc>
          <w:tcPr>
            <w:tcW w:w="1600" w:type="dxa"/>
            <w:vAlign w:val="bottom"/>
          </w:tcPr>
          <w:p>
            <w:pPr>
              <w:spacing w:after="0"/>
              <w:rPr>
                <w:sz w:val="15"/>
                <w:szCs w:val="15"/>
                <w:color w:val="auto"/>
              </w:rPr>
            </w:pPr>
          </w:p>
        </w:tc>
        <w:tc>
          <w:tcPr>
            <w:tcW w:w="78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0.26</w:t>
            </w: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intellectual property rights</w:t>
            </w:r>
          </w:p>
        </w:tc>
        <w:tc>
          <w:tcPr>
            <w:tcW w:w="1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(loss) earnings per share (non-GAAP)</w:t>
            </w:r>
          </w:p>
        </w:tc>
        <w:tc>
          <w:tcPr>
            <w:tcW w:w="1600" w:type="dxa"/>
            <w:vAlign w:val="bottom"/>
            <w:tcBorders>
              <w:bottom w:val="single" w:sz="8" w:color="auto"/>
            </w:tcBorders>
            <w:shd w:val="clear" w:color="auto" w:fill="CCEEFF"/>
          </w:tcPr>
          <w:p>
            <w:pPr>
              <w:jc w:val="right"/>
              <w:ind w:right="1235"/>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(0.67)</w:t>
            </w:r>
          </w:p>
        </w:tc>
        <w:tc>
          <w:tcPr>
            <w:tcW w:w="720" w:type="dxa"/>
            <w:vAlign w:val="bottom"/>
            <w:tcBorders>
              <w:bottom w:val="single" w:sz="8" w:color="auto"/>
            </w:tcBorders>
            <w:shd w:val="clear" w:color="auto" w:fill="CCEEFF"/>
          </w:tcPr>
          <w:p>
            <w:pPr>
              <w:jc w:val="right"/>
              <w:ind w:right="37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the thirteen weeks ended May 2, 2020, we recorded impairment charges of $15 million related to certain Runners Point and Sidestep stores that will be closing before lease expiration and other underperforming stores in Europe. In each of the thirteen weeks ended May 2, 2020 and May 4, 2019, we recorded $1 million related to administrative costs associated with the pension plan reformation. Also during the first quarter we recorded a $27 million tax charge related to the revaluation of certain intellectual property rights, pursuant to a non-U.S. advance pricing agreement.</w:t>
      </w: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First Quarter 2020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as applicable, operating in Australia, New Zealand, and Asia. We have further aggregated these operating segments into one reportable segment based upon their shared customer base and similar economic characteristics.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(loss) profit. Division (loss) profit reflects (loss) income before income taxes, impairment and other charges, corporate expenses, non-operating income, and net interest (expense) income. The following table summarizes our results:</w:t>
      </w:r>
    </w:p>
    <w:p>
      <w:pPr>
        <w:spacing w:after="0" w:line="193"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6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8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230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1,176</w:t>
            </w:r>
          </w:p>
        </w:tc>
        <w:tc>
          <w:tcPr>
            <w:tcW w:w="6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Division (loss) profit</w:t>
            </w:r>
          </w:p>
        </w:tc>
        <w:tc>
          <w:tcPr>
            <w:tcW w:w="230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(79)</w:t>
            </w:r>
          </w:p>
        </w:tc>
        <w:tc>
          <w:tcPr>
            <w:tcW w:w="6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16</w:t>
            </w: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2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10</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Income from operations</w:t>
            </w: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(105)</w:t>
            </w:r>
          </w:p>
        </w:tc>
        <w:tc>
          <w:tcPr>
            <w:tcW w:w="6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230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6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2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6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(Loss) income before income taxes</w:t>
            </w:r>
          </w:p>
        </w:tc>
        <w:tc>
          <w:tcPr>
            <w:tcW w:w="2300" w:type="dxa"/>
            <w:vAlign w:val="bottom"/>
            <w:tcBorders>
              <w:bottom w:val="single" w:sz="8" w:color="auto"/>
            </w:tcBorders>
          </w:tcPr>
          <w:p>
            <w:pPr>
              <w:jc w:val="right"/>
              <w:ind w:right="9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(105)</w:t>
            </w:r>
          </w:p>
        </w:tc>
        <w:tc>
          <w:tcPr>
            <w:tcW w:w="620" w:type="dxa"/>
            <w:vAlign w:val="bottom"/>
            <w:tcBorders>
              <w:bottom w:val="single" w:sz="8" w:color="auto"/>
            </w:tcBorders>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left="380" w:right="79" w:hanging="330"/>
        <w:spacing w:after="0" w:line="24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thirteen weeks ended May 2, 2020, we recorded pre-tax charges of $15 million related to the impairment of certain Runners Point and Sidestep stores that will be closing before lease expiration and other underperforming stores in Europe. We recorded pre-tax charges of $1 million in each of the thirteen weeks ended May 2, 2020 and May 4, 2019 related to administrative costs in connection with the pension plan reformation.</w:t>
      </w:r>
    </w:p>
    <w:p>
      <w:pPr>
        <w:spacing w:after="0" w:line="93"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92"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income included non-operating items, franchise royalty income,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Computations exclude the effect of foreign currency fluctuations.</w:t>
      </w: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186"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04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2"/>
          </w:tcPr>
          <w:p>
            <w:pPr>
              <w:jc w:val="right"/>
              <w:ind w:right="515"/>
              <w:spacing w:after="0" w:line="156" w:lineRule="exact"/>
              <w:rPr>
                <w:sz w:val="20"/>
                <w:szCs w:val="20"/>
                <w:color w:val="auto"/>
              </w:rPr>
            </w:pPr>
            <w:r>
              <w:rPr>
                <w:rFonts w:ascii="Arial" w:cs="Arial" w:eastAsia="Arial" w:hAnsi="Arial"/>
                <w:sz w:val="17"/>
                <w:szCs w:val="17"/>
                <w:b w:val="1"/>
                <w:bCs w:val="1"/>
                <w:color w:val="auto"/>
              </w:rPr>
              <w:t>May 2,</w:t>
            </w:r>
          </w:p>
        </w:tc>
        <w:tc>
          <w:tcPr>
            <w:tcW w:w="6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75"/>
              <w:spacing w:after="0" w:line="156" w:lineRule="exact"/>
              <w:rPr>
                <w:sz w:val="20"/>
                <w:szCs w:val="20"/>
                <w:color w:val="auto"/>
              </w:rPr>
            </w:pPr>
            <w:r>
              <w:rPr>
                <w:rFonts w:ascii="Arial" w:cs="Arial" w:eastAsia="Arial" w:hAnsi="Arial"/>
                <w:sz w:val="17"/>
                <w:szCs w:val="17"/>
                <w:b w:val="1"/>
                <w:bCs w:val="1"/>
                <w:color w:val="auto"/>
              </w:rPr>
              <w:t>May 4,</w:t>
            </w:r>
          </w:p>
        </w:tc>
        <w:tc>
          <w:tcPr>
            <w:tcW w:w="0" w:type="dxa"/>
            <w:vAlign w:val="bottom"/>
          </w:tcPr>
          <w:p>
            <w:pPr>
              <w:spacing w:after="0"/>
              <w:rPr>
                <w:sz w:val="1"/>
                <w:szCs w:val="1"/>
                <w:color w:val="auto"/>
              </w:rPr>
            </w:pPr>
          </w:p>
        </w:tc>
      </w:tr>
      <w:tr>
        <w:trPr>
          <w:trHeight w:val="215"/>
        </w:trPr>
        <w:tc>
          <w:tcPr>
            <w:tcW w:w="40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98"/>
        </w:trPr>
        <w:tc>
          <w:tcPr>
            <w:tcW w:w="4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Stores</w:t>
            </w:r>
          </w:p>
        </w:tc>
        <w:tc>
          <w:tcPr>
            <w:tcW w:w="22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226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814</w:t>
            </w:r>
          </w:p>
        </w:tc>
        <w:tc>
          <w:tcPr>
            <w:tcW w:w="660" w:type="dxa"/>
            <w:vAlign w:val="bottom"/>
            <w:shd w:val="clear" w:color="auto" w:fill="CCEEFF"/>
          </w:tcPr>
          <w:p>
            <w:pPr>
              <w:jc w:val="right"/>
              <w:ind w:right="415"/>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1,758</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260" w:type="dxa"/>
            <w:vAlign w:val="bottom"/>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(944)</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7"/>
              </w:rPr>
              <w:t>(53.7)%</w:t>
            </w: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22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69.2 %</w:t>
            </w:r>
          </w:p>
        </w:tc>
        <w:tc>
          <w:tcPr>
            <w:tcW w:w="660" w:type="dxa"/>
            <w:vAlign w:val="bottom"/>
          </w:tcPr>
          <w:p>
            <w:pPr>
              <w:spacing w:after="0"/>
              <w:rPr>
                <w:sz w:val="16"/>
                <w:szCs w:val="16"/>
                <w:color w:val="auto"/>
              </w:rPr>
            </w:pPr>
          </w:p>
        </w:tc>
        <w:tc>
          <w:tcPr>
            <w:tcW w:w="12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84.6 %</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2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7"/>
              </w:rPr>
              <w:t>(53.4)%</w:t>
            </w: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2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2260" w:type="dxa"/>
            <w:vAlign w:val="bottom"/>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362</w:t>
            </w:r>
          </w:p>
        </w:tc>
        <w:tc>
          <w:tcPr>
            <w:tcW w:w="660" w:type="dxa"/>
            <w:vAlign w:val="bottom"/>
          </w:tcPr>
          <w:p>
            <w:pPr>
              <w:jc w:val="right"/>
              <w:ind w:right="415"/>
              <w:spacing w:after="0" w:line="18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26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42</w:t>
            </w: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2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13.1 %</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2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30.8 %</w:t>
            </w:r>
          </w:p>
        </w:tc>
        <w:tc>
          <w:tcPr>
            <w:tcW w:w="6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15.4 %</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2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14.3 %</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weeks ended May 2, 2020, sales decreased by $902 million, or 43.4 percent, to $1,176 million, from the prior-year period. Excluding the effect of foreign currency fluctuations, total sales decreased by $891 million, or 42.9 percent, for the thirteen weeks ended May 2, 2020.</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Total comparable sales decreased by 42.8 percent for the thirteen weeks ended May 2, 2020. The stores channel had a 53.4 percent decrease for the thirteen weeks ended May 2, 2020 as a result of the temporary closure of our stores across all of our banners around the world beginning in mid-March due to the COVID-19 pandemic. This decrease was partially offset by strong sales in our direct-to-customers channel, which increased by 14.3 percent for the thirteen weeks ended May 2, 2020 as customer demand was still high for our products.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each of our operating segments, the stores business declined significantly due to the temporary closures. The decline was across all product categories and wearer segments. However, as noted above, our direct-to-customers business increased, driven by sales of classic basketball styles and key launch footwear. We noted a significant increase in our domestic direct-to-customers business, partially as a result of the federal stimulus payments received by our customers. Our previous investments in digital and supply chain capabilities allowed us to leverage this part of our business to continue to serve our customers achieving peak daily volume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5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left="535"/>
              <w:spacing w:after="0" w:line="156" w:lineRule="exact"/>
              <w:rPr>
                <w:sz w:val="20"/>
                <w:szCs w:val="20"/>
                <w:color w:val="auto"/>
              </w:rPr>
            </w:pPr>
            <w:r>
              <w:rPr>
                <w:rFonts w:ascii="Arial" w:cs="Arial" w:eastAsia="Arial" w:hAnsi="Arial"/>
                <w:sz w:val="17"/>
                <w:szCs w:val="17"/>
                <w:b w:val="1"/>
                <w:bCs w:val="1"/>
                <w:color w:val="auto"/>
                <w:w w:val="99"/>
              </w:rPr>
              <w:t>May 2,</w:t>
            </w:r>
          </w:p>
        </w:tc>
        <w:tc>
          <w:tcPr>
            <w:tcW w:w="8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37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5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8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2019</w:t>
            </w: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23.0 %</w:t>
            </w:r>
          </w:p>
        </w:tc>
        <w:tc>
          <w:tcPr>
            <w:tcW w:w="15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33.2 %</w:t>
            </w: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2040" w:type="dxa"/>
            <w:vAlign w:val="bottom"/>
            <w:gridSpan w:val="2"/>
          </w:tcPr>
          <w:p>
            <w:pPr>
              <w:jc w:val="right"/>
              <w:ind w:right="355"/>
              <w:spacing w:after="0" w:line="189" w:lineRule="exact"/>
              <w:rPr>
                <w:sz w:val="20"/>
                <w:szCs w:val="20"/>
                <w:color w:val="auto"/>
              </w:rPr>
            </w:pPr>
            <w:r>
              <w:rPr>
                <w:rFonts w:ascii="Arial" w:cs="Arial" w:eastAsia="Arial" w:hAnsi="Arial"/>
                <w:sz w:val="17"/>
                <w:szCs w:val="17"/>
                <w:b w:val="1"/>
                <w:bCs w:val="1"/>
                <w:color w:val="auto"/>
              </w:rPr>
              <w:t>(1,020)</w:t>
            </w:r>
          </w:p>
        </w:tc>
        <w:tc>
          <w:tcPr>
            <w:tcW w:w="1580" w:type="dxa"/>
            <w:vAlign w:val="bottom"/>
          </w:tcPr>
          <w:p>
            <w:pPr>
              <w:spacing w:after="0"/>
              <w:rPr>
                <w:sz w:val="16"/>
                <w:szCs w:val="16"/>
                <w:color w:val="auto"/>
              </w:rPr>
            </w:pPr>
          </w:p>
        </w:tc>
      </w:tr>
      <w:tr>
        <w:trPr>
          <w:trHeight w:val="189"/>
        </w:trPr>
        <w:tc>
          <w:tcPr>
            <w:tcW w:w="52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528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1180" w:type="dxa"/>
            <w:vAlign w:val="bottom"/>
          </w:tcPr>
          <w:p>
            <w:pPr>
              <w:spacing w:after="0"/>
              <w:rPr>
                <w:sz w:val="16"/>
                <w:szCs w:val="16"/>
                <w:color w:val="auto"/>
              </w:rPr>
            </w:pPr>
          </w:p>
        </w:tc>
        <w:tc>
          <w:tcPr>
            <w:tcW w:w="86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(170)</w:t>
            </w:r>
          </w:p>
        </w:tc>
        <w:tc>
          <w:tcPr>
            <w:tcW w:w="1580" w:type="dxa"/>
            <w:vAlign w:val="bottom"/>
          </w:tcPr>
          <w:p>
            <w:pPr>
              <w:spacing w:after="0"/>
              <w:rPr>
                <w:sz w:val="16"/>
                <w:szCs w:val="16"/>
                <w:color w:val="auto"/>
              </w:rPr>
            </w:pPr>
          </w:p>
        </w:tc>
      </w:tr>
      <w:tr>
        <w:trPr>
          <w:trHeight w:val="189"/>
        </w:trPr>
        <w:tc>
          <w:tcPr>
            <w:tcW w:w="52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Higher occupancy and buyers’ compensation expense rate</w:t>
            </w:r>
          </w:p>
        </w:tc>
        <w:tc>
          <w:tcPr>
            <w:tcW w:w="1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55"/>
              <w:spacing w:after="0" w:line="189" w:lineRule="exact"/>
              <w:rPr>
                <w:sz w:val="20"/>
                <w:szCs w:val="20"/>
                <w:color w:val="auto"/>
              </w:rPr>
            </w:pPr>
            <w:r>
              <w:rPr>
                <w:rFonts w:ascii="Arial" w:cs="Arial" w:eastAsia="Arial" w:hAnsi="Arial"/>
                <w:sz w:val="17"/>
                <w:szCs w:val="17"/>
                <w:b w:val="1"/>
                <w:bCs w:val="1"/>
                <w:color w:val="auto"/>
              </w:rPr>
              <w:t>(850)</w:t>
            </w:r>
          </w:p>
        </w:tc>
        <w:tc>
          <w:tcPr>
            <w:tcW w:w="1580" w:type="dxa"/>
            <w:vAlign w:val="bottom"/>
            <w:tcBorders>
              <w:bottom w:val="single" w:sz="8" w:color="auto"/>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5" w:name="page26"/>
    <w:bookmarkEnd w:id="25"/>
    <w:p>
      <w:pPr>
        <w:jc w:val="both"/>
        <w:ind w:left="60" w:right="59"/>
        <w:spacing w:after="0" w:line="23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gross margin rate decreased to 23.0 percent for the thirteen weeks ended May 2, 2020 as compared with 33.2 percent in the corresponding prior-year period. The merchandise margin rate declined due to a higher proportion of direct-to-customer sales, which has a lower merchandise margin. The occupancy and buyers’ compensation expense rate significantly deleveraged. Although we withheld rent payments once our stores closed mid-March due to the COVID-19 pandemic, this was not reflected in the rent expense for the quarter. As negotiations with our landlords are completed, we will recognize the reduction of expense at that time.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4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7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75"/>
              <w:spacing w:after="0" w:line="156" w:lineRule="exact"/>
              <w:rPr>
                <w:sz w:val="20"/>
                <w:szCs w:val="20"/>
                <w:color w:val="auto"/>
              </w:rPr>
            </w:pPr>
            <w:r>
              <w:rPr>
                <w:rFonts w:ascii="Arial" w:cs="Arial" w:eastAsia="Arial" w:hAnsi="Arial"/>
                <w:sz w:val="17"/>
                <w:szCs w:val="17"/>
                <w:b w:val="1"/>
                <w:bCs w:val="1"/>
                <w:color w:val="auto"/>
              </w:rPr>
              <w:t>May 4,</w:t>
            </w:r>
          </w:p>
        </w:tc>
      </w:tr>
      <w:tr>
        <w:trPr>
          <w:trHeight w:val="215"/>
        </w:trPr>
        <w:tc>
          <w:tcPr>
            <w:tcW w:w="38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38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6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SG&amp;A</w:t>
            </w:r>
          </w:p>
        </w:tc>
        <w:tc>
          <w:tcPr>
            <w:tcW w:w="260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316</w:t>
            </w:r>
          </w:p>
        </w:tc>
        <w:tc>
          <w:tcPr>
            <w:tcW w:w="5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416</w:t>
            </w:r>
          </w:p>
        </w:tc>
      </w:tr>
      <w:tr>
        <w:trPr>
          <w:trHeight w:val="189"/>
        </w:trPr>
        <w:tc>
          <w:tcPr>
            <w:tcW w:w="38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60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(100)</w:t>
            </w:r>
          </w:p>
        </w:tc>
        <w:tc>
          <w:tcPr>
            <w:tcW w:w="54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spacing w:after="0"/>
              <w:rPr>
                <w:sz w:val="16"/>
                <w:szCs w:val="16"/>
                <w:color w:val="auto"/>
              </w:rPr>
            </w:pPr>
          </w:p>
        </w:tc>
      </w:tr>
      <w:tr>
        <w:trPr>
          <w:trHeight w:val="189"/>
        </w:trPr>
        <w:tc>
          <w:tcPr>
            <w:tcW w:w="3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6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(24.0)%</w:t>
            </w: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26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26.9 %</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20.0</w:t>
            </w: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SG&amp;A decreased by $100 million to $316 million for the thirteen weeks ended May 2, 2020, as compared with the corresponding prior-year period. Excluding the effect of foreign currency fluctuations, SG&amp;A decreased by $96 million for the thirteen weeks ended May 2, 2020, as compared with the corresponding prior-year period. As a percentage of sales, SG&amp;A increased to 26.9 percent for the thirteen weeks ended May 2, 2020. The SG&amp;A rate reflected significantly lower sales as a result of temporary store closures in connection with the COVID-19 pandemic. We carefully managed expenses by reducing spending in all areas of the business, including marketing, travel, and incentive compensation expenses, among other categories. We continued to pay our employees throughout most of the quarter, despite the temporary store closures. Store wage costs were partially offset by CARES Act retention credits and similar credits from other jurisdictions, which totaled $40 million.</w:t>
      </w:r>
    </w:p>
    <w:p>
      <w:pPr>
        <w:spacing w:after="0" w:line="20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Corporate expense (a component of SG&amp;A) decreased during the quarter primarily reflecting lower incentive compensation expenses as compared with the corresponding prior-year period.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7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6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9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37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3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70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44</w:t>
            </w:r>
          </w:p>
        </w:tc>
        <w:tc>
          <w:tcPr>
            <w:tcW w:w="5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270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spacing w:after="0"/>
              <w:rPr>
                <w:sz w:val="16"/>
                <w:szCs w:val="16"/>
                <w:color w:val="auto"/>
              </w:rPr>
            </w:pPr>
          </w:p>
        </w:tc>
      </w:tr>
      <w:tr>
        <w:trPr>
          <w:trHeight w:val="189"/>
        </w:trPr>
        <w:tc>
          <w:tcPr>
            <w:tcW w:w="37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27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 %</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Depreciation and amortization expense was unchanged for the thirteen weeks ended May 2, 2020 as compared with the corresponding prior-year period. Excluding the effect of foreign currency fluctuations, depreciation and amortization increased $1 million for the thirteen weeks ended May 2, 2020, as compared with the corresponding prior-year period.</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0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gridSpan w:val="2"/>
          </w:tcPr>
          <w:p>
            <w:pPr>
              <w:jc w:val="right"/>
              <w:ind w:right="695"/>
              <w:spacing w:after="0" w:line="156" w:lineRule="exact"/>
              <w:rPr>
                <w:sz w:val="20"/>
                <w:szCs w:val="20"/>
                <w:color w:val="auto"/>
              </w:rPr>
            </w:pPr>
            <w:r>
              <w:rPr>
                <w:rFonts w:ascii="Arial" w:cs="Arial" w:eastAsia="Arial" w:hAnsi="Arial"/>
                <w:sz w:val="17"/>
                <w:szCs w:val="17"/>
                <w:b w:val="1"/>
                <w:bCs w:val="1"/>
                <w:color w:val="auto"/>
              </w:rPr>
              <w:t>May 2,</w:t>
            </w: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75"/>
              <w:spacing w:after="0" w:line="156" w:lineRule="exact"/>
              <w:rPr>
                <w:sz w:val="20"/>
                <w:szCs w:val="20"/>
                <w:color w:val="auto"/>
              </w:rPr>
            </w:pPr>
            <w:r>
              <w:rPr>
                <w:rFonts w:ascii="Arial" w:cs="Arial" w:eastAsia="Arial" w:hAnsi="Arial"/>
                <w:sz w:val="17"/>
                <w:szCs w:val="17"/>
                <w:b w:val="1"/>
                <w:bCs w:val="1"/>
                <w:color w:val="auto"/>
              </w:rPr>
              <w:t>May 4,</w:t>
            </w:r>
          </w:p>
        </w:tc>
      </w:tr>
      <w:tr>
        <w:trPr>
          <w:trHeight w:val="215"/>
        </w:trPr>
        <w:tc>
          <w:tcPr>
            <w:tcW w:w="38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38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8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Impairment and other charges</w:t>
            </w:r>
          </w:p>
        </w:tc>
        <w:tc>
          <w:tcPr>
            <w:tcW w:w="2520" w:type="dxa"/>
            <w:vAlign w:val="bottom"/>
            <w:shd w:val="clear" w:color="auto" w:fill="CCEEFF"/>
          </w:tcPr>
          <w:p>
            <w:pPr>
              <w:jc w:val="right"/>
              <w:ind w:right="83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16</w:t>
            </w:r>
          </w:p>
        </w:tc>
        <w:tc>
          <w:tcPr>
            <w:tcW w:w="5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8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2520" w:type="dxa"/>
            <w:vAlign w:val="bottom"/>
          </w:tcPr>
          <w:p>
            <w:pPr>
              <w:jc w:val="right"/>
              <w:ind w:right="83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15</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3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2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9"/>
              </w:rPr>
              <w:t>1,500.0 %</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212529"/>
        </w:rPr>
        <w:t xml:space="preserve">Due to </w:t>
      </w:r>
      <w:r>
        <w:rPr>
          <w:rFonts w:ascii="Arial" w:cs="Arial" w:eastAsia="Arial" w:hAnsi="Arial"/>
          <w:sz w:val="18"/>
          <w:szCs w:val="18"/>
          <w:color w:val="000000"/>
        </w:rPr>
        <w:t>the COVID-19 pandemic and its effect on our actual and projected results, we determined that a</w:t>
      </w:r>
      <w:r>
        <w:rPr>
          <w:rFonts w:ascii="Arial" w:cs="Arial" w:eastAsia="Arial" w:hAnsi="Arial"/>
          <w:sz w:val="18"/>
          <w:szCs w:val="18"/>
          <w:color w:val="212529"/>
        </w:rPr>
        <w:t xml:space="preserve"> </w:t>
      </w:r>
      <w:r>
        <w:rPr>
          <w:rFonts w:ascii="Arial" w:cs="Arial" w:eastAsia="Arial" w:hAnsi="Arial"/>
          <w:sz w:val="18"/>
          <w:szCs w:val="18"/>
          <w:color w:val="000000"/>
        </w:rPr>
        <w:t>triggering event had occurred for certain underperforming stores and, therefore, we conducted an impairment review during the first quarter of 2020. Additionally, in May 2020, we made the strategic decision to close our Runners Point business. As part of the decision to close the banner, certain Runners Point stores will convert to other banners and approximately 40 Runners Point and Sidestep stores will close prior to their natural lease expiration. We evaluated the long-lived assets, including the right-of-use assets, of 70 stores, which included the Runners Point and Sidestep stores identified for closure, and recorded non-cash charges of $15 million to write down store fixtures, leasehold improvements, and right-of-use assets.</w:t>
      </w:r>
    </w:p>
    <w:p>
      <w:pPr>
        <w:spacing w:after="0" w:line="20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Also included in both periods are charges of $1 million related to administrative costs incurred in connection with the pension plan reformation.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Division (Loss) Profit</w:t>
      </w:r>
    </w:p>
    <w:p>
      <w:pPr>
        <w:spacing w:after="0" w:line="218"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62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jc w:val="center"/>
              <w:ind w:left="1895"/>
              <w:spacing w:after="0" w:line="156" w:lineRule="exact"/>
              <w:rPr>
                <w:sz w:val="20"/>
                <w:szCs w:val="20"/>
                <w:color w:val="auto"/>
              </w:rPr>
            </w:pPr>
            <w:r>
              <w:rPr>
                <w:rFonts w:ascii="Arial" w:cs="Arial" w:eastAsia="Arial" w:hAnsi="Arial"/>
                <w:sz w:val="17"/>
                <w:szCs w:val="17"/>
                <w:b w:val="1"/>
                <w:bCs w:val="1"/>
                <w:color w:val="auto"/>
                <w:w w:val="99"/>
              </w:rPr>
              <w:t>May 2,</w:t>
            </w:r>
          </w:p>
        </w:tc>
        <w:tc>
          <w:tcPr>
            <w:tcW w:w="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73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36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2019</w:t>
            </w:r>
          </w:p>
        </w:tc>
      </w:tr>
      <w:tr>
        <w:trPr>
          <w:trHeight w:val="183"/>
        </w:trPr>
        <w:tc>
          <w:tcPr>
            <w:tcW w:w="3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360" w:type="dxa"/>
            <w:vAlign w:val="bottom"/>
          </w:tcPr>
          <w:p>
            <w:pPr>
              <w:spacing w:after="0"/>
              <w:rPr>
                <w:sz w:val="15"/>
                <w:szCs w:val="15"/>
                <w:color w:val="auto"/>
              </w:rPr>
            </w:pPr>
          </w:p>
        </w:tc>
      </w:tr>
      <w:tr>
        <w:trPr>
          <w:trHeight w:val="189"/>
        </w:trPr>
        <w:tc>
          <w:tcPr>
            <w:tcW w:w="3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Division (loss) profit</w:t>
            </w:r>
          </w:p>
        </w:tc>
        <w:tc>
          <w:tcPr>
            <w:tcW w:w="270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(79)</w:t>
            </w:r>
          </w:p>
        </w:tc>
        <w:tc>
          <w:tcPr>
            <w:tcW w:w="580" w:type="dxa"/>
            <w:vAlign w:val="bottom"/>
            <w:shd w:val="clear" w:color="auto" w:fill="CCEEFF"/>
          </w:tcPr>
          <w:p>
            <w:pPr>
              <w:jc w:val="right"/>
              <w:ind w:right="335"/>
              <w:spacing w:after="0" w:line="189"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250</w:t>
            </w:r>
          </w:p>
        </w:tc>
      </w:tr>
      <w:tr>
        <w:trPr>
          <w:trHeight w:val="189"/>
        </w:trPr>
        <w:tc>
          <w:tcPr>
            <w:tcW w:w="36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Division (loss) profit margin</w:t>
            </w:r>
          </w:p>
        </w:tc>
        <w:tc>
          <w:tcPr>
            <w:tcW w:w="2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(6.7)%</w:t>
            </w:r>
          </w:p>
        </w:tc>
        <w:tc>
          <w:tcPr>
            <w:tcW w:w="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12.0 %</w:t>
            </w: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recognized a division loss of $ 79 million for the thirteen weeks ended May 2, 2020, as compared with division profit of $250 million in the corresponding prior-year period. Lower sales due to the temporary store closures caused by the COVID-19 pandemic, along with reduced margin rates and higher SG&amp;A, as a percentage of sales, decreased the results for the quarter as compared with the corresponding prior-year period. Management is continuing to monitor the results of each of the banners as the recovery from the COVID-19 pandemic continues. Due to the uncertainty surrounding the pandemic and assumptions around the continuing effects of the COVID-19 pandemic, we may be required to perform an impairment analysis over certain store long-lived tangible and right-of-use assets in future quarters.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Income, Net</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80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6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95"/>
              <w:spacing w:after="0" w:line="156" w:lineRule="exact"/>
              <w:rPr>
                <w:sz w:val="20"/>
                <w:szCs w:val="20"/>
                <w:color w:val="auto"/>
              </w:rPr>
            </w:pPr>
            <w:r>
              <w:rPr>
                <w:rFonts w:ascii="Arial" w:cs="Arial" w:eastAsia="Arial" w:hAnsi="Arial"/>
                <w:sz w:val="17"/>
                <w:szCs w:val="17"/>
                <w:b w:val="1"/>
                <w:bCs w:val="1"/>
                <w:color w:val="auto"/>
              </w:rPr>
              <w:t>May 4,</w:t>
            </w:r>
          </w:p>
        </w:tc>
      </w:tr>
      <w:tr>
        <w:trPr>
          <w:trHeight w:val="215"/>
        </w:trPr>
        <w:tc>
          <w:tcPr>
            <w:tcW w:w="38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38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268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6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8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2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2</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3"/>
        </w:trPr>
        <w:tc>
          <w:tcPr>
            <w:tcW w:w="3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2680" w:type="dxa"/>
            <w:vAlign w:val="bottom"/>
            <w:tcBorders>
              <w:bottom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w:t>
            </w:r>
          </w:p>
        </w:tc>
        <w:tc>
          <w:tcPr>
            <w:tcW w:w="62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recorded $1 million of net interest expense for the thirteen weeks ended May 2, 2020, as compared with net interest income of $4 million for the corresponding prior-year period. Interest expense increased due to the drawdown of the revolving credit facility in March 2020. Additionally, interest income decreased primarily as a result of lower average interest rates on our cash and cash equivalents.</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340" w:type="dxa"/>
            <w:vAlign w:val="bottom"/>
            <w:tcBorders>
              <w:top w:val="single" w:sz="8" w:color="auto"/>
            </w:tcBorders>
          </w:tcPr>
          <w:p>
            <w:pPr>
              <w:spacing w:after="0"/>
              <w:rPr>
                <w:sz w:val="13"/>
                <w:szCs w:val="13"/>
                <w:color w:val="auto"/>
              </w:rPr>
            </w:pPr>
          </w:p>
        </w:tc>
        <w:tc>
          <w:tcPr>
            <w:tcW w:w="3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7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75"/>
              <w:spacing w:after="0" w:line="156" w:lineRule="exact"/>
              <w:rPr>
                <w:sz w:val="20"/>
                <w:szCs w:val="20"/>
                <w:color w:val="auto"/>
              </w:rPr>
            </w:pPr>
            <w:r>
              <w:rPr>
                <w:rFonts w:ascii="Arial" w:cs="Arial" w:eastAsia="Arial" w:hAnsi="Arial"/>
                <w:sz w:val="17"/>
                <w:szCs w:val="17"/>
                <w:b w:val="1"/>
                <w:bCs w:val="1"/>
                <w:color w:val="auto"/>
              </w:rPr>
              <w:t>May 4,</w:t>
            </w:r>
          </w:p>
        </w:tc>
      </w:tr>
      <w:tr>
        <w:trPr>
          <w:trHeight w:val="215"/>
        </w:trPr>
        <w:tc>
          <w:tcPr>
            <w:tcW w:w="3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3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6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3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310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5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3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310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33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3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(50.0)%</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Other income includes non-operating items, including franchise royalty income,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1"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58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tcPr>
          <w:p>
            <w:pPr>
              <w:jc w:val="center"/>
              <w:ind w:left="1935"/>
              <w:spacing w:after="0" w:line="184" w:lineRule="exact"/>
              <w:rPr>
                <w:sz w:val="20"/>
                <w:szCs w:val="20"/>
                <w:color w:val="auto"/>
              </w:rPr>
            </w:pPr>
            <w:r>
              <w:rPr>
                <w:rFonts w:ascii="Arial" w:cs="Arial" w:eastAsia="Arial" w:hAnsi="Arial"/>
                <w:sz w:val="17"/>
                <w:szCs w:val="17"/>
                <w:b w:val="1"/>
                <w:bCs w:val="1"/>
                <w:color w:val="auto"/>
              </w:rPr>
              <w:t>May 2,</w:t>
            </w:r>
          </w:p>
        </w:tc>
        <w:tc>
          <w:tcPr>
            <w:tcW w:w="6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35"/>
              <w:spacing w:after="0" w:line="184"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35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2019</w:t>
            </w:r>
          </w:p>
        </w:tc>
      </w:tr>
      <w:tr>
        <w:trPr>
          <w:trHeight w:val="183"/>
        </w:trPr>
        <w:tc>
          <w:tcPr>
            <w:tcW w:w="35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360" w:type="dxa"/>
            <w:vAlign w:val="bottom"/>
          </w:tcPr>
          <w:p>
            <w:pPr>
              <w:spacing w:after="0"/>
              <w:rPr>
                <w:sz w:val="15"/>
                <w:szCs w:val="15"/>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720" w:type="dxa"/>
            <w:vAlign w:val="bottom"/>
            <w:shd w:val="clear" w:color="auto" w:fill="CCEEFF"/>
          </w:tcPr>
          <w:p>
            <w:pPr>
              <w:jc w:val="right"/>
              <w:ind w:right="97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62</w:t>
            </w:r>
          </w:p>
        </w:tc>
      </w:tr>
      <w:tr>
        <w:trPr>
          <w:trHeight w:val="203"/>
        </w:trPr>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2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26.4 %</w:t>
            </w: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any of the periods presented.</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thirteen weeks ended May 2, 2020, we recorded a $ 27 million tax charge related to the revaluation of certain intellectual property rights pursuant to a non-U.S. advance pricing agreement. In addition, we recognized a $2 million tax benefit for the reversal of a withholding tax accrual that is no longer required.</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Excluding the charge related to the revaluation and the benefit from the withholding tax reversal, the effective tax rate for the thirteen weeks ended May 2, 2020 would have been approximately 20 percent, a decrease as compared with the corresponding prior-year period, primarily due to the mix of loss in the various jurisdictions in which we operate.</w:t>
      </w:r>
    </w:p>
    <w:p>
      <w:pPr>
        <w:spacing w:after="0" w:line="19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thirteen weeks ended May 4, 2019, the Company recognized a tax benefit of $3 million due to an adjustment to a foreign tax credit valuation allowance.</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to income, excluding unusual or infrequently occurring discrete items, for the reporting period. In accordance with the authoritative guidance, we used a discrete effective tax rate method to calculate taxes for the thirteen weeks ended May 2, 2020 because small changes in the estimated level and mix of annual income or loss by jurisdiction would result in significant changes in the estimated annual effective tax rate making the historical method unreliable. Due to this volatility, we cannot forecast the expected full-year tax rate at this time. The actual tax rate could vary significantly depending on the level and mix of income or loss in the various jurisdictions in which we operate.</w:t>
      </w: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weeks ended May 2, 2020, we reported a net loss of $110 million as compared to net income of $172 million in the corresponding prior-year period. Diluted loss per share was $1.06 as compared to diluted earnings per share of $1.52 for the thirteen weeks ended May 4,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also from time to time may make investments in other companies that we believe support our vision of serving youth culture. We generally finance real estate with operating leases. We believe our cash, cash equivalents, and future cash flow from operations will be adequate to fund these requirements.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Due to the COVID-19 pandemic, and in an effort to conserve cash, we temporarily suspended our share repurchase program. As of May 2, 2020, $867 million remained available under the current 3-year share repurchase program. Also, after thoughtful consideration by our Board of Directors, we suspended our second quarter dividend distribution to preserve our balance sheet strength and flexibility. While returning capital to our shareholders continues to be one of our capital allocation priorities, given the current environment, we believe this is the prudent and responsible action to take at this time and one that will ultimately enable us to create more shareholder value over the long term. Our Board of Directors will continue to evaluate potential for future dividend distributions on a quarterly basis.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uncertainties caused by the COVID-19 pandemic, as well as other factors listed under the heading “Disclosure Regarding Forward-Looking Statements,” could affect our ability to continue to fund our needs from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5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b w:val="1"/>
                <w:bCs w:val="1"/>
                <w:color w:val="auto"/>
              </w:rPr>
              <w:t>May 2,</w:t>
            </w:r>
          </w:p>
        </w:tc>
        <w:tc>
          <w:tcPr>
            <w:tcW w:w="6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9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45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provided by operating activities</w:t>
            </w:r>
          </w:p>
        </w:tc>
        <w:tc>
          <w:tcPr>
            <w:tcW w:w="192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(116)</w:t>
            </w:r>
          </w:p>
        </w:tc>
        <w:tc>
          <w:tcPr>
            <w:tcW w:w="6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318</w:t>
            </w:r>
          </w:p>
        </w:tc>
      </w:tr>
      <w:tr>
        <w:trPr>
          <w:trHeight w:val="189"/>
        </w:trPr>
        <w:tc>
          <w:tcPr>
            <w:tcW w:w="45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920" w:type="dxa"/>
            <w:vAlign w:val="bottom"/>
            <w:tcBorders>
              <w:bottom w:val="single" w:sz="8" w:color="auto"/>
            </w:tcBorders>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(434)</w:t>
            </w:r>
          </w:p>
        </w:tc>
        <w:tc>
          <w:tcPr>
            <w:tcW w:w="62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reflects net (loss) income adjusted for non-cash items and working capital changes. Adjustments to net (loss) income for non-cash items include impairment charges, depreciation and amortization, deferred income taxes, and share-based compensation expense.</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9" w:name="page30"/>
    <w:bookmarkEnd w:id="29"/>
    <w:p>
      <w:pPr>
        <w:jc w:val="both"/>
        <w:ind w:left="60" w:right="59"/>
        <w:spacing w:after="0" w:line="238" w:lineRule="auto"/>
        <w:rPr>
          <w:sz w:val="20"/>
          <w:szCs w:val="20"/>
          <w:color w:val="auto"/>
        </w:rPr>
      </w:pPr>
      <w:r>
        <w:rPr>
          <w:rFonts w:ascii="Arial" w:cs="Arial" w:eastAsia="Arial" w:hAnsi="Arial"/>
          <w:sz w:val="18"/>
          <w:szCs w:val="18"/>
          <w:color w:val="auto"/>
        </w:rPr>
        <w:t>The decrease in cash provided by operating activities, compared with the same period last year, reflected a decrease in net income and higher inventories, which were partially offset by higher accounts payable. Also, during the thirteen weeks ended May 4, 2019, we contributed $55 million to our U.S. qualified pension plan primarily representing the funds available in the qualified settlement fund established in connection with the pension matter.</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As of May 2, 2020, we have withheld approximately $90 million of lease payments as we continue to negotiate rent deferrals or abatements with our landlords for the period that our stores were closed due to the COVID-19 pandemic. Also, we </w:t>
      </w:r>
      <w:r>
        <w:rPr>
          <w:rFonts w:ascii="Arial" w:cs="Arial" w:eastAsia="Arial" w:hAnsi="Arial"/>
          <w:sz w:val="18"/>
          <w:szCs w:val="18"/>
          <w:color w:val="212529"/>
        </w:rPr>
        <w:t>extended payment terms with our suppliers and vendors in order to preserve liquidity.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04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6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9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40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4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44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(58)</w:t>
            </w:r>
          </w:p>
        </w:tc>
        <w:tc>
          <w:tcPr>
            <w:tcW w:w="6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w:t>
            </w:r>
          </w:p>
        </w:tc>
      </w:tr>
      <w:tr>
        <w:trPr>
          <w:trHeight w:val="189"/>
        </w:trPr>
        <w:tc>
          <w:tcPr>
            <w:tcW w:w="4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40" w:type="dxa"/>
            <w:vAlign w:val="bottom"/>
            <w:tcBorders>
              <w:bottom w:val="single" w:sz="8" w:color="auto"/>
            </w:tcBorders>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32</w:t>
            </w:r>
          </w:p>
        </w:tc>
        <w:tc>
          <w:tcPr>
            <w:tcW w:w="62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the thirteen weeks ended May 2, 2020, capital expenditures increased by $7 million to $52 million, as compared with the corresponding prior-year period. Our full-year capital spending is expected to be $143 million, which is $128 million lower than the target that was established at the beginning of the year and reflects changes in the timing of certain projects due to the COVID-19 pandemic. However, this is $5 million higher than the amount recently announced, a result of strategic decisions made to convert certain Runners Point stores to our other banners as well as to open and remodel additional stores in Australia. The revised forecast includes $83 million related to the remodeling or relocation of approximately 55 existing stores and the opening of approximately 60 new stores, as well as $60 million for the development of information systems, websites, and infrastructure, including supply chain initiatives. Cash used in investing activities is also lower this period as the thirteen weeks ended May 2, 2020 included $6 million in minority investments as compared with $45 million in the corresponding prior-year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5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jc w:val="right"/>
              <w:ind w:right="15"/>
              <w:spacing w:after="0" w:line="156" w:lineRule="exact"/>
              <w:rPr>
                <w:sz w:val="20"/>
                <w:szCs w:val="20"/>
                <w:color w:val="auto"/>
              </w:rPr>
            </w:pPr>
            <w:r>
              <w:rPr>
                <w:rFonts w:ascii="Arial" w:cs="Arial" w:eastAsia="Arial" w:hAnsi="Arial"/>
                <w:sz w:val="17"/>
                <w:szCs w:val="17"/>
                <w:b w:val="1"/>
                <w:bCs w:val="1"/>
                <w:color w:val="auto"/>
              </w:rPr>
              <w:t>May 2,</w:t>
            </w:r>
          </w:p>
        </w:tc>
        <w:tc>
          <w:tcPr>
            <w:tcW w:w="5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95"/>
              <w:spacing w:after="0" w:line="156" w:lineRule="exact"/>
              <w:rPr>
                <w:sz w:val="20"/>
                <w:szCs w:val="20"/>
                <w:color w:val="auto"/>
              </w:rPr>
            </w:pPr>
            <w:r>
              <w:rPr>
                <w:rFonts w:ascii="Arial" w:cs="Arial" w:eastAsia="Arial" w:hAnsi="Arial"/>
                <w:sz w:val="17"/>
                <w:szCs w:val="17"/>
                <w:b w:val="1"/>
                <w:bCs w:val="1"/>
                <w:color w:val="auto"/>
                <w:w w:val="99"/>
              </w:rPr>
              <w:t>May 4,</w:t>
            </w:r>
          </w:p>
        </w:tc>
      </w:tr>
      <w:tr>
        <w:trPr>
          <w:trHeight w:val="215"/>
        </w:trPr>
        <w:tc>
          <w:tcPr>
            <w:tcW w:w="4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gridSpan w:val="2"/>
          </w:tcPr>
          <w:p>
            <w:pPr>
              <w:ind w:left="100"/>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196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288</w:t>
            </w:r>
          </w:p>
        </w:tc>
        <w:tc>
          <w:tcPr>
            <w:tcW w:w="66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w:t>
            </w:r>
          </w:p>
        </w:tc>
      </w:tr>
      <w:tr>
        <w:trPr>
          <w:trHeight w:val="189"/>
        </w:trPr>
        <w:tc>
          <w:tcPr>
            <w:tcW w:w="45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960" w:type="dxa"/>
            <w:vAlign w:val="bottom"/>
            <w:tcBorders>
              <w:bottom w:val="single" w:sz="8" w:color="auto"/>
            </w:tcBorders>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b w:val="1"/>
                <w:bCs w:val="1"/>
                <w:color w:val="auto"/>
              </w:rPr>
              <w:t>331</w:t>
            </w:r>
          </w:p>
        </w:tc>
        <w:tc>
          <w:tcPr>
            <w:tcW w:w="66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thirteen weeks ended weeks ended May 2, 2020, we did not repurchase shares of our common stock, as compared with 32,100 shares repurchased for $2 million in the corresponding prior-year period. We also declared and paid dividends of $ 42 million and $43 million during the first quarter of 2020 and 2019, respectively. This represented quarterly rates of $0.40 and $ 0.38 per share for 2020 and 2019, respectively. The first quarter dividend was declared prior to the COVID-19 pandemic. In the first quarter of 2020, in order to increase our cash position and help preserve our financial flexibility we have drawn $330 million of our credit facility.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May 2020, we announced that after a comprehensive assessment of our operations and the competitive landscape in Germany, we decided to consolidate the Runners Point business into our other operations in Europe.</w:t>
      </w: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0" w:name="page31"/>
    <w:bookmarkEnd w:id="30"/>
    <w:p>
      <w:pPr>
        <w:jc w:val="both"/>
        <w:ind w:left="60" w:right="59"/>
        <w:spacing w:after="0"/>
        <w:rPr>
          <w:sz w:val="20"/>
          <w:szCs w:val="20"/>
          <w:color w:val="auto"/>
        </w:rPr>
      </w:pPr>
      <w:r>
        <w:rPr>
          <w:rFonts w:ascii="Arial" w:cs="Arial" w:eastAsia="Arial" w:hAnsi="Arial"/>
          <w:sz w:val="18"/>
          <w:szCs w:val="18"/>
          <w:color w:val="auto"/>
        </w:rPr>
        <w:t>As part of this plan, select Runners Point stores will be converted to either Sidestep or Foot Locker stores, with approximately 40 remaining Runners Point stores and certain Sidestep stores expected to close prior to lease expiration.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plan to restructure and consolidate the Runners Point and Sidestep support and logistics functions into Foot Locker Europe's headquarters in the Netherlands, in compliance with local legislation. We expect this transition to occur largely over the remainder of fiscal 2020 and to wind down the Runners Point business by yearend. We look forward to continuing to serve our Runners Point customers through our Sidestep and Foot Locker stores, as well as through our online channels. Also, as part of the next phase of the Champs Sports and Eastbay strategic initiative, we are restructuring positions and aligning several functions across the brands and plan to consolidate select Eastbay operations from Wausau, Wisconsin into the Champs Sports headquarters in Bradenton, Florida. These actions will not significantly affect our financial position or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Other than the adoption of ASU 2017-04</w:t>
      </w:r>
      <w:r>
        <w:rPr>
          <w:rFonts w:ascii="Arial" w:cs="Arial" w:eastAsia="Arial" w:hAnsi="Arial"/>
          <w:sz w:val="18"/>
          <w:szCs w:val="18"/>
          <w:i w:val="1"/>
          <w:iCs w:val="1"/>
          <w:color w:val="auto"/>
        </w:rPr>
        <w:t>, Simplifying the test for Goodwill Impairment</w:t>
      </w:r>
      <w:r>
        <w:rPr>
          <w:rFonts w:ascii="Arial" w:cs="Arial" w:eastAsia="Arial" w:hAnsi="Arial"/>
          <w:sz w:val="18"/>
          <w:szCs w:val="18"/>
          <w:color w:val="auto"/>
        </w:rPr>
        <w:t xml:space="preserve">, on February 2, 2020 as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Goodwill</w:t>
      </w:r>
      <w:r>
        <w:rPr>
          <w:rFonts w:ascii="Arial" w:cs="Arial" w:eastAsia="Arial" w:hAnsi="Arial"/>
          <w:sz w:val="18"/>
          <w:szCs w:val="18"/>
          <w:color w:val="auto"/>
        </w:rPr>
        <w:t>, to the Condensed Consolidated Financial Statements, 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currently migrating our e-commerce order management system beginning with our North American websites throughout 2020 with two of our smaller volume e-commerce sites live on the new system as of May 2, 2020. In connection with this implementation and resulting business process changes, we may make changes to the design and operation of our internal control over financial reporting. Also, during the first quarter of 2020 we substantially completed the rollout of our new point-of-sale software.</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quarter ended May 2, 2020, there were no changes in the Company’s internal control over financial reporting, other than the implementation of new e-commerce order management system, (as defined in Rules 13a-15(f) of the Exchange Act) that materially affected or are reasonably likely to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2019 Annual Report on Form 10-K filed with the SEC on March 27, 2020 should be considered as they could materially affect our business, financial condition, or future results.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not been any significant changes with respect to the risks described in our 2019 Form 10-K, other than the item noted below.</w:t>
      </w:r>
    </w:p>
    <w:p>
      <w:pPr>
        <w:spacing w:after="0" w:line="17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Additional risks and uncertainties not currently known to us or that we currently deem to be immaterial also may adversely affect our business, financial condition or operating results.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provides information with respect to shares of the Company’s common stock for the thirteen weeks ended May 2, 2020:</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8"/>
              </w:rPr>
              <w:t>Total Number of</w:t>
            </w:r>
          </w:p>
        </w:tc>
        <w:tc>
          <w:tcPr>
            <w:tcW w:w="200" w:type="dxa"/>
            <w:vAlign w:val="bottom"/>
          </w:tcPr>
          <w:p>
            <w:pPr>
              <w:spacing w:after="0"/>
              <w:rPr>
                <w:sz w:val="16"/>
                <w:szCs w:val="16"/>
                <w:color w:val="auto"/>
              </w:rPr>
            </w:pPr>
          </w:p>
        </w:tc>
        <w:tc>
          <w:tcPr>
            <w:tcW w:w="1340" w:type="dxa"/>
            <w:vAlign w:val="bottom"/>
          </w:tcPr>
          <w:p>
            <w:pPr>
              <w:jc w:val="center"/>
              <w:ind w:right="15"/>
              <w:spacing w:after="0"/>
              <w:rPr>
                <w:sz w:val="20"/>
                <w:szCs w:val="20"/>
                <w:color w:val="auto"/>
              </w:rPr>
            </w:pPr>
            <w:r>
              <w:rPr>
                <w:rFonts w:ascii="Arial" w:cs="Arial" w:eastAsia="Arial" w:hAnsi="Arial"/>
                <w:sz w:val="17"/>
                <w:szCs w:val="17"/>
                <w:b w:val="1"/>
                <w:bCs w:val="1"/>
                <w:color w:val="auto"/>
              </w:rPr>
              <w:t>Dollar Value of</w:t>
            </w:r>
          </w:p>
        </w:tc>
      </w:tr>
      <w:tr>
        <w:trPr>
          <w:trHeight w:val="189"/>
        </w:trPr>
        <w:tc>
          <w:tcPr>
            <w:tcW w:w="2880" w:type="dxa"/>
            <w:vAlign w:val="bottom"/>
          </w:tcPr>
          <w:p>
            <w:pPr>
              <w:spacing w:after="0"/>
              <w:rPr>
                <w:sz w:val="16"/>
                <w:szCs w:val="16"/>
                <w:color w:val="auto"/>
              </w:rPr>
            </w:pPr>
          </w:p>
        </w:tc>
        <w:tc>
          <w:tcPr>
            <w:tcW w:w="1620" w:type="dxa"/>
            <w:vAlign w:val="bottom"/>
          </w:tcPr>
          <w:p>
            <w:pPr>
              <w:jc w:val="center"/>
              <w:ind w:left="255"/>
              <w:spacing w:after="0" w:line="189" w:lineRule="exact"/>
              <w:rPr>
                <w:sz w:val="20"/>
                <w:szCs w:val="20"/>
                <w:color w:val="auto"/>
              </w:rPr>
            </w:pPr>
            <w:r>
              <w:rPr>
                <w:rFonts w:ascii="Arial" w:cs="Arial" w:eastAsia="Arial" w:hAnsi="Arial"/>
                <w:sz w:val="17"/>
                <w:szCs w:val="17"/>
                <w:b w:val="1"/>
                <w:bCs w:val="1"/>
                <w:color w:val="auto"/>
                <w:w w:val="98"/>
              </w:rPr>
              <w:t>Total</w:t>
            </w:r>
          </w:p>
        </w:tc>
        <w:tc>
          <w:tcPr>
            <w:tcW w:w="90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Average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4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880" w:type="dxa"/>
            <w:vAlign w:val="bottom"/>
          </w:tcPr>
          <w:p>
            <w:pPr>
              <w:spacing w:after="0"/>
              <w:rPr>
                <w:sz w:val="16"/>
                <w:szCs w:val="16"/>
                <w:color w:val="auto"/>
              </w:rPr>
            </w:pPr>
          </w:p>
        </w:tc>
        <w:tc>
          <w:tcPr>
            <w:tcW w:w="1620" w:type="dxa"/>
            <w:vAlign w:val="bottom"/>
          </w:tcPr>
          <w:p>
            <w:pPr>
              <w:jc w:val="center"/>
              <w:ind w:left="25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4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880" w:type="dxa"/>
            <w:vAlign w:val="bottom"/>
          </w:tcPr>
          <w:p>
            <w:pPr>
              <w:spacing w:after="0"/>
              <w:rPr>
                <w:sz w:val="16"/>
                <w:szCs w:val="16"/>
                <w:color w:val="auto"/>
              </w:rPr>
            </w:pPr>
          </w:p>
        </w:tc>
        <w:tc>
          <w:tcPr>
            <w:tcW w:w="1620" w:type="dxa"/>
            <w:vAlign w:val="bottom"/>
          </w:tcPr>
          <w:p>
            <w:pPr>
              <w:jc w:val="center"/>
              <w:ind w:left="235"/>
              <w:spacing w:after="0" w:line="189" w:lineRule="exact"/>
              <w:rPr>
                <w:sz w:val="20"/>
                <w:szCs w:val="20"/>
                <w:color w:val="auto"/>
              </w:rPr>
            </w:pPr>
            <w:r>
              <w:rPr>
                <w:rFonts w:ascii="Arial" w:cs="Arial" w:eastAsia="Arial" w:hAnsi="Arial"/>
                <w:sz w:val="17"/>
                <w:szCs w:val="17"/>
                <w:b w:val="1"/>
                <w:bCs w:val="1"/>
                <w:color w:val="auto"/>
              </w:rPr>
              <w:t>of Shares</w:t>
            </w:r>
          </w:p>
        </w:tc>
        <w:tc>
          <w:tcPr>
            <w:tcW w:w="9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00" w:type="dxa"/>
            <w:vAlign w:val="bottom"/>
          </w:tcPr>
          <w:p>
            <w:pPr>
              <w:spacing w:after="0"/>
              <w:rPr>
                <w:sz w:val="16"/>
                <w:szCs w:val="16"/>
                <w:color w:val="auto"/>
              </w:rPr>
            </w:pPr>
          </w:p>
        </w:tc>
        <w:tc>
          <w:tcPr>
            <w:tcW w:w="134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 Purchased</w:t>
            </w:r>
          </w:p>
        </w:tc>
        <w:tc>
          <w:tcPr>
            <w:tcW w:w="1620" w:type="dxa"/>
            <w:vAlign w:val="bottom"/>
            <w:tcBorders>
              <w:bottom w:val="single" w:sz="8" w:color="auto"/>
            </w:tcBorders>
          </w:tcPr>
          <w:p>
            <w:pPr>
              <w:jc w:val="center"/>
              <w:ind w:left="25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900" w:type="dxa"/>
            <w:vAlign w:val="bottom"/>
            <w:tcBorders>
              <w:bottom w:val="single" w:sz="8" w:color="auto"/>
            </w:tcBorders>
            <w:gridSpan w:val="2"/>
          </w:tcPr>
          <w:p>
            <w:pPr>
              <w:ind w:left="10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4"/>
                <w:szCs w:val="24"/>
                <w:color w:val="auto"/>
                <w:vertAlign w:val="superscript"/>
              </w:rPr>
              <w:t>(1)</w:t>
            </w:r>
          </w:p>
        </w:tc>
        <w:tc>
          <w:tcPr>
            <w:tcW w:w="1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February 2 to February 29, 2020</w:t>
            </w:r>
          </w:p>
        </w:tc>
        <w:tc>
          <w:tcPr>
            <w:tcW w:w="16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1640"/>
              <w:spacing w:after="0" w:line="18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867,215,222</w:t>
            </w: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March 1 to April 4, 2020</w:t>
            </w: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22,879</w:t>
            </w:r>
          </w:p>
        </w:tc>
        <w:tc>
          <w:tcPr>
            <w:tcW w:w="22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19.38</w:t>
            </w:r>
          </w:p>
        </w:tc>
        <w:tc>
          <w:tcPr>
            <w:tcW w:w="1960" w:type="dxa"/>
            <w:vAlign w:val="bottom"/>
          </w:tcPr>
          <w:p>
            <w:pPr>
              <w:ind w:left="164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867,215,222</w:t>
            </w:r>
          </w:p>
        </w:tc>
      </w:tr>
      <w:tr>
        <w:trPr>
          <w:trHeight w:val="189"/>
        </w:trPr>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April 5 to May 2, 2020</w:t>
            </w:r>
          </w:p>
        </w:tc>
        <w:tc>
          <w:tcPr>
            <w:tcW w:w="16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shd w:val="clear" w:color="auto" w:fill="CCEEFF"/>
          </w:tcPr>
          <w:p>
            <w:pPr>
              <w:ind w:left="164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867,215,222</w:t>
            </w:r>
          </w:p>
        </w:tc>
      </w:tr>
      <w:tr>
        <w:trPr>
          <w:trHeight w:val="183"/>
        </w:trPr>
        <w:tc>
          <w:tcPr>
            <w:tcW w:w="2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22,879</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19.38</w:t>
            </w:r>
          </w:p>
        </w:tc>
        <w:tc>
          <w:tcPr>
            <w:tcW w:w="1960" w:type="dxa"/>
            <w:vAlign w:val="bottom"/>
            <w:tcBorders>
              <w:bottom w:val="single" w:sz="8" w:color="auto"/>
            </w:tcBorders>
          </w:tcPr>
          <w:p>
            <w:pPr>
              <w:ind w:left="1640"/>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126" w:lineRule="exact"/>
        <w:rPr>
          <w:sz w:val="20"/>
          <w:szCs w:val="20"/>
          <w:color w:val="auto"/>
        </w:rPr>
      </w:pPr>
    </w:p>
    <w:p>
      <w:pPr>
        <w:jc w:val="both"/>
        <w:ind w:left="380" w:right="79" w:hanging="330"/>
        <w:spacing w:after="0" w:line="249"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columns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92" w:lineRule="exact"/>
        <w:rPr>
          <w:rFonts w:ascii="Arial" w:cs="Arial" w:eastAsia="Arial" w:hAnsi="Arial"/>
          <w:sz w:val="14"/>
          <w:szCs w:val="14"/>
          <w:color w:val="auto"/>
        </w:rPr>
      </w:pP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711" w:right="1440" w:bottom="1440" w:gutter="0" w:footer="0" w:header="0"/>
        </w:sectPr>
      </w:pPr>
    </w:p>
    <w:p>
      <w:pPr>
        <w:spacing w:after="0" w:line="237"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4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jc w:val="center"/>
        <w:ind w:left="60"/>
        <w:spacing w:after="0" w:line="234" w:lineRule="auto"/>
        <w:rPr>
          <w:sz w:val="20"/>
          <w:szCs w:val="20"/>
          <w:color w:val="auto"/>
        </w:rPr>
      </w:pPr>
      <w:r>
        <w:rPr>
          <w:rFonts w:ascii="Arial" w:cs="Arial" w:eastAsia="Arial" w:hAnsi="Arial"/>
          <w:sz w:val="18"/>
          <w:szCs w:val="18"/>
          <w:color w:val="auto"/>
        </w:rPr>
        <w:t>101.INS*</w:t>
      </w:r>
    </w:p>
    <w:p>
      <w:pPr>
        <w:jc w:val="center"/>
        <w:ind w:left="60"/>
        <w:spacing w:after="0" w:line="235"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rPr>
          <w:sz w:val="20"/>
          <w:szCs w:val="20"/>
          <w:color w:val="auto"/>
        </w:rPr>
      </w:pPr>
      <w:r>
        <w:rPr>
          <w:rFonts w:ascii="Arial" w:cs="Arial" w:eastAsia="Arial" w:hAnsi="Arial"/>
          <w:sz w:val="18"/>
          <w:szCs w:val="18"/>
          <w:color w:val="auto"/>
        </w:rPr>
        <w:t>101.PRE*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4920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Accountants’ Acknowledgement.</w:t>
        </w:r>
      </w:hyperlink>
    </w:p>
    <w:p>
      <w:pPr>
        <w:ind w:right="79"/>
        <w:spacing w:after="0" w:line="234"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ind w:right="79"/>
        <w:spacing w:after="0" w:line="234"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Report of Independent Registered Public Accounting Firm.</w:t>
        </w:r>
      </w:hyperlink>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ind w:right="79"/>
        <w:spacing w:after="0" w:line="246" w:lineRule="auto"/>
        <w:rPr>
          <w:sz w:val="20"/>
          <w:szCs w:val="20"/>
          <w:color w:val="auto"/>
        </w:rPr>
      </w:pPr>
      <w:r>
        <w:rPr>
          <w:rFonts w:ascii="Arial" w:cs="Arial" w:eastAsia="Arial" w:hAnsi="Arial"/>
          <w:sz w:val="18"/>
          <w:szCs w:val="18"/>
          <w:color w:val="auto"/>
        </w:rPr>
        <w:t>The cover page from the Company’s Quarterly Report on Form 10-Q for the quarter ended May 2, 2020,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-267970</wp:posOffset>
            </wp:positionV>
            <wp:extent cx="564896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0"/>
            <w:col w:w="7819"/>
          </w:cols>
          <w:pgMar w:left="1440" w:top="711" w:right="1440" w:bottom="1440" w:gutter="0" w:footer="0" w:header="0"/>
          <w:type w:val="continuous"/>
        </w:sectPr>
      </w:pPr>
    </w:p>
    <w:p>
      <w:pPr>
        <w:spacing w:after="0" w:line="2" w:lineRule="exact"/>
        <w:rPr>
          <w:sz w:val="20"/>
          <w:szCs w:val="20"/>
          <w:color w:val="auto"/>
        </w:rPr>
      </w:pPr>
    </w:p>
    <w:p>
      <w:pPr>
        <w:ind w:left="260" w:hanging="210"/>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June 10, 2020</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820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LAUREN B. PETERS</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First Quarter 2020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hereby acknowledge our awareness of the use of our report dated June 10, 2020 related to our review of interim financial information in the following Registration Statements:</w:t>
      </w:r>
    </w:p>
    <w:p>
      <w:pPr>
        <w:spacing w:after="0" w:line="224" w:lineRule="exact"/>
        <w:rPr>
          <w:sz w:val="20"/>
          <w:szCs w:val="20"/>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317"/>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60" w:hanging="65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1"/>
        <w:spacing w:after="0"/>
        <w:tabs>
          <w:tab w:leader="none" w:pos="8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1"/>
        <w:spacing w:after="0"/>
        <w:tabs>
          <w:tab w:leader="none" w:pos="8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1"/>
        <w:spacing w:after="0"/>
        <w:tabs>
          <w:tab w:leader="none" w:pos="7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3"/>
        <w:spacing w:after="0" w:line="238" w:lineRule="auto"/>
        <w:tabs>
          <w:tab w:leader="none" w:pos="12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3"/>
        <w:spacing w:after="0" w:line="238" w:lineRule="auto"/>
        <w:tabs>
          <w:tab w:leader="none" w:pos="16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right="20" w:hanging="643"/>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3"/>
        <w:spacing w:after="0" w:line="238" w:lineRule="auto"/>
        <w:tabs>
          <w:tab w:leader="none" w:pos="13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1"/>
        <w:spacing w:after="0"/>
        <w:tabs>
          <w:tab w:leader="none" w:pos="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3"/>
        <w:spacing w:after="0"/>
        <w:tabs>
          <w:tab w:leader="none" w:pos="15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3"/>
        <w:spacing w:after="0" w:line="246" w:lineRule="auto"/>
        <w:tabs>
          <w:tab w:leader="none" w:pos="126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660" w:hanging="65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1"/>
        <w:spacing w:after="0"/>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1"/>
        <w:spacing w:after="0"/>
        <w:tabs>
          <w:tab w:leader="none" w:pos="8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651"/>
        <w:spacing w:after="0"/>
        <w:tabs>
          <w:tab w:leader="none" w:pos="7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3"/>
        <w:spacing w:after="0" w:line="238" w:lineRule="auto"/>
        <w:tabs>
          <w:tab w:leader="none" w:pos="14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300" w:hanging="643"/>
        <w:spacing w:after="0" w:line="238" w:lineRule="auto"/>
        <w:tabs>
          <w:tab w:leader="none" w:pos="1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300" w:right="20" w:hanging="643"/>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3"/>
        <w:spacing w:after="0" w:line="238" w:lineRule="auto"/>
        <w:tabs>
          <w:tab w:leader="none" w:pos="13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660" w:hanging="651"/>
        <w:spacing w:after="0"/>
        <w:tabs>
          <w:tab w:leader="none" w:pos="8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643"/>
        <w:spacing w:after="0"/>
        <w:tabs>
          <w:tab w:leader="none" w:pos="15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3"/>
        <w:spacing w:after="0" w:line="246" w:lineRule="auto"/>
        <w:tabs>
          <w:tab w:leader="none" w:pos="14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ind w:left="496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2, 2020,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91" w:lineRule="exact"/>
        <w:rPr>
          <w:sz w:val="20"/>
          <w:szCs w:val="20"/>
          <w:color w:val="auto"/>
        </w:rPr>
      </w:pPr>
    </w:p>
    <w:p>
      <w:pPr>
        <w:ind w:left="520" w:hanging="31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7"/>
        <w:spacing w:after="0" w:line="246" w:lineRule="auto"/>
        <w:tabs>
          <w:tab w:leader="none" w:pos="5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June 10, 2020</w:t>
      </w:r>
    </w:p>
    <w:p>
      <w:pPr>
        <w:ind w:left="496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Richard A. Johnson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Lauren B. Peters</w:t>
      </w:r>
    </w:p>
    <w:p>
      <w:pPr>
        <w:ind w:left="496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 w:name="page39"/>
    <w:bookmarkEnd w:id="38"/>
    <w:p>
      <w:pPr>
        <w:ind w:left="9060"/>
        <w:spacing w:after="0"/>
        <w:rPr>
          <w:sz w:val="20"/>
          <w:szCs w:val="20"/>
          <w:color w:val="auto"/>
        </w:rPr>
      </w:pPr>
      <w:r>
        <w:rPr>
          <w:rFonts w:ascii="Arial" w:cs="Arial" w:eastAsia="Arial" w:hAnsi="Arial"/>
          <w:sz w:val="18"/>
          <w:szCs w:val="18"/>
          <w:b w:val="1"/>
          <w:bCs w:val="1"/>
          <w:color w:val="auto"/>
        </w:rPr>
        <w:t>Exhibit 99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May 2, 2020 and May 4, 2019, the related condensed consolidated statements of operations, comprehensive (loss) income, and changes in shareholders’ equity for the thirteen week periods ended May 2, 2020 and May 4, 2019, the related condensed consolidated statements of cash flows for the thirteen week period ended May 2, 2020 and May 4,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1, 2020, and the related consolidated statements of operations, comprehensive income, changes in shareholders’ equity, and cash flows for the year then ended (not presented herein); and in our report dated March 27, 2020, we expressed an unqualified opinion on those consolidated financial statements. In our opinion, the information set forth in the accompanying condensed consolidated balance sheet as of February 1, 2020,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726440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2020-06-10T15:53:50Z</dcterms:created>
  <dcterms:modified xsi:type="dcterms:W3CDTF">2020-06-10T15:53:50Z</dcterms:modified>
</cp:coreProperties>
</file>