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(Mark One)</w:t>
      </w:r>
    </w:p>
    <w:p>
      <w:pPr>
        <w:spacing w:after="0" w:line="271" w:lineRule="exact"/>
        <w:rPr>
          <w:sz w:val="24"/>
          <w:szCs w:val="24"/>
          <w:color w:val="auto"/>
        </w:rPr>
      </w:pPr>
    </w:p>
    <w:p>
      <w:pPr>
        <w:ind w:left="520" w:hanging="344"/>
        <w:spacing w:after="0"/>
        <w:tabs>
          <w:tab w:leader="none" w:pos="52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75" w:lineRule="exact"/>
        <w:rPr>
          <w:rFonts w:ascii="MS PGothic" w:cs="MS PGothic" w:eastAsia="MS PGothic" w:hAnsi="MS PGothic"/>
          <w:sz w:val="18"/>
          <w:szCs w:val="18"/>
          <w:color w:val="auto"/>
          <w:highlight w:val="black"/>
        </w:rPr>
      </w:pPr>
    </w:p>
    <w:p>
      <w:pPr>
        <w:ind w:left="306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For the quarterly period ended: April 30, 2016</w:t>
      </w:r>
    </w:p>
    <w:p>
      <w:pPr>
        <w:spacing w:after="0" w:line="157" w:lineRule="exact"/>
        <w:rPr>
          <w:rFonts w:ascii="MS PGothic" w:cs="MS PGothic" w:eastAsia="MS PGothic" w:hAnsi="MS PGothic"/>
          <w:sz w:val="18"/>
          <w:szCs w:val="18"/>
          <w:color w:val="auto"/>
          <w:highlight w:val="black"/>
        </w:rPr>
      </w:pPr>
    </w:p>
    <w:p>
      <w:pPr>
        <w:ind w:left="4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71" w:lineRule="exact"/>
        <w:rPr>
          <w:rFonts w:ascii="MS PGothic" w:cs="MS PGothic" w:eastAsia="MS PGothic" w:hAnsi="MS PGothic"/>
          <w:sz w:val="18"/>
          <w:szCs w:val="18"/>
          <w:color w:val="auto"/>
          <w:highlight w:val="black"/>
        </w:rPr>
      </w:pPr>
    </w:p>
    <w:p>
      <w:pPr>
        <w:ind w:left="440" w:hanging="305"/>
        <w:spacing w:after="0"/>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3"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1-10299</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100330</wp:posOffset>
            </wp:positionV>
            <wp:extent cx="24269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28321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w:t>
      </w:r>
    </w:p>
    <w:p>
      <w:pPr>
        <w:sectPr>
          <w:pgSz w:w="11900" w:h="16838" w:orient="portrait"/>
          <w:cols w:equalWidth="0" w:num="1">
            <w:col w:w="9460"/>
          </w:cols>
          <w:pgMar w:left="1220" w:top="220" w:right="1219" w:bottom="1440" w:gutter="0" w:footer="0" w:header="0"/>
        </w:sectPr>
      </w:pPr>
    </w:p>
    <w:p>
      <w:pPr>
        <w:spacing w:after="0" w:line="22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(I.R.S. Employer Identification No.)</w:t>
      </w:r>
    </w:p>
    <w:p>
      <w:pPr>
        <w:spacing w:after="0" w:line="162" w:lineRule="exact"/>
        <w:rPr>
          <w:sz w:val="24"/>
          <w:szCs w:val="24"/>
          <w:color w:val="auto"/>
        </w:rPr>
      </w:pPr>
    </w:p>
    <w:p>
      <w:pPr>
        <w:sectPr>
          <w:pgSz w:w="11900" w:h="16838" w:orient="portrait"/>
          <w:cols w:equalWidth="0" w:num="2">
            <w:col w:w="5080" w:space="720"/>
            <w:col w:w="3660"/>
          </w:cols>
          <w:pgMar w:left="1220" w:top="220" w:right="1219" w:bottom="1440" w:gutter="0" w:footer="0" w:header="0"/>
          <w:type w:val="continuous"/>
        </w:sectPr>
      </w:pPr>
    </w:p>
    <w:p>
      <w:pPr>
        <w:ind w:left="2880"/>
        <w:spacing w:after="0"/>
        <w:rPr>
          <w:sz w:val="20"/>
          <w:szCs w:val="20"/>
          <w:color w:val="auto"/>
        </w:rPr>
      </w:pPr>
      <w:r>
        <w:rPr>
          <w:rFonts w:ascii="Arial" w:cs="Arial" w:eastAsia="Arial" w:hAnsi="Arial"/>
          <w:sz w:val="18"/>
          <w:szCs w:val="18"/>
          <w:b w:val="1"/>
          <w:bCs w:val="1"/>
          <w:color w:val="auto"/>
        </w:rPr>
        <w:t>330 West 34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Street, New York, New York 10001</w:t>
      </w:r>
    </w:p>
    <w:p>
      <w:pPr>
        <w:spacing w:after="0" w:line="27"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(Address of principal executive offices, Zip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Street, New York, New York 10120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address, if changed since last report)</w:t>
      </w:r>
    </w:p>
    <w:p>
      <w:pPr>
        <w:spacing w:after="0" w:line="22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p>
      <w:pPr>
        <w:spacing w:after="0" w:line="207" w:lineRule="exact"/>
        <w:tabs>
          <w:tab w:leader="none" w:pos="2340" w:val="left"/>
          <w:tab w:leader="none" w:pos="4700" w:val="left"/>
          <w:tab w:leader="none" w:pos="7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4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May 27, 2016: 135,309,044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220" w:right="1219" w:bottom="1440" w:gutter="0" w:footer="0" w:header="0"/>
          <w:type w:val="continuous"/>
        </w:sectPr>
      </w:pPr>
    </w:p>
    <w:bookmarkStart w:id="1" w:name="page2"/>
    <w:bookmarkEnd w:id="1"/>
    <w:p>
      <w:pPr>
        <w:ind w:left="3720"/>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gridSpan w:val="2"/>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920" w:type="dxa"/>
            <w:vAlign w:val="bottom"/>
            <w:gridSpan w:val="3"/>
            <w:vMerge w:val="restart"/>
          </w:tcPr>
          <w:p>
            <w:pPr>
              <w:spacing w:after="0"/>
              <w:rPr>
                <w:sz w:val="20"/>
                <w:szCs w:val="20"/>
                <w:color w:val="auto"/>
              </w:rPr>
            </w:pPr>
          </w:p>
        </w:tc>
        <w:tc>
          <w:tcPr>
            <w:tcW w:w="2300" w:type="dxa"/>
            <w:vAlign w:val="bottom"/>
            <w:gridSpan w:val="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440" w:type="dxa"/>
            <w:vAlign w:val="bottom"/>
            <w:gridSpan w:val="13"/>
            <w:vMerge w:val="restart"/>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1"/>
        </w:trPr>
        <w:tc>
          <w:tcPr>
            <w:tcW w:w="580" w:type="dxa"/>
            <w:vAlign w:val="bottom"/>
            <w:tcBorders>
              <w:bottom w:val="single" w:sz="8" w:color="0000EE"/>
            </w:tcBorders>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2300" w:type="dxa"/>
            <w:vAlign w:val="bottom"/>
            <w:tcBorders>
              <w:bottom w:val="single" w:sz="8" w:color="0000EE"/>
            </w:tcBorders>
            <w:gridSpan w:val="9"/>
            <w:vMerge w:val="continue"/>
          </w:tcPr>
          <w:p>
            <w:pPr>
              <w:spacing w:after="0"/>
              <w:rPr>
                <w:sz w:val="15"/>
                <w:szCs w:val="15"/>
                <w:color w:val="auto"/>
              </w:rPr>
            </w:pPr>
          </w:p>
        </w:tc>
        <w:tc>
          <w:tcPr>
            <w:tcW w:w="4440" w:type="dxa"/>
            <w:vAlign w:val="bottom"/>
            <w:gridSpan w:val="13"/>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226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w:t>
              </w:r>
            </w:hyperlink>
          </w:p>
        </w:tc>
        <w:tc>
          <w:tcPr>
            <w:tcW w:w="15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66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1480" w:type="dxa"/>
            <w:vAlign w:val="bottom"/>
            <w:gridSpan w:val="5"/>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w:t>
              </w:r>
            </w:hyperlink>
          </w:p>
        </w:tc>
        <w:tc>
          <w:tcPr>
            <w:tcW w:w="120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5240" w:type="dxa"/>
            <w:vAlign w:val="bottom"/>
            <w:gridSpan w:val="17"/>
          </w:tcPr>
          <w:p>
            <w:pPr>
              <w:spacing w:after="0" w:line="19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Management’s Discussion and Analysis of Financial Condition and</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Results of Operations</w:t>
              </w:r>
            </w:hyperlink>
          </w:p>
        </w:tc>
        <w:tc>
          <w:tcPr>
            <w:tcW w:w="36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524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PART II</w:t>
              </w:r>
            </w:hyperlink>
          </w:p>
        </w:tc>
        <w:tc>
          <w:tcPr>
            <w:tcW w:w="900" w:type="dxa"/>
            <w:vAlign w:val="bottom"/>
            <w:gridSpan w:val="2"/>
          </w:tcPr>
          <w:p>
            <w:pPr>
              <w:spacing w:after="0"/>
              <w:rPr>
                <w:sz w:val="24"/>
                <w:szCs w:val="24"/>
                <w:color w:val="auto"/>
              </w:rPr>
            </w:pPr>
          </w:p>
        </w:tc>
        <w:tc>
          <w:tcPr>
            <w:tcW w:w="19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OTHER INFORMATION</w:t>
              </w:r>
            </w:hyperlink>
          </w:p>
        </w:tc>
        <w:tc>
          <w:tcPr>
            <w:tcW w:w="4820" w:type="dxa"/>
            <w:vAlign w:val="bottom"/>
            <w:gridSpan w:val="15"/>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1.</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2.</w:t>
              </w:r>
            </w:hyperlink>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spacing w:after="0" w:line="196" w:lineRule="exact"/>
              <w:rPr>
                <w:rFonts w:ascii="Arial" w:cs="Arial" w:eastAsia="Arial" w:hAnsi="Arial"/>
                <w:sz w:val="18"/>
                <w:szCs w:val="18"/>
                <w:color w:val="0000EE"/>
                <w:w w:val="98"/>
              </w:rPr>
            </w:pPr>
            <w:hyperlink w:anchor="page26">
              <w:r>
                <w:rPr>
                  <w:rFonts w:ascii="Arial" w:cs="Arial" w:eastAsia="Arial" w:hAnsi="Arial"/>
                  <w:sz w:val="18"/>
                  <w:szCs w:val="18"/>
                  <w:color w:val="0000EE"/>
                  <w:w w:val="98"/>
                </w:rPr>
                <w:t>Item 6.</w:t>
              </w:r>
            </w:hyperlink>
          </w:p>
        </w:tc>
        <w:tc>
          <w:tcPr>
            <w:tcW w:w="940" w:type="dxa"/>
            <w:vAlign w:val="bottom"/>
            <w:gridSpan w:val="2"/>
          </w:tcPr>
          <w:p>
            <w:pPr>
              <w:spacing w:after="0"/>
              <w:rPr>
                <w:sz w:val="17"/>
                <w:szCs w:val="17"/>
                <w:color w:val="auto"/>
              </w:rPr>
            </w:pPr>
          </w:p>
        </w:tc>
        <w:tc>
          <w:tcPr>
            <w:tcW w:w="52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0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SIGNATURE</w:t>
              </w:r>
            </w:hyperlink>
          </w:p>
        </w:tc>
        <w:tc>
          <w:tcPr>
            <w:tcW w:w="5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00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INDEX OF EXHIBITS</w:t>
              </w:r>
            </w:hyperlink>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36"/>
        </w:trPr>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5725795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300"/>
          </w:cols>
          <w:pgMar w:left="1340" w:top="121" w:right="125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shares)</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2"/>
              </w:rPr>
              <w:t>April 30,</w:t>
            </w:r>
          </w:p>
        </w:tc>
        <w:tc>
          <w:tcPr>
            <w:tcW w:w="32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May 2,</w:t>
            </w: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2500" w:type="dxa"/>
            <w:vAlign w:val="bottom"/>
            <w:gridSpan w:val="2"/>
          </w:tcPr>
          <w:p>
            <w:pPr>
              <w:ind w:left="1280"/>
              <w:spacing w:after="0"/>
              <w:rPr>
                <w:sz w:val="20"/>
                <w:szCs w:val="20"/>
                <w:color w:val="auto"/>
              </w:rPr>
            </w:pPr>
            <w:r>
              <w:rPr>
                <w:rFonts w:ascii="Arial" w:cs="Arial" w:eastAsia="Arial" w:hAnsi="Arial"/>
                <w:sz w:val="18"/>
                <w:szCs w:val="18"/>
                <w:b w:val="1"/>
                <w:bCs w:val="1"/>
                <w:color w:val="auto"/>
              </w:rPr>
              <w:t>(Unaudited)</w:t>
            </w: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18"/>
                <w:szCs w:val="18"/>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ind w:left="12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1,062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986</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Merchandise inventories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1,260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current assets</w:t>
            </w:r>
          </w:p>
        </w:tc>
        <w:tc>
          <w:tcPr>
            <w:tcW w:w="1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270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259</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2,592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4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706</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4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assets</w:t>
            </w:r>
          </w:p>
        </w:tc>
        <w:tc>
          <w:tcPr>
            <w:tcW w:w="1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3,758</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3,631</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400" w:type="dxa"/>
            <w:vAlign w:val="bottom"/>
          </w:tcPr>
          <w:p>
            <w:pPr>
              <w:ind w:left="12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230</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303</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liabilities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1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578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128</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377</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1,083</w:t>
            </w:r>
          </w:p>
        </w:tc>
        <w:tc>
          <w:tcPr>
            <w:tcW w:w="32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120"/>
              <w:spacing w:after="0"/>
              <w:rPr>
                <w:sz w:val="20"/>
                <w:szCs w:val="20"/>
                <w:color w:val="auto"/>
              </w:rPr>
            </w:pPr>
            <w:r>
              <w:rPr>
                <w:rFonts w:ascii="Arial" w:cs="Arial" w:eastAsia="Arial" w:hAnsi="Arial"/>
                <w:sz w:val="18"/>
                <w:szCs w:val="18"/>
                <w:color w:val="auto"/>
                <w:w w:val="91"/>
              </w:rPr>
              <w:t>Common stock and paid-in capital: 173,885,868;</w:t>
            </w:r>
          </w:p>
        </w:tc>
        <w:tc>
          <w:tcPr>
            <w:tcW w:w="1400" w:type="dxa"/>
            <w:vAlign w:val="bottom"/>
          </w:tcPr>
          <w:p>
            <w:pPr>
              <w:ind w:left="40"/>
              <w:spacing w:after="0"/>
              <w:rPr>
                <w:sz w:val="20"/>
                <w:szCs w:val="20"/>
                <w:color w:val="auto"/>
              </w:rPr>
            </w:pPr>
            <w:r>
              <w:rPr>
                <w:rFonts w:ascii="Arial" w:cs="Arial" w:eastAsia="Arial" w:hAnsi="Arial"/>
                <w:sz w:val="18"/>
                <w:szCs w:val="18"/>
                <w:color w:val="auto"/>
              </w:rPr>
              <w:t>171,833,686</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1,127</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and 173,397,913 shares, respectively</w:t>
            </w:r>
          </w:p>
        </w:tc>
        <w:tc>
          <w:tcPr>
            <w:tcW w:w="14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3,336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(323)</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Treasury stock at cost: 37,896,771; 32,094,240 and</w:t>
            </w: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(1,465)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36,421,104 shares, respectively</w:t>
            </w:r>
          </w:p>
        </w:tc>
        <w:tc>
          <w:tcPr>
            <w:tcW w:w="1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(1,081)</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2,675</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2,555</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3,758</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3,631</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23495</wp:posOffset>
            </wp:positionV>
            <wp:extent cx="5600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87" w:lineRule="exact"/>
        <w:rPr>
          <w:sz w:val="20"/>
          <w:szCs w:val="20"/>
          <w:color w:val="auto"/>
        </w:rPr>
      </w:pPr>
    </w:p>
    <w:p>
      <w:pPr>
        <w:jc w:val="both"/>
        <w:ind w:left="100" w:right="99" w:firstLine="5"/>
        <w:spacing w:after="0" w:line="234" w:lineRule="auto"/>
        <w:tabs>
          <w:tab w:leader="none" w:pos="21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balance sheet at January 30, 2016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30, 2016.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38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9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590"/>
              <w:spacing w:after="0" w:line="191" w:lineRule="exact"/>
              <w:rPr>
                <w:sz w:val="20"/>
                <w:szCs w:val="20"/>
                <w:color w:val="auto"/>
              </w:rPr>
            </w:pPr>
            <w:r>
              <w:rPr>
                <w:rFonts w:ascii="Arial" w:cs="Arial" w:eastAsia="Arial" w:hAnsi="Arial"/>
                <w:sz w:val="18"/>
                <w:szCs w:val="18"/>
                <w:b w:val="1"/>
                <w:bCs w:val="1"/>
                <w:color w:val="auto"/>
              </w:rPr>
              <w:t>April 30,</w:t>
            </w: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10"/>
              <w:spacing w:after="0" w:line="191" w:lineRule="exact"/>
              <w:rPr>
                <w:sz w:val="20"/>
                <w:szCs w:val="20"/>
                <w:color w:val="auto"/>
              </w:rPr>
            </w:pPr>
            <w:r>
              <w:rPr>
                <w:rFonts w:ascii="Arial" w:cs="Arial" w:eastAsia="Arial" w:hAnsi="Arial"/>
                <w:sz w:val="18"/>
                <w:szCs w:val="18"/>
                <w:b w:val="1"/>
                <w:bCs w:val="1"/>
                <w:color w:val="auto"/>
              </w:rPr>
              <w:t>May 2,</w:t>
            </w:r>
          </w:p>
        </w:tc>
      </w:tr>
      <w:tr>
        <w:trPr>
          <w:trHeight w:val="234"/>
        </w:trPr>
        <w:tc>
          <w:tcPr>
            <w:tcW w:w="4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10"/>
        </w:trPr>
        <w:tc>
          <w:tcPr>
            <w:tcW w:w="4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1,987</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1,291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361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1,689</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30"/>
        </w:trPr>
        <w:tc>
          <w:tcPr>
            <w:tcW w:w="4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298</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107</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191</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4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earnings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1.40</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Weighted-average shares outstanding</w:t>
            </w:r>
          </w:p>
        </w:tc>
        <w:tc>
          <w:tcPr>
            <w:tcW w:w="92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136.5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4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earnings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1.39</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Weighted-average shares outstanding, assuming dilution</w:t>
            </w:r>
          </w:p>
        </w:tc>
        <w:tc>
          <w:tcPr>
            <w:tcW w:w="9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137.8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p>
      <w:pPr>
        <w:spacing w:after="0" w:line="399"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57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5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6"/>
              </w:rPr>
              <w:t>191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income tax</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140" w:type="dxa"/>
            <w:vAlign w:val="bottom"/>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44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20" w:type="dxa"/>
            <w:vAlign w:val="bottom"/>
          </w:tcPr>
          <w:p>
            <w:pPr>
              <w:spacing w:after="0"/>
              <w:rPr>
                <w:sz w:val="20"/>
                <w:szCs w:val="20"/>
                <w:color w:val="auto"/>
              </w:rPr>
            </w:pPr>
            <w:r>
              <w:rPr>
                <w:rFonts w:ascii="Arial" w:cs="Arial" w:eastAsia="Arial" w:hAnsi="Arial"/>
                <w:sz w:val="18"/>
                <w:szCs w:val="18"/>
                <w:color w:val="auto"/>
                <w:w w:val="95"/>
              </w:rPr>
              <w:t>Amortization of net actuarial gain/loss and prior service cost included in net</w:t>
            </w: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periodic benefit costs, net of income tax expense of $1 million and $1</w:t>
            </w:r>
          </w:p>
        </w:tc>
        <w:tc>
          <w:tcPr>
            <w:tcW w:w="1140" w:type="dxa"/>
            <w:vAlign w:val="bottom"/>
          </w:tcPr>
          <w:p>
            <w:pPr>
              <w:spacing w:after="0"/>
              <w:rPr>
                <w:sz w:val="18"/>
                <w:szCs w:val="18"/>
                <w:color w:val="auto"/>
              </w:rPr>
            </w:pPr>
          </w:p>
        </w:tc>
        <w:tc>
          <w:tcPr>
            <w:tcW w:w="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million, respectively, and foreign currency fluctuations</w:t>
            </w:r>
          </w:p>
        </w:tc>
        <w:tc>
          <w:tcPr>
            <w:tcW w:w="1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1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6"/>
              </w:rPr>
              <w:t>234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39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55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70"/>
              <w:spacing w:after="0" w:line="205" w:lineRule="exact"/>
              <w:rPr>
                <w:sz w:val="20"/>
                <w:szCs w:val="20"/>
                <w:color w:val="auto"/>
              </w:rPr>
            </w:pPr>
            <w:r>
              <w:rPr>
                <w:rFonts w:ascii="Arial" w:cs="Arial" w:eastAsia="Arial" w:hAnsi="Arial"/>
                <w:sz w:val="18"/>
                <w:szCs w:val="18"/>
                <w:b w:val="1"/>
                <w:bCs w:val="1"/>
                <w:color w:val="auto"/>
              </w:rPr>
              <w:t>April 30,</w:t>
            </w: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50"/>
              <w:spacing w:after="0" w:line="205" w:lineRule="exact"/>
              <w:rPr>
                <w:sz w:val="20"/>
                <w:szCs w:val="20"/>
                <w:color w:val="auto"/>
              </w:rPr>
            </w:pPr>
            <w:r>
              <w:rPr>
                <w:rFonts w:ascii="Arial" w:cs="Arial" w:eastAsia="Arial" w:hAnsi="Arial"/>
                <w:sz w:val="18"/>
                <w:szCs w:val="18"/>
                <w:b w:val="1"/>
                <w:bCs w:val="1"/>
                <w:color w:val="auto"/>
              </w:rPr>
              <w:t>May 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191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provided by operating</w:t>
            </w: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39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Excess tax benefits on share-based compensation</w:t>
            </w:r>
          </w:p>
        </w:tc>
        <w:tc>
          <w:tcPr>
            <w:tcW w:w="4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Qualified pension plan contributions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Merchandise inventories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(54)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and other liabilities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212</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Investing Activities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(65)</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Financing Activities</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4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(88)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common stock</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Excess tax benefits on share-based compensation</w:t>
            </w: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Effect of Exchange Rate Fluctuations on Cash and Cash Equivalents</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1,021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1,062</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115</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28, 2017 and of the fiscal year ended January 30,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30, 2016, as filed with the U.S. Securities and Exchange Commission (the “SEC”) on March 24, 2016.</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In November 2015, the Financial Accounting Standards Board (“FASB”) issued Accounting Standards Update (“ASU”) 2015-17</w:t>
      </w:r>
      <w:r>
        <w:rPr>
          <w:rFonts w:ascii="Arial" w:cs="Arial" w:eastAsia="Arial" w:hAnsi="Arial"/>
          <w:sz w:val="16"/>
          <w:szCs w:val="16"/>
          <w:i w:val="1"/>
          <w:iCs w:val="1"/>
          <w:color w:val="auto"/>
        </w:rPr>
        <w:t>, Income Taxes (Topic 740): Balance Sheet Classification of Deferred Taxes</w:t>
      </w:r>
      <w:r>
        <w:rPr>
          <w:rFonts w:ascii="Arial" w:cs="Arial" w:eastAsia="Arial" w:hAnsi="Arial"/>
          <w:sz w:val="16"/>
          <w:szCs w:val="16"/>
          <w:color w:val="auto"/>
        </w:rPr>
        <w:t>. ASU 2015-17 requires all deferred tax liabilities and assets to be presented in the balance sheet as noncurrent. The Company early adopted this standard on a prospective basis as of the quarter ended April 30, 2016. As a result, the Company reclassified deferred tax assets and deferred tax liabilities classified as current to noncurrent. No prior periods were retrospectively adjusted.</w:t>
      </w:r>
    </w:p>
    <w:p>
      <w:pPr>
        <w:spacing w:after="0" w:line="158"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revises the existing guidance related to leases by requiring lessees to recognize a lease liability and a right-of-use asset for all leases, as well as additional disclosure regarding leasing arrangements. This standard will be effective for fiscal years beginning after December 15, 2018, including interim periods within those fiscal years, and requires a modified retrospective adoption, with earlier adoption permitted. The Company is currently evaluating the effects of the adoption of this ASU on its consolidated financial statements.</w:t>
      </w:r>
    </w:p>
    <w:p>
      <w:pPr>
        <w:spacing w:after="0" w:line="193"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ASU 2016-09 simplifies certain aspects of the accounting for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transactions, including tax consequences, classification of awards, the option to recognize stock compensation expense with actual forfeitures as they occur, and the classifications on the statement of cash flows. ASU 2016-09 is effective for annual reporting beginning after December 15, 2016, including interim periods within that reporting period, with early adoption permitted. The manner of adoption varies, with certain provisions applied on a retrospective or modified retrospective approach, while others are applied prospectively. The Company is currently evaluating the effects of the adoption of this ASU on its consolidated financial statements.</w:t>
      </w:r>
    </w:p>
    <w:p>
      <w:pPr>
        <w:spacing w:after="0" w:line="179"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 xml:space="preserve">In April 2016, the FASB issued ASU 2016-10, </w:t>
      </w:r>
      <w:r>
        <w:rPr>
          <w:rFonts w:ascii="Arial" w:cs="Arial" w:eastAsia="Arial" w:hAnsi="Arial"/>
          <w:sz w:val="17"/>
          <w:szCs w:val="17"/>
          <w:i w:val="1"/>
          <w:iCs w:val="1"/>
          <w:color w:val="auto"/>
        </w:rPr>
        <w:t>Revenue from Contracts with Customers (Topic 606): Identifying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Performance Obligations and Licensing. </w:t>
      </w:r>
      <w:r>
        <w:rPr>
          <w:rFonts w:ascii="Arial" w:cs="Arial" w:eastAsia="Arial" w:hAnsi="Arial"/>
          <w:sz w:val="17"/>
          <w:szCs w:val="17"/>
          <w:color w:val="auto"/>
        </w:rPr>
        <w:t>ASU 2016-10 clarifies the implementation guidance on identifying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obligations and licensing on the previously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May 2016, the FASB issued ASU 2016-11, </w:t>
      </w:r>
      <w:r>
        <w:rPr>
          <w:rFonts w:ascii="Arial" w:cs="Arial" w:eastAsia="Arial" w:hAnsi="Arial"/>
          <w:sz w:val="17"/>
          <w:szCs w:val="17"/>
          <w:i w:val="1"/>
          <w:iCs w:val="1"/>
          <w:color w:val="auto"/>
        </w:rPr>
        <w:t>Revenue Recognition (Topic 605) and Derivatives and Hedging (Topic 815): Rescission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 Guidance Because of Accounting Standards Updates 2014-09 and 2014-16 Pursuant to Staff Announcements at the March 3, 2016 EITF Meeting</w:t>
      </w:r>
      <w:r>
        <w:rPr>
          <w:rFonts w:ascii="Arial" w:cs="Arial" w:eastAsia="Arial" w:hAnsi="Arial"/>
          <w:sz w:val="17"/>
          <w:szCs w:val="17"/>
          <w:color w:val="auto"/>
        </w:rPr>
        <w:t>. ASU 2016-11 rescinds several SEC Staff Announcements that are codified in Topic</w:t>
      </w:r>
      <w:r>
        <w:rPr>
          <w:rFonts w:ascii="Arial" w:cs="Arial" w:eastAsia="Arial" w:hAnsi="Arial"/>
          <w:sz w:val="17"/>
          <w:szCs w:val="17"/>
          <w:i w:val="1"/>
          <w:iCs w:val="1"/>
          <w:color w:val="auto"/>
        </w:rPr>
        <w:t xml:space="preserve"> </w:t>
      </w:r>
      <w:r>
        <w:rPr>
          <w:rFonts w:ascii="Arial" w:cs="Arial" w:eastAsia="Arial" w:hAnsi="Arial"/>
          <w:sz w:val="17"/>
          <w:szCs w:val="17"/>
          <w:color w:val="auto"/>
        </w:rPr>
        <w:t>605, including, among other items, guidance relating to accounting for shipping and handling fees and freight services. ASU 2016-10 and ASU 2016-11 are effective for annual reporting periods beginning after December 15, 2017, including interim periods within that reporting period. Early adoption is permitted only as of annual reporting periods beginning after December 15, 2016, including interim periods within that year. ASU 2016-10 and ASU 2016-11 can be adopted either retrospectively to each prior reporting period presented or as a cumulative-effect adjustment as of the date of adoption. The Company is currently evaluating the effects of the adoption of these ASUs on its consolidated financial statements.</w:t>
      </w:r>
    </w:p>
    <w:p>
      <w:pPr>
        <w:spacing w:after="0" w:line="93"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Segment Information</w:t>
      </w:r>
    </w:p>
    <w:p>
      <w:pPr>
        <w:spacing w:after="0" w:line="229" w:lineRule="exact"/>
        <w:rPr>
          <w:sz w:val="20"/>
          <w:szCs w:val="20"/>
          <w:color w:val="auto"/>
        </w:rPr>
      </w:pPr>
    </w:p>
    <w:p>
      <w:pPr>
        <w:jc w:val="both"/>
        <w:ind w:left="120" w:right="119"/>
        <w:spacing w:after="0" w:line="279" w:lineRule="auto"/>
        <w:rPr>
          <w:sz w:val="20"/>
          <w:szCs w:val="20"/>
          <w:color w:val="auto"/>
        </w:rPr>
      </w:pPr>
      <w:r>
        <w:rPr>
          <w:rFonts w:ascii="Arial" w:cs="Arial" w:eastAsia="Arial" w:hAnsi="Arial"/>
          <w:sz w:val="17"/>
          <w:szCs w:val="17"/>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7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Thirteen weeks ended</w:t>
            </w:r>
          </w:p>
        </w:tc>
        <w:tc>
          <w:tcPr>
            <w:tcW w:w="500" w:type="dxa"/>
            <w:vAlign w:val="bottom"/>
            <w:tcBorders>
              <w:bottom w:val="single" w:sz="8" w:color="auto"/>
            </w:tcBorders>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7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May 2,</w:t>
            </w:r>
          </w:p>
        </w:tc>
        <w:tc>
          <w:tcPr>
            <w:tcW w:w="500" w:type="dxa"/>
            <w:vAlign w:val="bottom"/>
          </w:tcPr>
          <w:p>
            <w:pPr>
              <w:spacing w:after="0"/>
              <w:rPr>
                <w:sz w:val="16"/>
                <w:szCs w:val="16"/>
                <w:color w:val="auto"/>
              </w:rPr>
            </w:pPr>
          </w:p>
        </w:tc>
      </w:tr>
      <w:tr>
        <w:trPr>
          <w:trHeight w:val="234"/>
        </w:trPr>
        <w:tc>
          <w:tcPr>
            <w:tcW w:w="37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r>
      <w:tr>
        <w:trPr>
          <w:trHeight w:val="210"/>
        </w:trPr>
        <w:tc>
          <w:tcPr>
            <w:tcW w:w="3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80" w:type="dxa"/>
            <w:vAlign w:val="bottom"/>
            <w:gridSpan w:val="2"/>
          </w:tcPr>
          <w:p>
            <w:pPr>
              <w:jc w:val="right"/>
              <w:ind w:right="670"/>
              <w:spacing w:after="0"/>
              <w:rPr>
                <w:sz w:val="20"/>
                <w:szCs w:val="20"/>
                <w:color w:val="auto"/>
              </w:rPr>
            </w:pPr>
            <w:r>
              <w:rPr>
                <w:rFonts w:ascii="Arial" w:cs="Arial" w:eastAsia="Arial" w:hAnsi="Arial"/>
                <w:sz w:val="18"/>
                <w:szCs w:val="18"/>
                <w:color w:val="auto"/>
              </w:rPr>
              <w:t>($ in millions)</w:t>
            </w:r>
          </w:p>
        </w:tc>
        <w:tc>
          <w:tcPr>
            <w:tcW w:w="50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Athletic Stores</w:t>
            </w:r>
          </w:p>
        </w:tc>
        <w:tc>
          <w:tcPr>
            <w:tcW w:w="268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88"/>
              </w:rPr>
              <w:t>1,735</w:t>
            </w: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1,681</w:t>
            </w:r>
          </w:p>
        </w:tc>
      </w:tr>
      <w:tr>
        <w:trPr>
          <w:trHeight w:val="23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2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252</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sales</w:t>
            </w:r>
          </w:p>
        </w:tc>
        <w:tc>
          <w:tcPr>
            <w:tcW w:w="2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1,987</w:t>
            </w:r>
          </w:p>
        </w:tc>
        <w:tc>
          <w:tcPr>
            <w:tcW w:w="11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1,916</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2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Athletic Stores</w:t>
            </w:r>
          </w:p>
        </w:tc>
        <w:tc>
          <w:tcPr>
            <w:tcW w:w="268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277</w:t>
            </w:r>
          </w:p>
        </w:tc>
        <w:tc>
          <w:tcPr>
            <w:tcW w:w="118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2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Division profit</w:t>
            </w:r>
          </w:p>
        </w:tc>
        <w:tc>
          <w:tcPr>
            <w:tcW w:w="268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315</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2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Operating profit</w:t>
            </w:r>
          </w:p>
        </w:tc>
        <w:tc>
          <w:tcPr>
            <w:tcW w:w="268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296</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(1)</w:t>
            </w:r>
          </w:p>
        </w:tc>
        <w:tc>
          <w:tcPr>
            <w:tcW w:w="2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298</w:t>
            </w:r>
          </w:p>
        </w:tc>
        <w:tc>
          <w:tcPr>
            <w:tcW w:w="11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bl>
    <w:p>
      <w:pPr>
        <w:spacing w:after="0" w:line="116" w:lineRule="exact"/>
        <w:rPr>
          <w:sz w:val="20"/>
          <w:szCs w:val="20"/>
          <w:color w:val="auto"/>
        </w:rPr>
      </w:pPr>
    </w:p>
    <w:p>
      <w:pPr>
        <w:ind w:left="880" w:right="119" w:hanging="464"/>
        <w:spacing w:after="0" w:line="253" w:lineRule="auto"/>
        <w:tabs>
          <w:tab w:leader="none" w:pos="880" w:val="left"/>
        </w:tabs>
        <w:numPr>
          <w:ilvl w:val="1"/>
          <w:numId w:val="3"/>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201" w:lineRule="exact"/>
        <w:rPr>
          <w:rFonts w:ascii="Arial" w:cs="Arial" w:eastAsia="Arial" w:hAnsi="Arial"/>
          <w:sz w:val="10"/>
          <w:szCs w:val="10"/>
          <w:color w:val="auto"/>
        </w:rPr>
      </w:pPr>
    </w:p>
    <w:p>
      <w:pPr>
        <w:ind w:left="280" w:hanging="175"/>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2016 did not result in the recognition of impairment. The following table provides a summary of goodwill by reportable segment. The change in the balance primarily represents foreign currency exchange fluctuations.</w:t>
      </w:r>
    </w:p>
    <w:p>
      <w:pPr>
        <w:spacing w:after="0" w:line="2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April 30,</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May 2,</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January 30,</w:t>
            </w:r>
          </w:p>
        </w:tc>
        <w:tc>
          <w:tcPr>
            <w:tcW w:w="40" w:type="dxa"/>
            <w:vAlign w:val="bottom"/>
          </w:tcPr>
          <w:p>
            <w:pPr>
              <w:spacing w:after="0"/>
              <w:rPr>
                <w:sz w:val="18"/>
                <w:szCs w:val="18"/>
                <w:color w:val="auto"/>
              </w:rPr>
            </w:pPr>
          </w:p>
        </w:tc>
      </w:tr>
      <w:tr>
        <w:trPr>
          <w:trHeight w:val="234"/>
        </w:trPr>
        <w:tc>
          <w:tcPr>
            <w:tcW w:w="2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r>
      <w:tr>
        <w:trPr>
          <w:trHeight w:val="210"/>
        </w:trPr>
        <w:tc>
          <w:tcPr>
            <w:tcW w:w="28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in millions)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230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Direct-to-Customers</w:t>
            </w:r>
          </w:p>
        </w:tc>
        <w:tc>
          <w:tcPr>
            <w:tcW w:w="2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6"/>
              </w:rPr>
              <w:t>140</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r>
      <w:tr>
        <w:trPr>
          <w:trHeight w:val="217"/>
        </w:trPr>
        <w:tc>
          <w:tcPr>
            <w:tcW w:w="288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6"/>
              </w:rPr>
              <w:t>157</w:t>
            </w:r>
          </w:p>
        </w:tc>
        <w:tc>
          <w:tcPr>
            <w:tcW w:w="4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r>
      <w:tr>
        <w:trPr>
          <w:trHeight w:val="473"/>
        </w:trPr>
        <w:tc>
          <w:tcPr>
            <w:tcW w:w="2880" w:type="dxa"/>
            <w:vAlign w:val="bottom"/>
          </w:tcPr>
          <w:p>
            <w:pPr>
              <w:spacing w:after="0"/>
              <w:rPr>
                <w:sz w:val="24"/>
                <w:szCs w:val="24"/>
                <w:color w:val="auto"/>
              </w:rPr>
            </w:pPr>
          </w:p>
        </w:tc>
        <w:tc>
          <w:tcPr>
            <w:tcW w:w="2300" w:type="dxa"/>
            <w:vAlign w:val="bottom"/>
          </w:tcPr>
          <w:p>
            <w:pPr>
              <w:jc w:val="right"/>
              <w:ind w:right="63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8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88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Other Intangible Assets, net</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components of finite-lived intangible assets and intangible assets not subject to amortization are as follows:</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b w:val="1"/>
                <w:bCs w:val="1"/>
                <w:color w:val="auto"/>
                <w:w w:val="94"/>
              </w:rPr>
              <w:t>April 30, 2016</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93"/>
              </w:rPr>
              <w:t>May 2, 2015</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0"/>
              </w:rPr>
              <w:t>January 30, 2016</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76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Gross</w:t>
            </w:r>
          </w:p>
        </w:tc>
        <w:tc>
          <w:tcPr>
            <w:tcW w:w="7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Accum.</w:t>
            </w:r>
          </w:p>
        </w:tc>
        <w:tc>
          <w:tcPr>
            <w:tcW w:w="180" w:type="dxa"/>
            <w:vAlign w:val="bottom"/>
          </w:tcPr>
          <w:p>
            <w:pPr>
              <w:spacing w:after="0"/>
              <w:rPr>
                <w:sz w:val="16"/>
                <w:szCs w:val="16"/>
                <w:color w:val="auto"/>
              </w:rPr>
            </w:pPr>
          </w:p>
        </w:tc>
        <w:tc>
          <w:tcPr>
            <w:tcW w:w="5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680" w:type="dxa"/>
            <w:vAlign w:val="bottom"/>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Gross</w:t>
            </w: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Accum.</w:t>
            </w:r>
          </w:p>
        </w:tc>
        <w:tc>
          <w:tcPr>
            <w:tcW w:w="180" w:type="dxa"/>
            <w:vAlign w:val="bottom"/>
          </w:tcPr>
          <w:p>
            <w:pPr>
              <w:spacing w:after="0"/>
              <w:rPr>
                <w:sz w:val="16"/>
                <w:szCs w:val="16"/>
                <w:color w:val="auto"/>
              </w:rPr>
            </w:pPr>
          </w:p>
        </w:tc>
        <w:tc>
          <w:tcPr>
            <w:tcW w:w="5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89"/>
              </w:rPr>
              <w:t>Net</w:t>
            </w:r>
          </w:p>
        </w:tc>
        <w:tc>
          <w:tcPr>
            <w:tcW w:w="6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Accum.</w:t>
            </w:r>
          </w:p>
        </w:tc>
        <w:tc>
          <w:tcPr>
            <w:tcW w:w="200" w:type="dxa"/>
            <w:vAlign w:val="bottom"/>
          </w:tcPr>
          <w:p>
            <w:pPr>
              <w:spacing w:after="0"/>
              <w:rPr>
                <w:sz w:val="16"/>
                <w:szCs w:val="16"/>
                <w:color w:val="auto"/>
              </w:rPr>
            </w:pPr>
          </w:p>
        </w:tc>
        <w:tc>
          <w:tcPr>
            <w:tcW w:w="4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7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amort.</w:t>
            </w: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amort.</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amort.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20"/>
                <w:szCs w:val="20"/>
                <w:color w:val="auto"/>
              </w:rPr>
            </w:pPr>
            <w:r>
              <w:rPr>
                <w:rFonts w:ascii="Arial" w:cs="Arial" w:eastAsia="Arial" w:hAnsi="Arial"/>
                <w:sz w:val="18"/>
                <w:szCs w:val="18"/>
                <w:color w:val="auto"/>
                <w:w w:val="99"/>
              </w:rPr>
              <w:t xml:space="preserve">Amortized intangible assets: </w:t>
            </w:r>
            <w:r>
              <w:rPr>
                <w:rFonts w:ascii="Arial" w:cs="Arial" w:eastAsia="Arial" w:hAnsi="Arial"/>
                <w:sz w:val="8"/>
                <w:szCs w:val="8"/>
                <w:color w:val="auto"/>
                <w:w w:val="99"/>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acquisition costs</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400" w:type="dxa"/>
            <w:vAlign w:val="bottom"/>
          </w:tcPr>
          <w:p>
            <w:pPr>
              <w:ind w:left="340"/>
              <w:spacing w:after="0"/>
              <w:rPr>
                <w:sz w:val="20"/>
                <w:szCs w:val="20"/>
                <w:color w:val="auto"/>
              </w:rPr>
            </w:pPr>
            <w:r>
              <w:rPr>
                <w:rFonts w:ascii="Arial" w:cs="Arial" w:eastAsia="Arial" w:hAnsi="Arial"/>
                <w:sz w:val="18"/>
                <w:szCs w:val="18"/>
                <w:color w:val="auto"/>
                <w:w w:val="96"/>
              </w:rPr>
              <w:t>Trademarks / trade names</w:t>
            </w:r>
          </w:p>
        </w:tc>
        <w:tc>
          <w:tcPr>
            <w:tcW w:w="32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Favorable leases</w:t>
            </w: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696"/>
        </w:trPr>
        <w:tc>
          <w:tcPr>
            <w:tcW w:w="2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b w:val="1"/>
                <w:bCs w:val="1"/>
                <w:color w:val="auto"/>
                <w:w w:val="94"/>
              </w:rPr>
              <w:t>April 30, 2016</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93"/>
              </w:rPr>
              <w:t>May 2, 2015</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0"/>
              </w:rPr>
              <w:t>January 30, 2016</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89"/>
              </w:rPr>
              <w:t>Net</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89"/>
        </w:trPr>
        <w:tc>
          <w:tcPr>
            <w:tcW w:w="2400" w:type="dxa"/>
            <w:vAlign w:val="bottom"/>
          </w:tcPr>
          <w:p>
            <w:pPr>
              <w:spacing w:after="0" w:line="189" w:lineRule="exact"/>
              <w:rPr>
                <w:sz w:val="20"/>
                <w:szCs w:val="20"/>
                <w:color w:val="auto"/>
              </w:rPr>
            </w:pPr>
            <w:r>
              <w:rPr>
                <w:rFonts w:ascii="Arial" w:cs="Arial" w:eastAsia="Arial" w:hAnsi="Arial"/>
                <w:sz w:val="18"/>
                <w:szCs w:val="18"/>
                <w:color w:val="auto"/>
                <w:w w:val="97"/>
              </w:rPr>
              <w:t>Indefinite life intangible assets:</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400" w:type="dxa"/>
            <w:vAlign w:val="bottom"/>
          </w:tcPr>
          <w:p>
            <w:pPr>
              <w:spacing w:after="0"/>
              <w:rPr>
                <w:sz w:val="20"/>
                <w:szCs w:val="20"/>
                <w:color w:val="auto"/>
              </w:rPr>
            </w:pPr>
            <w:r>
              <w:rPr>
                <w:rFonts w:ascii="Arial" w:cs="Arial" w:eastAsia="Arial" w:hAnsi="Arial"/>
                <w:sz w:val="9"/>
                <w:szCs w:val="9"/>
                <w:color w:val="auto"/>
              </w:rPr>
              <w:t>(1)</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Runners Point Group</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trademarks / trade names</w:t>
            </w:r>
          </w:p>
        </w:tc>
        <w:tc>
          <w:tcPr>
            <w:tcW w:w="3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880" w:right="239" w:hanging="464"/>
        <w:spacing w:after="0" w:line="253" w:lineRule="auto"/>
        <w:tabs>
          <w:tab w:leader="none" w:pos="880" w:val="left"/>
        </w:tabs>
        <w:numPr>
          <w:ilvl w:val="0"/>
          <w:numId w:val="5"/>
        </w:numPr>
        <w:rPr>
          <w:rFonts w:ascii="Arial" w:cs="Arial" w:eastAsia="Arial" w:hAnsi="Arial"/>
          <w:sz w:val="10"/>
          <w:szCs w:val="10"/>
          <w:color w:val="auto"/>
        </w:rPr>
      </w:pPr>
      <w:r>
        <w:rPr>
          <w:rFonts w:ascii="Arial" w:cs="Arial" w:eastAsia="Arial" w:hAnsi="Arial"/>
          <w:sz w:val="14"/>
          <w:szCs w:val="14"/>
          <w:color w:val="auto"/>
        </w:rPr>
        <w:t>The change in the ending balances also reflects the effect of foreign currency fluctuations due primarily to the movements of the euro in relation to the U.S. dollar.</w:t>
      </w:r>
    </w:p>
    <w:p>
      <w:pPr>
        <w:spacing w:after="0" w:line="151"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For the thirteen-week period ended April 30, 2016, activity included a $1 million increase related to foreign currency fluctuations and $1 million of lease acquisition additions primarily related to our European businesses, which are being amortized over a weighted-average life of 10 years. This was partially offset by amortization of $1 million.</w:t>
      </w:r>
    </w:p>
    <w:p>
      <w:pPr>
        <w:spacing w:after="0" w:line="40"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2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April 30, 2016</w:t>
            </w: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May 2, 2015</w:t>
            </w:r>
          </w:p>
        </w:tc>
      </w:tr>
      <w:tr>
        <w:trPr>
          <w:trHeight w:val="237"/>
        </w:trPr>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Estimated future amortization expense for finite life intangible assets is as follows:</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8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in millions)</w:t>
            </w:r>
          </w:p>
        </w:tc>
        <w:tc>
          <w:tcPr>
            <w:tcW w:w="40" w:type="dxa"/>
            <w:vAlign w:val="bottom"/>
          </w:tcPr>
          <w:p>
            <w:pPr>
              <w:spacing w:after="0"/>
              <w:rPr>
                <w:sz w:val="20"/>
                <w:szCs w:val="20"/>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2017</w:t>
            </w:r>
          </w:p>
        </w:tc>
        <w:tc>
          <w:tcPr>
            <w:tcW w:w="4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2019</w:t>
            </w:r>
          </w:p>
        </w:tc>
        <w:tc>
          <w:tcPr>
            <w:tcW w:w="4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r>
      <w:tr>
        <w:trPr>
          <w:trHeight w:val="2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2021</w:t>
            </w:r>
          </w:p>
        </w:tc>
        <w:tc>
          <w:tcPr>
            <w:tcW w:w="4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480"/>
        </w:trPr>
        <w:tc>
          <w:tcPr>
            <w:tcW w:w="2880" w:type="dxa"/>
            <w:vAlign w:val="bottom"/>
          </w:tcPr>
          <w:p>
            <w:pPr>
              <w:spacing w:after="0"/>
              <w:rPr>
                <w:sz w:val="24"/>
                <w:szCs w:val="24"/>
                <w:color w:val="auto"/>
              </w:rPr>
            </w:pPr>
          </w:p>
        </w:tc>
        <w:tc>
          <w:tcPr>
            <w:tcW w:w="4760" w:type="dxa"/>
            <w:vAlign w:val="bottom"/>
          </w:tcPr>
          <w:p>
            <w:pPr>
              <w:jc w:val="right"/>
              <w:ind w:right="3090"/>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88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880" w:type="dxa"/>
            <w:vAlign w:val="bottom"/>
            <w:tcBorders>
              <w:bottom w:val="single" w:sz="8" w:color="EEEEEE"/>
            </w:tcBorders>
          </w:tcPr>
          <w:p>
            <w:pPr>
              <w:spacing w:after="0" w:line="20" w:lineRule="exact"/>
              <w:rPr>
                <w:sz w:val="1"/>
                <w:szCs w:val="1"/>
                <w:color w:val="auto"/>
              </w:rPr>
            </w:pPr>
          </w:p>
        </w:tc>
        <w:tc>
          <w:tcPr>
            <w:tcW w:w="47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0" w:type="dxa"/>
            <w:vAlign w:val="bottom"/>
            <w:gridSpan w:val="8"/>
          </w:tcPr>
          <w:p>
            <w:pPr>
              <w:spacing w:after="0"/>
              <w:rPr>
                <w:sz w:val="20"/>
                <w:szCs w:val="20"/>
                <w:color w:val="auto"/>
              </w:rPr>
            </w:pPr>
            <w:r>
              <w:rPr>
                <w:rFonts w:ascii="Arial" w:cs="Arial" w:eastAsia="Arial" w:hAnsi="Arial"/>
                <w:sz w:val="18"/>
                <w:szCs w:val="18"/>
                <w:color w:val="auto"/>
              </w:rPr>
              <w:t>Accumulated other comprehensive loss (“AOCL”), net of tax, is comprised the following:</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9"/>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April 30,</w:t>
            </w:r>
          </w:p>
        </w:tc>
        <w:tc>
          <w:tcPr>
            <w:tcW w:w="480" w:type="dxa"/>
            <w:vAlign w:val="bottom"/>
          </w:tcPr>
          <w:p>
            <w:pPr>
              <w:spacing w:after="0"/>
              <w:rPr>
                <w:sz w:val="24"/>
                <w:szCs w:val="24"/>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c>
          <w:tcPr>
            <w:tcW w:w="300" w:type="dxa"/>
            <w:vAlign w:val="bottom"/>
          </w:tcPr>
          <w:p>
            <w:pPr>
              <w:spacing w:after="0"/>
              <w:rPr>
                <w:sz w:val="24"/>
                <w:szCs w:val="24"/>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January 30,</w:t>
            </w:r>
          </w:p>
        </w:tc>
      </w:tr>
      <w:tr>
        <w:trPr>
          <w:trHeight w:val="234"/>
        </w:trPr>
        <w:tc>
          <w:tcPr>
            <w:tcW w:w="2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2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 in millions)</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Foreign currency translation adjustments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Cash flow hedges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Unrecognized pension cost and postretirement benefit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3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Unrealized loss on available-for-sale security</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2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486"/>
        </w:trPr>
        <w:tc>
          <w:tcPr>
            <w:tcW w:w="6380" w:type="dxa"/>
            <w:vAlign w:val="bottom"/>
            <w:gridSpan w:val="7"/>
          </w:tcPr>
          <w:p>
            <w:pPr>
              <w:spacing w:after="0"/>
              <w:rPr>
                <w:sz w:val="20"/>
                <w:szCs w:val="20"/>
                <w:color w:val="auto"/>
              </w:rPr>
            </w:pPr>
            <w:r>
              <w:rPr>
                <w:rFonts w:ascii="Arial" w:cs="Arial" w:eastAsia="Arial" w:hAnsi="Arial"/>
                <w:sz w:val="18"/>
                <w:szCs w:val="18"/>
                <w:color w:val="auto"/>
                <w:w w:val="96"/>
              </w:rPr>
              <w:t>The changes in AOCL for the thirteen weeks ended April 30, 2016 were as follows:</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9"/>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Items Related</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740" w:type="dxa"/>
            <w:vAlign w:val="bottom"/>
          </w:tcPr>
          <w:p>
            <w:pPr>
              <w:spacing w:after="0"/>
              <w:rPr>
                <w:sz w:val="18"/>
                <w:szCs w:val="18"/>
                <w:color w:val="auto"/>
              </w:rPr>
            </w:pPr>
          </w:p>
        </w:tc>
        <w:tc>
          <w:tcPr>
            <w:tcW w:w="12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Currency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to Pension and</w:t>
            </w:r>
          </w:p>
        </w:tc>
        <w:tc>
          <w:tcPr>
            <w:tcW w:w="1020" w:type="dxa"/>
            <w:vAlign w:val="bottom"/>
          </w:tcPr>
          <w:p>
            <w:pPr>
              <w:jc w:val="center"/>
              <w:ind w:left="230"/>
              <w:spacing w:after="0"/>
              <w:rPr>
                <w:sz w:val="20"/>
                <w:szCs w:val="20"/>
                <w:color w:val="auto"/>
              </w:rPr>
            </w:pPr>
            <w:r>
              <w:rPr>
                <w:rFonts w:ascii="Arial" w:cs="Arial" w:eastAsia="Arial" w:hAnsi="Arial"/>
                <w:sz w:val="18"/>
                <w:szCs w:val="18"/>
                <w:b w:val="1"/>
                <w:bCs w:val="1"/>
                <w:color w:val="auto"/>
                <w:w w:val="83"/>
              </w:rPr>
              <w:t>Loss 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2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Translation</w:t>
            </w: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Available-For-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12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Hedges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Sale Security</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30, 2016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OCI before reclassification</w:t>
            </w:r>
          </w:p>
        </w:tc>
        <w:tc>
          <w:tcPr>
            <w:tcW w:w="2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Reclassified from AOCI</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Other comprehensive income/ (loss)</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7"/>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April 30, 2016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(249)</w:t>
            </w: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r>
      <w:tr>
        <w:trPr>
          <w:trHeight w:val="432"/>
        </w:trPr>
        <w:tc>
          <w:tcPr>
            <w:tcW w:w="7400" w:type="dxa"/>
            <w:vAlign w:val="bottom"/>
            <w:gridSpan w:val="8"/>
          </w:tcPr>
          <w:p>
            <w:pPr>
              <w:spacing w:after="0"/>
              <w:rPr>
                <w:sz w:val="20"/>
                <w:szCs w:val="20"/>
                <w:color w:val="auto"/>
              </w:rPr>
            </w:pPr>
            <w:r>
              <w:rPr>
                <w:rFonts w:ascii="Arial" w:cs="Arial" w:eastAsia="Arial" w:hAnsi="Arial"/>
                <w:sz w:val="18"/>
                <w:szCs w:val="18"/>
                <w:color w:val="auto"/>
              </w:rPr>
              <w:t>Reclassifications from AOCL for the thirteen weeks ended April 30, 2016 were as follows: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 in millions)</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actuarial (gain) loss: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3960" w:type="dxa"/>
            <w:vAlign w:val="bottom"/>
            <w:gridSpan w:val="3"/>
          </w:tcPr>
          <w:p>
            <w:pPr>
              <w:ind w:left="180"/>
              <w:spacing w:after="0"/>
              <w:rPr>
                <w:sz w:val="20"/>
                <w:szCs w:val="20"/>
                <w:color w:val="auto"/>
              </w:rPr>
            </w:pPr>
            <w:r>
              <w:rPr>
                <w:rFonts w:ascii="Arial" w:cs="Arial" w:eastAsia="Arial" w:hAnsi="Arial"/>
                <w:sz w:val="18"/>
                <w:szCs w:val="18"/>
                <w:color w:val="auto"/>
              </w:rPr>
              <w:t>Pension benefits- amortization of actuarial loss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30"/>
        </w:trPr>
        <w:tc>
          <w:tcPr>
            <w:tcW w:w="4160" w:type="dxa"/>
            <w:vAlign w:val="bottom"/>
            <w:tcBorders>
              <w:bottom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color w:val="auto"/>
                <w:w w:val="92"/>
              </w:rPr>
              <w:t>Postretirement benefits- amortization of actuarial gain</w:t>
            </w:r>
          </w:p>
        </w:tc>
        <w:tc>
          <w:tcPr>
            <w:tcW w:w="8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w w:val="91"/>
              </w:rPr>
              <w:t>Net periodic benefit cost (see Note 9)</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30"/>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1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bl>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ind w:left="100" w:right="99"/>
        <w:spacing w:after="0" w:line="288" w:lineRule="auto"/>
        <w:rPr>
          <w:sz w:val="20"/>
          <w:szCs w:val="20"/>
          <w:color w:val="auto"/>
        </w:rPr>
      </w:pPr>
      <w:r>
        <w:rPr>
          <w:rFonts w:ascii="Arial" w:cs="Arial" w:eastAsia="Arial" w:hAnsi="Arial"/>
          <w:sz w:val="16"/>
          <w:szCs w:val="16"/>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69"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the most part, merchandise inventories are purchased by each geographic area in their respective local currency. The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substantially all of the Company’s hedged forecasted transactions are less than twelve months, and the Company expects substantially all derivative-related amounts reported in AOCL to be reclassified to earnings within twelve months.</w:t>
      </w:r>
    </w:p>
    <w:p>
      <w:pPr>
        <w:spacing w:after="0" w:line="17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net change in the fair value of the foreign exchange derivative financial instruments designated as cash flow hedges of the purchase of inventory was not significant for the thirteen weeks ended April 30, 2016, and therefore AOCL remained unchanged. At April 30, 2016, there was a $2 million gain included in AOCL. For the thirteen weeks ended May 2, 2015, the net change resulted in a loss of $1 million. The notional value of the foreign exchange contracts designed as hedges outstanding at April 30, 2016 was $97 million, and these contracts mature at various dates through July 2017.</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Derivative Holdings Not Designated as Hedges</w:t>
      </w:r>
    </w:p>
    <w:p>
      <w:pPr>
        <w:spacing w:after="0" w:line="225"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The Company enters into foreign exchange forward contracts that are not designated as hedges in order to manage the costs of foreign-currency denominated merchandise purchases and intercompany transactions. Changes in the fair value of these foreign exchange forward contracts are recorded in earnings immediately within selling, general and administrative expenses. The net change in fair value resulted in expense of $1 million for the thirteen weeks ended April 30, 2016. The net change in fair value resulted in income of $1 million for the thirteen weeks ended May 2, 2015. The notional value of the foreign exchange contracts not designed as hedges outstanding at April 30, 2016 was $12 million, and these contracts mature at various dates through October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spacing w:after="0" w:line="218" w:lineRule="auto"/>
        <w:framePr w:w="7820" w:h="376" w:wrap="auto" w:vAnchor="page" w:hAnchor="page" w:x="2580" w:y="7907"/>
        <w:rPr>
          <w:rFonts w:ascii="Arial" w:cs="Arial" w:eastAsia="Arial" w:hAnsi="Arial"/>
          <w:sz w:val="18"/>
          <w:szCs w:val="18"/>
          <w:color w:val="auto"/>
        </w:rPr>
      </w:pPr>
      <w:r>
        <w:rPr>
          <w:rFonts w:ascii="Arial" w:cs="Arial" w:eastAsia="Arial" w:hAnsi="Arial"/>
          <w:sz w:val="18"/>
          <w:szCs w:val="18"/>
          <w:color w:val="auto"/>
        </w:rPr>
        <w:t>Model-derived valuations in which one or more significant inputs or significant value-drivers are unobservable.</w:t>
      </w:r>
    </w:p>
    <w:p>
      <w:pPr>
        <w:jc w:val="both"/>
        <w:spacing w:after="0" w:line="229" w:lineRule="auto"/>
        <w:framePr w:w="7820" w:h="593" w:wrap="auto" w:vAnchor="page" w:hAnchor="page" w:x="2580" w:y="7191"/>
        <w:rPr>
          <w:rFonts w:ascii="Arial" w:cs="Arial" w:eastAsia="Arial" w:hAnsi="Arial"/>
          <w:sz w:val="18"/>
          <w:szCs w:val="18"/>
          <w:color w:val="auto"/>
        </w:rPr>
      </w:pPr>
      <w:r>
        <w:rPr>
          <w:rFonts w:ascii="Arial" w:cs="Arial" w:eastAsia="Arial" w:hAnsi="Arial"/>
          <w:sz w:val="18"/>
          <w:szCs w:val="18"/>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April 30, 2016.</w:t>
      </w:r>
    </w:p>
    <w:p>
      <w:pPr>
        <w:spacing w:after="0" w:line="188" w:lineRule="exact"/>
        <w:rPr>
          <w:rFonts w:ascii="Arial" w:cs="Arial" w:eastAsia="Arial" w:hAnsi="Arial"/>
          <w:sz w:val="18"/>
          <w:szCs w:val="18"/>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diesel fuel forward contracts outstanding was not significant at April 30, 2016 and these contracts mature in May 2016.</w:t>
      </w:r>
    </w:p>
    <w:p>
      <w:pPr>
        <w:spacing w:after="0" w:line="188"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rFonts w:ascii="Arial" w:cs="Arial" w:eastAsia="Arial" w:hAnsi="Arial"/>
          <w:sz w:val="18"/>
          <w:szCs w:val="18"/>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85" w:lineRule="exact"/>
        <w:rPr>
          <w:rFonts w:ascii="Arial" w:cs="Arial" w:eastAsia="Arial" w:hAnsi="Arial"/>
          <w:sz w:val="18"/>
          <w:szCs w:val="18"/>
          <w:color w:val="auto"/>
        </w:rPr>
      </w:pPr>
    </w:p>
    <w:tbl>
      <w:tblPr>
        <w:tblLayout w:type="fixed"/>
        <w:tblInd w:w="1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2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April 30,</w:t>
            </w:r>
          </w:p>
        </w:tc>
        <w:tc>
          <w:tcPr>
            <w:tcW w:w="32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May 2,</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in millions)</w:t>
            </w:r>
          </w:p>
        </w:tc>
        <w:tc>
          <w:tcPr>
            <w:tcW w:w="20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Caption</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2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w w:val="98"/>
              </w:rPr>
              <w:t>Foreign exchange forward contracts</w:t>
            </w:r>
          </w:p>
        </w:tc>
        <w:tc>
          <w:tcPr>
            <w:tcW w:w="2040" w:type="dxa"/>
            <w:vAlign w:val="bottom"/>
          </w:tcPr>
          <w:p>
            <w:pPr>
              <w:jc w:val="center"/>
              <w:spacing w:after="0"/>
              <w:rPr>
                <w:sz w:val="20"/>
                <w:szCs w:val="20"/>
                <w:color w:val="auto"/>
              </w:rPr>
            </w:pPr>
            <w:r>
              <w:rPr>
                <w:rFonts w:ascii="Arial" w:cs="Arial" w:eastAsia="Arial" w:hAnsi="Arial"/>
                <w:sz w:val="18"/>
                <w:szCs w:val="18"/>
                <w:color w:val="auto"/>
                <w:w w:val="85"/>
              </w:rPr>
              <w:t>Current assets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exchange forward contracts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Current liabilities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Foreign exchange forward contracts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Non-current liabilities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3" w:lineRule="exact"/>
        <w:rPr>
          <w:rFonts w:ascii="Arial" w:cs="Arial" w:eastAsia="Arial" w:hAnsi="Arial"/>
          <w:sz w:val="18"/>
          <w:szCs w:val="18"/>
          <w:color w:val="auto"/>
        </w:rPr>
      </w:pPr>
    </w:p>
    <w:p>
      <w:pPr>
        <w:ind w:left="280"/>
        <w:spacing w:after="0"/>
        <w:tabs>
          <w:tab w:leader="none" w:pos="116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prices for identical instruments in active markets.</w:t>
      </w:r>
    </w:p>
    <w:p>
      <w:pPr>
        <w:spacing w:after="0" w:line="58"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b w:val="1"/>
          <w:bCs w:val="1"/>
          <w:color w:val="auto"/>
        </w:rPr>
        <w:t>Level 2 –</w:t>
      </w:r>
    </w:p>
    <w:p>
      <w:pPr>
        <w:spacing w:after="0" w:line="103" w:lineRule="exact"/>
        <w:rPr>
          <w:rFonts w:ascii="Arial" w:cs="Arial" w:eastAsia="Arial" w:hAnsi="Arial"/>
          <w:sz w:val="18"/>
          <w:szCs w:val="18"/>
          <w:color w:val="auto"/>
        </w:rPr>
      </w:pPr>
    </w:p>
    <w:p>
      <w:pPr>
        <w:ind w:left="280"/>
        <w:spacing w:after="0"/>
        <w:rPr>
          <w:sz w:val="20"/>
          <w:szCs w:val="20"/>
          <w:color w:val="auto"/>
        </w:rPr>
      </w:pPr>
      <w:r>
        <w:rPr>
          <w:rFonts w:ascii="Arial" w:cs="Arial" w:eastAsia="Arial" w:hAnsi="Arial"/>
          <w:sz w:val="18"/>
          <w:szCs w:val="18"/>
          <w:b w:val="1"/>
          <w:bCs w:val="1"/>
          <w:color w:val="auto"/>
        </w:rPr>
        <w:t>Level 3 –</w:t>
      </w:r>
    </w:p>
    <w:p>
      <w:pPr>
        <w:spacing w:after="0" w:line="256" w:lineRule="exact"/>
        <w:rPr>
          <w:rFonts w:ascii="Arial" w:cs="Arial" w:eastAsia="Arial" w:hAnsi="Arial"/>
          <w:sz w:val="18"/>
          <w:szCs w:val="18"/>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383" w:lineRule="exact"/>
        <w:rPr>
          <w:rFonts w:ascii="Arial" w:cs="Arial" w:eastAsia="Arial" w:hAnsi="Arial"/>
          <w:sz w:val="18"/>
          <w:szCs w:val="18"/>
          <w:color w:val="auto"/>
        </w:rPr>
      </w:pPr>
    </w:p>
    <w:tbl>
      <w:tblPr>
        <w:tblLayout w:type="fixed"/>
        <w:tblInd w:w="100" w:type="dxa"/>
        <w:tblCellMar>
          <w:top w:w="0" w:type="dxa"/>
          <w:left w:w="0" w:type="dxa"/>
          <w:bottom w:w="0" w:type="dxa"/>
          <w:right w:w="0" w:type="dxa"/>
        </w:tblCellMar>
      </w:tblPr>
      <w:tr>
        <w:trPr>
          <w:trHeight w:val="234"/>
        </w:trPr>
        <w:tc>
          <w:tcPr>
            <w:tcW w:w="2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3"/>
              </w:rPr>
              <w:t>As of April 30, 2016</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4"/>
              </w:rPr>
              <w:t>As of May 2, 2015</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As of January 30,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4"/>
          </w:tcPr>
          <w:p>
            <w:pPr>
              <w:ind w:left="200"/>
              <w:spacing w:after="0"/>
              <w:rPr>
                <w:sz w:val="20"/>
                <w:szCs w:val="20"/>
                <w:color w:val="auto"/>
              </w:rPr>
            </w:pPr>
            <w:r>
              <w:rPr>
                <w:rFonts w:ascii="Arial" w:cs="Arial" w:eastAsia="Arial" w:hAnsi="Arial"/>
                <w:sz w:val="18"/>
                <w:szCs w:val="18"/>
                <w:b w:val="1"/>
                <w:bCs w:val="1"/>
                <w:color w:val="auto"/>
              </w:rPr>
              <w:t>($ in millions)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Level 2</w:t>
            </w: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Level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9"/>
              </w:rPr>
              <w:t>Available-for-sale securities</w:t>
            </w:r>
          </w:p>
        </w:tc>
        <w:tc>
          <w:tcPr>
            <w:tcW w:w="34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3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forward</w:t>
            </w:r>
          </w:p>
        </w:tc>
        <w:tc>
          <w:tcPr>
            <w:tcW w:w="3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contracts</w:t>
            </w: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Securities classified as available-for-sale are recorded at fair value with unrealized gains and losses reported, net of tax, in other comprehensive income, unless unrealized losses are determined to be other than temporary. The fair value of the auction rate security is determined by using quoted prices for similar instruments in active markets and accordingly is classified as a Level 2 instrument.</w:t>
      </w:r>
    </w:p>
    <w:p>
      <w:pPr>
        <w:spacing w:after="0" w:line="187"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There were no transfers into or out of Level 1, Level 2, or Level 3 assets and liabilities for any of the periods presented.</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carrying value and estimated fair value of long-term debt and obligations under capital leases were as follows:</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April 30,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May 2,</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January 30,</w:t>
            </w:r>
          </w:p>
        </w:tc>
      </w:tr>
      <w:tr>
        <w:trPr>
          <w:trHeight w:val="234"/>
        </w:trPr>
        <w:tc>
          <w:tcPr>
            <w:tcW w:w="28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10"/>
        </w:trPr>
        <w:tc>
          <w:tcPr>
            <w:tcW w:w="2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 in millions)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5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3"/>
              </w:rPr>
              <w:t>129</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2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149</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bl>
    <w:p>
      <w:pPr>
        <w:spacing w:after="0" w:line="202"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5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Thirteen weeks ended</w:t>
            </w:r>
          </w:p>
        </w:tc>
      </w:tr>
      <w:tr>
        <w:trPr>
          <w:trHeight w:val="198"/>
        </w:trPr>
        <w:tc>
          <w:tcPr>
            <w:tcW w:w="5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April 30,</w:t>
            </w:r>
          </w:p>
        </w:tc>
        <w:tc>
          <w:tcPr>
            <w:tcW w:w="460" w:type="dxa"/>
            <w:vAlign w:val="bottom"/>
          </w:tcPr>
          <w:p>
            <w:pPr>
              <w:spacing w:after="0"/>
              <w:rPr>
                <w:sz w:val="17"/>
                <w:szCs w:val="17"/>
                <w:color w:val="auto"/>
              </w:rPr>
            </w:pPr>
          </w:p>
        </w:tc>
        <w:tc>
          <w:tcPr>
            <w:tcW w:w="112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May 2,</w:t>
            </w:r>
          </w:p>
        </w:tc>
      </w:tr>
      <w:tr>
        <w:trPr>
          <w:trHeight w:val="241"/>
        </w:trPr>
        <w:tc>
          <w:tcPr>
            <w:tcW w:w="5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16"/>
        </w:trPr>
        <w:tc>
          <w:tcPr>
            <w:tcW w:w="5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(in millions, except per share data)</w:t>
            </w:r>
          </w:p>
        </w:tc>
      </w:tr>
      <w:tr>
        <w:trPr>
          <w:trHeight w:val="223"/>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191</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7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136.5</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earnings per share</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7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136.5</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140.1</w:t>
            </w:r>
          </w:p>
        </w:tc>
      </w:tr>
      <w:tr>
        <w:trPr>
          <w:trHeight w:val="230"/>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Dilutive effect of potential common shares</w:t>
            </w:r>
          </w:p>
        </w:tc>
        <w:tc>
          <w:tcPr>
            <w:tcW w:w="7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w w:val="98"/>
              </w:rPr>
              <w:t>Weighted-average common shares outstanding assuming dilution</w:t>
            </w:r>
          </w:p>
        </w:tc>
        <w:tc>
          <w:tcPr>
            <w:tcW w:w="7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137.8</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5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1.39</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42"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Options to purchase 0.2 million and 0.4 million shares of common stock were not included in the computation for the thirteen weeks ended April 30, 2016 and May 2, 2015, respectively. These options were not included because the effect would have been antidilutive. Contingently issuable shares of 0.3 million have not been included as the vesting conditions have not been satisfied as of April 30, 2016 and May 2,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Pension and Postretirement Plans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In addition, the Company has a defined benefit pension plan covering certain employees of the Runners Point Group.</w:t>
      </w:r>
    </w:p>
    <w:p>
      <w:pPr>
        <w:spacing w:after="0" w:line="181"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81"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8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Pension Benefits</w:t>
            </w:r>
          </w:p>
        </w:tc>
        <w:tc>
          <w:tcPr>
            <w:tcW w:w="5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Postretirement Benefits</w:t>
            </w:r>
          </w:p>
        </w:tc>
        <w:tc>
          <w:tcPr>
            <w:tcW w:w="300" w:type="dxa"/>
            <w:vAlign w:val="bottom"/>
            <w:tcBorders>
              <w:bottom w:val="single" w:sz="8" w:color="auto"/>
            </w:tcBorders>
          </w:tcPr>
          <w:p>
            <w:pPr>
              <w:spacing w:after="0"/>
              <w:rPr>
                <w:sz w:val="20"/>
                <w:szCs w:val="20"/>
                <w:color w:val="auto"/>
              </w:rPr>
            </w:pPr>
          </w:p>
        </w:tc>
      </w:tr>
      <w:tr>
        <w:trPr>
          <w:trHeight w:val="210"/>
        </w:trPr>
        <w:tc>
          <w:tcPr>
            <w:tcW w:w="28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Thirteen weeks ended</w:t>
            </w:r>
          </w:p>
        </w:tc>
        <w:tc>
          <w:tcPr>
            <w:tcW w:w="5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Thirteen weeks ended</w:t>
            </w:r>
          </w:p>
        </w:tc>
        <w:tc>
          <w:tcPr>
            <w:tcW w:w="300" w:type="dxa"/>
            <w:vAlign w:val="bottom"/>
            <w:tcBorders>
              <w:bottom w:val="single" w:sz="8" w:color="auto"/>
            </w:tcBorders>
          </w:tcPr>
          <w:p>
            <w:pPr>
              <w:spacing w:after="0"/>
              <w:rPr>
                <w:sz w:val="18"/>
                <w:szCs w:val="18"/>
                <w:color w:val="auto"/>
              </w:rPr>
            </w:pPr>
          </w:p>
        </w:tc>
      </w:tr>
      <w:tr>
        <w:trPr>
          <w:trHeight w:val="205"/>
        </w:trPr>
        <w:tc>
          <w:tcPr>
            <w:tcW w:w="2860" w:type="dxa"/>
            <w:vAlign w:val="bottom"/>
          </w:tcPr>
          <w:p>
            <w:pPr>
              <w:spacing w:after="0"/>
              <w:rPr>
                <w:sz w:val="17"/>
                <w:szCs w:val="17"/>
                <w:color w:val="auto"/>
              </w:rPr>
            </w:pPr>
          </w:p>
        </w:tc>
        <w:tc>
          <w:tcPr>
            <w:tcW w:w="14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April 30,</w:t>
            </w:r>
          </w:p>
        </w:tc>
        <w:tc>
          <w:tcPr>
            <w:tcW w:w="30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50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April 30,</w:t>
            </w:r>
          </w:p>
        </w:tc>
        <w:tc>
          <w:tcPr>
            <w:tcW w:w="34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May 2,</w:t>
            </w:r>
          </w:p>
        </w:tc>
        <w:tc>
          <w:tcPr>
            <w:tcW w:w="300" w:type="dxa"/>
            <w:vAlign w:val="bottom"/>
          </w:tcPr>
          <w:p>
            <w:pPr>
              <w:spacing w:after="0"/>
              <w:rPr>
                <w:sz w:val="17"/>
                <w:szCs w:val="17"/>
                <w:color w:val="auto"/>
              </w:rPr>
            </w:pPr>
          </w:p>
        </w:tc>
      </w:tr>
      <w:tr>
        <w:trPr>
          <w:trHeight w:val="234"/>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millions)</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4</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4</w:t>
            </w:r>
          </w:p>
        </w:tc>
        <w:tc>
          <w:tcPr>
            <w:tcW w:w="10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Interest cost</w:t>
            </w:r>
          </w:p>
        </w:tc>
        <w:tc>
          <w:tcPr>
            <w:tcW w:w="14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79"/>
              </w:rPr>
              <w:t>6</w:t>
            </w:r>
          </w:p>
        </w:tc>
        <w:tc>
          <w:tcPr>
            <w:tcW w:w="1020" w:type="dxa"/>
            <w:vAlign w:val="bottom"/>
          </w:tcPr>
          <w:p>
            <w:pPr>
              <w:spacing w:after="0"/>
              <w:rPr>
                <w:sz w:val="19"/>
                <w:szCs w:val="19"/>
                <w:color w:val="auto"/>
              </w:rPr>
            </w:pPr>
          </w:p>
        </w:tc>
        <w:tc>
          <w:tcPr>
            <w:tcW w:w="500" w:type="dxa"/>
            <w:vAlign w:val="bottom"/>
          </w:tcPr>
          <w:p>
            <w:pPr>
              <w:jc w:val="center"/>
              <w:ind w:right="50"/>
              <w:spacing w:after="0"/>
              <w:rPr>
                <w:sz w:val="20"/>
                <w:szCs w:val="20"/>
                <w:color w:val="auto"/>
              </w:rPr>
            </w:pPr>
            <w:r>
              <w:rPr>
                <w:rFonts w:ascii="Arial" w:cs="Arial" w:eastAsia="Arial" w:hAnsi="Arial"/>
                <w:sz w:val="18"/>
                <w:szCs w:val="18"/>
                <w:color w:val="auto"/>
                <w:w w:val="79"/>
              </w:rPr>
              <w:t>6</w:t>
            </w:r>
          </w:p>
        </w:tc>
        <w:tc>
          <w:tcPr>
            <w:tcW w:w="104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(9)</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(9)</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loss (gain)</w:t>
            </w:r>
          </w:p>
        </w:tc>
        <w:tc>
          <w:tcPr>
            <w:tcW w:w="1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3</w:t>
            </w: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17"/>
        </w:trPr>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benefit expense (income)</w:t>
            </w:r>
          </w:p>
        </w:tc>
        <w:tc>
          <w:tcPr>
            <w:tcW w:w="14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0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4</w:t>
            </w:r>
          </w:p>
        </w:tc>
        <w:tc>
          <w:tcPr>
            <w:tcW w:w="10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 xml:space="preserve">On February 24, 2016, the Company made a contribution of $25 million to the U.S. qualified plan. The Company continually evaluates the amount and timing of any future contributions. The Company currently does not expect to make any further pension plan contributions during the current year. Actual contributions are dependent on several factors, including the outcome of the ongoing pension litigation. See Note 11,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for further information.</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the Company’s share-based compensation plans were as follows:</w:t>
      </w:r>
    </w:p>
    <w:p>
      <w:pPr>
        <w:spacing w:after="0" w:line="396"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58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May 2,</w:t>
            </w:r>
          </w:p>
        </w:tc>
        <w:tc>
          <w:tcPr>
            <w:tcW w:w="3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680" w:type="dxa"/>
            <w:vAlign w:val="bottom"/>
            <w:gridSpan w:val="3"/>
          </w:tcPr>
          <w:p>
            <w:pPr>
              <w:jc w:val="right"/>
              <w:ind w:right="47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Options and shares purchased under the employee stock purchase plan</w:t>
            </w:r>
          </w:p>
        </w:tc>
        <w:tc>
          <w:tcPr>
            <w:tcW w:w="12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w:t>
            </w:r>
          </w:p>
        </w:tc>
        <w:tc>
          <w:tcPr>
            <w:tcW w:w="1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Restricted stock and restricted stock units</w:t>
            </w: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w:t>
            </w: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w:t>
            </w:r>
          </w:p>
        </w:tc>
        <w:tc>
          <w:tcPr>
            <w:tcW w:w="10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Tax benefit recognized</w:t>
            </w:r>
          </w:p>
        </w:tc>
        <w:tc>
          <w:tcPr>
            <w:tcW w:w="12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w:t>
            </w:r>
          </w:p>
        </w:tc>
        <w:tc>
          <w:tcPr>
            <w:tcW w:w="1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95"/>
              </w:rPr>
              <w:t>Excess income tax benefit from settled equity-classified share-based awards</w:t>
            </w:r>
          </w:p>
        </w:tc>
        <w:tc>
          <w:tcPr>
            <w:tcW w:w="128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reported as a cash flow from financing activities</w:t>
            </w:r>
          </w:p>
        </w:tc>
        <w:tc>
          <w:tcPr>
            <w:tcW w:w="12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5840" w:type="dxa"/>
            <w:vAlign w:val="bottom"/>
          </w:tcPr>
          <w:p>
            <w:pPr>
              <w:ind w:left="4320"/>
              <w:spacing w:after="0"/>
              <w:rPr>
                <w:sz w:val="20"/>
                <w:szCs w:val="20"/>
                <w:color w:val="auto"/>
              </w:rPr>
            </w:pPr>
            <w:r>
              <w:rPr>
                <w:rFonts w:ascii="Arial" w:cs="Arial" w:eastAsia="Arial" w:hAnsi="Arial"/>
                <w:sz w:val="18"/>
                <w:szCs w:val="18"/>
                <w:color w:val="auto"/>
              </w:rPr>
              <w:t>12</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 The following table shows the Company’s assumptions used to compute the share-based compensation expense:</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Stock Option Plans</w:t>
            </w: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Stock Purchase Plan</w:t>
            </w: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April 30,</w:t>
            </w:r>
          </w:p>
        </w:tc>
        <w:tc>
          <w:tcPr>
            <w:tcW w:w="260" w:type="dxa"/>
            <w:vAlign w:val="bottom"/>
          </w:tcPr>
          <w:p>
            <w:pPr>
              <w:spacing w:after="0"/>
              <w:rPr>
                <w:sz w:val="16"/>
                <w:szCs w:val="16"/>
                <w:color w:val="auto"/>
              </w:rPr>
            </w:pPr>
          </w:p>
        </w:tc>
        <w:tc>
          <w:tcPr>
            <w:tcW w:w="10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May 2,</w:t>
            </w:r>
          </w:p>
        </w:tc>
        <w:tc>
          <w:tcPr>
            <w:tcW w:w="240" w:type="dxa"/>
            <w:vAlign w:val="bottom"/>
          </w:tcPr>
          <w:p>
            <w:pPr>
              <w:spacing w:after="0"/>
              <w:rPr>
                <w:sz w:val="16"/>
                <w:szCs w:val="16"/>
                <w:color w:val="auto"/>
              </w:rPr>
            </w:pPr>
          </w:p>
        </w:tc>
        <w:tc>
          <w:tcPr>
            <w:tcW w:w="110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6"/>
                <w:szCs w:val="16"/>
                <w:color w:val="auto"/>
              </w:rPr>
            </w:pPr>
          </w:p>
        </w:tc>
        <w:tc>
          <w:tcPr>
            <w:tcW w:w="10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May 2,</w:t>
            </w:r>
          </w:p>
        </w:tc>
      </w:tr>
      <w:tr>
        <w:trPr>
          <w:trHeight w:val="234"/>
        </w:trPr>
        <w:tc>
          <w:tcPr>
            <w:tcW w:w="3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40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expected award life (in years)</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5.7</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15.78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11.12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8.03</w:t>
            </w:r>
          </w:p>
        </w:tc>
      </w:tr>
    </w:tbl>
    <w:p>
      <w:pPr>
        <w:spacing w:after="0" w:line="202"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information in the following table covers options granted under the Company’s stock option plans for the thirteen weeks ended April 30, 2016:</w:t>
      </w:r>
    </w:p>
    <w:p>
      <w:pPr>
        <w:spacing w:after="0" w:line="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80" w:type="dxa"/>
            <w:vAlign w:val="bottom"/>
          </w:tcPr>
          <w:p>
            <w:pPr>
              <w:spacing w:after="0"/>
              <w:rPr>
                <w:sz w:val="18"/>
                <w:szCs w:val="18"/>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280" w:type="dxa"/>
            <w:vAlign w:val="bottom"/>
          </w:tcPr>
          <w:p>
            <w:pPr>
              <w:spacing w:after="0"/>
              <w:rPr>
                <w:sz w:val="18"/>
                <w:szCs w:val="18"/>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Contractual Life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280" w:type="dxa"/>
            <w:vAlign w:val="bottom"/>
          </w:tcPr>
          <w:p>
            <w:pPr>
              <w:spacing w:after="0"/>
              <w:rPr>
                <w:sz w:val="18"/>
                <w:szCs w:val="18"/>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89"/>
              </w:rPr>
              <w:t>(in thousands)</w:t>
            </w:r>
          </w:p>
        </w:tc>
        <w:tc>
          <w:tcPr>
            <w:tcW w:w="1580" w:type="dxa"/>
            <w:vAlign w:val="bottom"/>
          </w:tcPr>
          <w:p>
            <w:pPr>
              <w:jc w:val="center"/>
              <w:ind w:right="1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color w:val="auto"/>
                <w:w w:val="86"/>
              </w:rPr>
              <w:t>(per share)</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3,694</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465</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63.79</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r>
      <w:tr>
        <w:trPr>
          <w:trHeight w:val="217"/>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outstanding at April 30, 2016</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3,817</w:t>
            </w:r>
          </w:p>
        </w:tc>
        <w:tc>
          <w:tcPr>
            <w:tcW w:w="1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 exercisable at April 30, 2016</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2,713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27.86</w:t>
            </w: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9"/>
              </w:rPr>
              <w:t>Options vested and expected to vest at April 30, 2016</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3,767</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 available for future grant at April 30, 2016</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12,050</w:t>
            </w:r>
          </w:p>
        </w:tc>
        <w:tc>
          <w:tcPr>
            <w:tcW w:w="1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bl>
    <w:p>
      <w:pPr>
        <w:spacing w:after="0" w:line="107"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total fair value of options vested as of April 30, 2016 and May 2, 2015 was $8 million and $11 million, respectively. The cash received from option exercises for the thirteen weeks ended April 30, 2016 and May 2, 2015 was $7 million and $23 million, respectively. The total intrinsic value of options exercised (the difference between the market price of the Company’s common stock on the exercise date and the price paid by the optionee to exercise the option) is presented below:</w:t>
      </w:r>
    </w:p>
    <w:p>
      <w:pPr>
        <w:spacing w:after="0" w:line="90"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338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jc w:val="center"/>
              <w:ind w:left="2850"/>
              <w:spacing w:after="0" w:line="191" w:lineRule="exact"/>
              <w:rPr>
                <w:sz w:val="20"/>
                <w:szCs w:val="20"/>
                <w:color w:val="auto"/>
              </w:rPr>
            </w:pPr>
            <w:r>
              <w:rPr>
                <w:rFonts w:ascii="Arial" w:cs="Arial" w:eastAsia="Arial" w:hAnsi="Arial"/>
                <w:sz w:val="18"/>
                <w:szCs w:val="18"/>
                <w:b w:val="1"/>
                <w:bCs w:val="1"/>
                <w:color w:val="auto"/>
                <w:w w:val="95"/>
              </w:rPr>
              <w:t>April 30,</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350"/>
              <w:spacing w:after="0" w:line="191" w:lineRule="exact"/>
              <w:rPr>
                <w:sz w:val="20"/>
                <w:szCs w:val="20"/>
                <w:color w:val="auto"/>
              </w:rPr>
            </w:pPr>
            <w:r>
              <w:rPr>
                <w:rFonts w:ascii="Arial" w:cs="Arial" w:eastAsia="Arial" w:hAnsi="Arial"/>
                <w:sz w:val="18"/>
                <w:szCs w:val="18"/>
                <w:b w:val="1"/>
                <w:bCs w:val="1"/>
                <w:color w:val="auto"/>
                <w:w w:val="94"/>
              </w:rPr>
              <w:t>May 2,</w:t>
            </w:r>
          </w:p>
        </w:tc>
        <w:tc>
          <w:tcPr>
            <w:tcW w:w="300" w:type="dxa"/>
            <w:vAlign w:val="bottom"/>
            <w:tcBorders>
              <w:top w:val="single" w:sz="8" w:color="auto"/>
            </w:tcBorders>
          </w:tcPr>
          <w:p>
            <w:pPr>
              <w:spacing w:after="0"/>
              <w:rPr>
                <w:sz w:val="16"/>
                <w:szCs w:val="16"/>
                <w:color w:val="auto"/>
              </w:rPr>
            </w:pPr>
          </w:p>
        </w:tc>
      </w:tr>
      <w:tr>
        <w:trPr>
          <w:trHeight w:val="234"/>
        </w:trPr>
        <w:tc>
          <w:tcPr>
            <w:tcW w:w="33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r>
      <w:tr>
        <w:trPr>
          <w:trHeight w:val="223"/>
        </w:trPr>
        <w:tc>
          <w:tcPr>
            <w:tcW w:w="3380" w:type="dxa"/>
            <w:vAlign w:val="bottom"/>
          </w:tcPr>
          <w:p>
            <w:pPr>
              <w:spacing w:after="0"/>
              <w:rPr>
                <w:sz w:val="19"/>
                <w:szCs w:val="19"/>
                <w:color w:val="auto"/>
              </w:rPr>
            </w:pPr>
          </w:p>
        </w:tc>
        <w:tc>
          <w:tcPr>
            <w:tcW w:w="5140" w:type="dxa"/>
            <w:vAlign w:val="bottom"/>
            <w:gridSpan w:val="3"/>
          </w:tcPr>
          <w:p>
            <w:pPr>
              <w:jc w:val="right"/>
              <w:ind w:right="47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19"/>
                <w:szCs w:val="19"/>
                <w:color w:val="auto"/>
              </w:rPr>
            </w:pPr>
          </w:p>
        </w:tc>
      </w:tr>
      <w:tr>
        <w:trPr>
          <w:trHeight w:val="230"/>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37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14</w:t>
            </w:r>
          </w:p>
        </w:tc>
        <w:tc>
          <w:tcPr>
            <w:tcW w:w="10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total tax benefit realized from option exercises was $5 million and $14 million for the thirteen weeks ended April 30, 2016 and May 2, 2015,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left="100" w:right="99"/>
        <w:spacing w:after="0" w:line="286" w:lineRule="auto"/>
        <w:rPr>
          <w:sz w:val="20"/>
          <w:szCs w:val="20"/>
          <w:color w:val="auto"/>
        </w:rPr>
      </w:pPr>
      <w:r>
        <w:rPr>
          <w:rFonts w:ascii="Arial" w:cs="Arial" w:eastAsia="Arial" w:hAnsi="Arial"/>
          <w:sz w:val="17"/>
          <w:szCs w:val="17"/>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12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May 2,</w:t>
            </w:r>
          </w:p>
        </w:tc>
        <w:tc>
          <w:tcPr>
            <w:tcW w:w="340" w:type="dxa"/>
            <w:vAlign w:val="bottom"/>
            <w:tcBorders>
              <w:top w:val="single" w:sz="8" w:color="auto"/>
            </w:tcBorders>
          </w:tcPr>
          <w:p>
            <w:pPr>
              <w:spacing w:after="0"/>
              <w:rPr>
                <w:sz w:val="16"/>
                <w:szCs w:val="16"/>
                <w:color w:val="auto"/>
              </w:rPr>
            </w:pPr>
          </w:p>
        </w:tc>
      </w:tr>
      <w:tr>
        <w:trPr>
          <w:trHeight w:val="234"/>
        </w:trPr>
        <w:tc>
          <w:tcPr>
            <w:tcW w:w="4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r>
      <w:tr>
        <w:trPr>
          <w:trHeight w:val="210"/>
        </w:trPr>
        <w:tc>
          <w:tcPr>
            <w:tcW w:w="4120" w:type="dxa"/>
            <w:vAlign w:val="bottom"/>
          </w:tcPr>
          <w:p>
            <w:pPr>
              <w:spacing w:after="0"/>
              <w:rPr>
                <w:sz w:val="18"/>
                <w:szCs w:val="18"/>
                <w:color w:val="auto"/>
              </w:rPr>
            </w:pPr>
          </w:p>
        </w:tc>
        <w:tc>
          <w:tcPr>
            <w:tcW w:w="4360" w:type="dxa"/>
            <w:vAlign w:val="bottom"/>
            <w:gridSpan w:val="3"/>
          </w:tcPr>
          <w:p>
            <w:pPr>
              <w:jc w:val="right"/>
              <w:ind w:right="43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96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94</w:t>
            </w:r>
          </w:p>
        </w:tc>
        <w:tc>
          <w:tcPr>
            <w:tcW w:w="9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296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91</w:t>
            </w:r>
          </w:p>
        </w:tc>
        <w:tc>
          <w:tcPr>
            <w:tcW w:w="9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137</w:t>
            </w:r>
          </w:p>
        </w:tc>
      </w:tr>
      <w:tr>
        <w:trPr>
          <w:trHeight w:val="230"/>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29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94</w:t>
            </w:r>
          </w:p>
        </w:tc>
        <w:tc>
          <w:tcPr>
            <w:tcW w:w="9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w:t>
            </w:r>
          </w:p>
        </w:tc>
      </w:tr>
    </w:tbl>
    <w:p>
      <w:pPr>
        <w:spacing w:after="0" w:line="200" w:lineRule="exact"/>
        <w:rPr>
          <w:sz w:val="20"/>
          <w:szCs w:val="20"/>
          <w:color w:val="auto"/>
        </w:rPr>
      </w:pPr>
    </w:p>
    <w:p>
      <w:pPr>
        <w:spacing w:after="0" w:line="218" w:lineRule="exact"/>
        <w:rPr>
          <w:sz w:val="20"/>
          <w:szCs w:val="20"/>
          <w:color w:val="auto"/>
        </w:rPr>
      </w:pPr>
    </w:p>
    <w:p>
      <w:pPr>
        <w:jc w:val="both"/>
        <w:ind w:left="100" w:right="99"/>
        <w:spacing w:after="0" w:line="312" w:lineRule="auto"/>
        <w:rPr>
          <w:sz w:val="20"/>
          <w:szCs w:val="20"/>
          <w:color w:val="auto"/>
        </w:rPr>
      </w:pPr>
      <w:r>
        <w:rPr>
          <w:rFonts w:ascii="Arial" w:cs="Arial" w:eastAsia="Arial" w:hAnsi="Arial"/>
          <w:sz w:val="16"/>
          <w:szCs w:val="16"/>
          <w:color w:val="auto"/>
        </w:rPr>
        <w:t>As of April 30, 2016 there was $12 million of total unrecognized compensation cost, net of estimated forfeitures, related to nonvested stock options, which is expected to be recognized over a remaining weighted-average period of 1.7 years. The following table summarizes information about stock options outstanding and exercisable at April 30, 2016:</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Range of Exercise Prices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w w:val="89"/>
              </w:rPr>
              <w:t>(in thousands, except prices per share and contractual life)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$9.85 to $15.10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12.95</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$18.80 to $30.92</w:t>
            </w:r>
          </w:p>
        </w:tc>
        <w:tc>
          <w:tcPr>
            <w:tcW w:w="1280" w:type="dxa"/>
            <w:vAlign w:val="bottom"/>
          </w:tcPr>
          <w:p>
            <w:pPr>
              <w:jc w:val="right"/>
              <w:spacing w:after="0"/>
              <w:rPr>
                <w:sz w:val="20"/>
                <w:szCs w:val="20"/>
                <w:color w:val="auto"/>
              </w:rPr>
            </w:pPr>
            <w:r>
              <w:rPr>
                <w:rFonts w:ascii="Arial" w:cs="Arial" w:eastAsia="Arial" w:hAnsi="Arial"/>
                <w:sz w:val="18"/>
                <w:szCs w:val="18"/>
                <w:color w:val="auto"/>
              </w:rPr>
              <w:t>996</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22.73</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$34.12 to $56.35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41.08</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3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$62.02 to $73.21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62.92</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r>
      <w:tr>
        <w:trPr>
          <w:trHeight w:val="217"/>
        </w:trPr>
        <w:tc>
          <w:tcPr>
            <w:tcW w:w="2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37.21</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2,713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r>
    </w:tbl>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Restricted shares of the Company’s common stock and restricted stock units (“RSU”) may be awarded to certain officers, key employees of the Company, and to nonemployee directors. Additionally, RSU awards are made in connection with the Company’s long-term incentive program. Each RSU represents the right to receive one share of the Company’s common stock provided that the performance and vesting conditions are satisfied. There were 660,797 and 594,910 RSU awards outstanding as of April 30, 2016 and May 2, 2015, respectively.</w:t>
      </w:r>
    </w:p>
    <w:p>
      <w:pPr>
        <w:spacing w:after="0" w:line="173"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Generally, awards fully vest after the passage of time, typically three years. However, RSU awards made in connection with the Company’s long-term incentive program vest after the attainment of both certain performance metrics and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fair market value at the date of grant and is amortized over the vesting period, provided the recipient continues to be employed by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Restricted stock and RSU activity for the thirteen weeks ended April 30, 2016 is summarized as follows:</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3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36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339</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64.24</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 or cancelled</w:t>
            </w:r>
          </w:p>
        </w:tc>
        <w:tc>
          <w:tcPr>
            <w:tcW w:w="1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r>
      <w:tr>
        <w:trPr>
          <w:trHeight w:val="217"/>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April 30, 2016</w:t>
            </w:r>
          </w:p>
        </w:tc>
        <w:tc>
          <w:tcPr>
            <w:tcW w:w="1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827</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r>
      <w:tr>
        <w:trPr>
          <w:trHeight w:val="243"/>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Aggregate value ($ 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1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total value of awards for which restrictions lapsed for the thirteen weeks ended April 30, 2016 and May 2, 2015 was $7 million and $9 million, respectively. As of April 30, 2016, there was $20 million of total unrecognized compensation cost net of forfeitures related to nonvested restricted awards.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Legal Proceedings</w:t>
      </w:r>
    </w:p>
    <w:p>
      <w:pPr>
        <w:spacing w:after="0" w:line="229"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color w:val="auto"/>
        </w:rPr>
        <w:t>The Company and the Company’s U.S. retirement plan are defendants in a class action (</w:t>
      </w:r>
      <w:r>
        <w:rPr>
          <w:rFonts w:ascii="Arial" w:cs="Arial" w:eastAsia="Arial" w:hAnsi="Arial"/>
          <w:sz w:val="17"/>
          <w:szCs w:val="17"/>
          <w:i w:val="1"/>
          <w:iCs w:val="1"/>
          <w:color w:val="auto"/>
        </w:rPr>
        <w:t>Osberg v. Foot Locker Inc.</w:t>
      </w:r>
      <w:r>
        <w:rPr>
          <w:rFonts w:ascii="Arial" w:cs="Arial" w:eastAsia="Arial" w:hAnsi="Arial"/>
          <w:sz w:val="17"/>
          <w:szCs w:val="17"/>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The Company is appealing the court’s decision, and the judgment has been stayed pending the outcome of the appeal. As a result of this development, the Company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will continue to vigorously defend itself in this case. In light of the uncertainties involved in this matter, there is no assurance that the ultimate resolution will not differ from the amount currently accrued by the Company.</w:t>
      </w:r>
    </w:p>
    <w:p>
      <w:pPr>
        <w:spacing w:after="0" w:line="183"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jc w:val="both"/>
        <w:ind w:left="100" w:right="99"/>
        <w:spacing w:after="0" w:line="291" w:lineRule="auto"/>
        <w:rPr>
          <w:sz w:val="20"/>
          <w:szCs w:val="20"/>
          <w:color w:val="auto"/>
        </w:rPr>
      </w:pPr>
      <w:r>
        <w:rPr>
          <w:rFonts w:ascii="Arial" w:cs="Arial" w:eastAsia="Arial" w:hAnsi="Arial"/>
          <w:sz w:val="16"/>
          <w:szCs w:val="16"/>
          <w:color w:val="auto"/>
        </w:rPr>
        <w:t>On May 19, 2016, the Company entered into a new credit agreement with its banks (“New Credit Agreement”) that replaces the Company’s existing credit agreement. The New Credit Agreement provides for a $400 million asset-based revolving credit facility maturing on May 19, 2021. Additionally, during the term of the New Credit Agreement, the Company may increase the commitments by up to $200 million, subject to customary conditions. Interest is determined, at the Company’s option, by the federal funds rate plus a margin of 0.125 percent to 0.375 percent or the LIBOR rate plus a margin of 1.125 percent to 1.375 percent depending on availability under the New Credit Agreement. In addition, the Company will pay a commitment fee of 0.20 percent per annum on the unused portion of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SIX:02, Kids Foot Locker, Champs Sports, Footaction, Runners Point, and Sidestep. The Direct-to-Customers segment includes Footlocker.com, Inc. and other affiliates, including Eastbay, Inc., and our international ecommerce businesses, which sell to customers through their Internet and mobile sites and catalogs.</w:t>
      </w:r>
    </w:p>
    <w:p>
      <w:pPr>
        <w:spacing w:after="0" w:line="158" w:lineRule="exact"/>
        <w:rPr>
          <w:sz w:val="20"/>
          <w:szCs w:val="20"/>
          <w:color w:val="auto"/>
        </w:rPr>
      </w:pPr>
    </w:p>
    <w:p>
      <w:pPr>
        <w:jc w:val="both"/>
        <w:ind w:left="100" w:right="99"/>
        <w:spacing w:after="0" w:line="272" w:lineRule="auto"/>
        <w:rPr>
          <w:sz w:val="20"/>
          <w:szCs w:val="20"/>
          <w:color w:val="auto"/>
        </w:rPr>
      </w:pPr>
      <w:r>
        <w:rPr>
          <w:rFonts w:ascii="Arial" w:cs="Arial" w:eastAsia="Arial" w:hAnsi="Arial"/>
          <w:sz w:val="17"/>
          <w:szCs w:val="17"/>
          <w:color w:val="auto"/>
        </w:rPr>
        <w:t xml:space="preserve">The Foot Locker brand is one of the most widely recognized names in the markets in which the Company operates, epitomizing premium quality for the active lifestyle customer. This brand equity has aided the Company’s ability to successfully develop and increase its portfolio of complementary retail store formats, such as Lady Foot Locker, and Kids Foot Locker, as well as Footlocker.com, its direct-to-customer business. Through various marketing channels, including broadcast, digital, social, print, and various sports sponsorships and events, the Company reinforces its image with a consistent message </w:t>
      </w:r>
      <w:r>
        <w:rPr>
          <w:rFonts w:ascii="Arial" w:cs="Arial" w:eastAsia="Arial" w:hAnsi="Arial"/>
          <w:sz w:val="17"/>
          <w:szCs w:val="17"/>
          <w:i w:val="1"/>
          <w:iCs w:val="1"/>
          <w:color w:val="auto"/>
        </w:rPr>
        <w:t>—</w:t>
      </w:r>
      <w:r>
        <w:rPr>
          <w:rFonts w:ascii="Arial" w:cs="Arial" w:eastAsia="Arial" w:hAnsi="Arial"/>
          <w:sz w:val="17"/>
          <w:szCs w:val="17"/>
          <w:color w:val="auto"/>
        </w:rPr>
        <w:t xml:space="preserve"> namely, that it is the destination for athletically inspired shoes and apparel with a wide selection of merchandise in a full-service environment.</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25"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At April 30, 2016, the Company operated 3,396 stores as compared with 3,383 and 3,419 stores at January 30, 2016 and May 2, 2015, respectively. A total of 64 franchised stores were operating at April 30, 2016, as compared with 64 and 82 stores at January 30, 2016 and May 2, 2015, respectively. Revenue from the franchised stores was not significant for any of the periods presented. These stores are not included in the Company’s operating store count above.</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Sales</w:t>
      </w:r>
    </w:p>
    <w:p>
      <w:pPr>
        <w:spacing w:after="0" w:line="225"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8"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Sales increased by $71 million, or 3.7 percent, to $1,987 million for the thirteen weeks ended April 30, 2016, from $1,916 million for the thirteen weeks ended May 2, 2015. Comparable-store sales increased by 2.9 percent for the thirteen weeks ended April 30,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10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514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right"/>
              <w:ind w:right="650"/>
              <w:spacing w:after="0" w:line="191" w:lineRule="exact"/>
              <w:rPr>
                <w:sz w:val="20"/>
                <w:szCs w:val="20"/>
                <w:color w:val="auto"/>
              </w:rPr>
            </w:pPr>
            <w:r>
              <w:rPr>
                <w:rFonts w:ascii="Arial" w:cs="Arial" w:eastAsia="Arial" w:hAnsi="Arial"/>
                <w:sz w:val="18"/>
                <w:szCs w:val="18"/>
                <w:b w:val="1"/>
                <w:bCs w:val="1"/>
                <w:color w:val="auto"/>
              </w:rPr>
              <w:t>April 30,</w:t>
            </w:r>
          </w:p>
        </w:tc>
        <w:tc>
          <w:tcPr>
            <w:tcW w:w="1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May 2,</w:t>
            </w:r>
          </w:p>
        </w:tc>
      </w:tr>
      <w:tr>
        <w:trPr>
          <w:trHeight w:val="234"/>
        </w:trPr>
        <w:tc>
          <w:tcPr>
            <w:tcW w:w="5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21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35.0 %</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35.0 %</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Basis point change in the gross margin rate</w:t>
            </w:r>
          </w:p>
        </w:tc>
        <w:tc>
          <w:tcPr>
            <w:tcW w:w="21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spacing w:after="0"/>
              <w:rPr>
                <w:sz w:val="19"/>
                <w:szCs w:val="19"/>
                <w:color w:val="auto"/>
              </w:rPr>
            </w:pPr>
          </w:p>
        </w:tc>
      </w:tr>
      <w:tr>
        <w:trPr>
          <w:trHeight w:val="23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Components of the change-</w:t>
            </w:r>
          </w:p>
        </w:tc>
        <w:tc>
          <w:tcPr>
            <w:tcW w:w="2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Merchandise margin rate improvement</w:t>
            </w:r>
          </w:p>
        </w:tc>
        <w:tc>
          <w:tcPr>
            <w:tcW w:w="2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w:t>
            </w:r>
          </w:p>
        </w:tc>
        <w:tc>
          <w:tcPr>
            <w:tcW w:w="1500" w:type="dxa"/>
            <w:vAlign w:val="bottom"/>
          </w:tcPr>
          <w:p>
            <w:pPr>
              <w:spacing w:after="0"/>
              <w:rPr>
                <w:sz w:val="19"/>
                <w:szCs w:val="19"/>
                <w:color w:val="auto"/>
              </w:rPr>
            </w:pPr>
          </w:p>
        </w:tc>
      </w:tr>
      <w:tr>
        <w:trPr>
          <w:trHeight w:val="230"/>
        </w:trPr>
        <w:tc>
          <w:tcPr>
            <w:tcW w:w="5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Higher occupancy and buyers' compensation expense rate</w:t>
            </w:r>
          </w:p>
        </w:tc>
        <w:tc>
          <w:tcPr>
            <w:tcW w:w="21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w:t>
            </w:r>
          </w:p>
        </w:tc>
        <w:tc>
          <w:tcPr>
            <w:tcW w:w="1500" w:type="dxa"/>
            <w:vAlign w:val="bottom"/>
            <w:tcBorders>
              <w:bottom w:val="single" w:sz="8" w:color="auto"/>
            </w:tcBorders>
            <w:shd w:val="clear" w:color="auto" w:fill="CCEEFF"/>
          </w:tcPr>
          <w:p>
            <w:pPr>
              <w:spacing w:after="0"/>
              <w:rPr>
                <w:sz w:val="19"/>
                <w:szCs w:val="19"/>
                <w:color w:val="auto"/>
              </w:rPr>
            </w:pPr>
          </w:p>
        </w:tc>
      </w:tr>
    </w:tbl>
    <w:p>
      <w:pPr>
        <w:spacing w:after="0" w:line="12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gross margin rate remained unchanged for the thirteen weeks ended April 30, 2016 as compared with the corresponding prior-year period. This reflected a merchandise margin rate improvement of 30 basis points, primarily due to a lower markdown rate as we increased full-price selling during the current period. This improvement was partially offset by an increase in shipping and handling costs, which reduced the merchandise margin rate by 10 basis points. Occupancy and buyer’s compensation expense increased at a rate higher than the increase in sales and reduced the gross margin rate by 20 basis points.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1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8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April 30, 2016</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May 2, 2015</w:t>
            </w:r>
          </w:p>
        </w:tc>
      </w:tr>
      <w:tr>
        <w:trPr>
          <w:trHeight w:val="210"/>
        </w:trPr>
        <w:tc>
          <w:tcPr>
            <w:tcW w:w="3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80" w:type="dxa"/>
            <w:vAlign w:val="bottom"/>
            <w:gridSpan w:val="3"/>
          </w:tcPr>
          <w:p>
            <w:pPr>
              <w:jc w:val="right"/>
              <w:ind w:right="1030"/>
              <w:spacing w:after="0"/>
              <w:rPr>
                <w:sz w:val="20"/>
                <w:szCs w:val="20"/>
                <w:color w:val="auto"/>
              </w:rPr>
            </w:pPr>
            <w:r>
              <w:rPr>
                <w:rFonts w:ascii="Arial" w:cs="Arial" w:eastAsia="Arial" w:hAnsi="Arial"/>
                <w:sz w:val="18"/>
                <w:szCs w:val="18"/>
                <w:color w:val="auto"/>
              </w:rPr>
              <w:t>($ in millions)</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Change</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 Change</w:t>
            </w:r>
          </w:p>
        </w:tc>
        <w:tc>
          <w:tcPr>
            <w:tcW w:w="17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SG&amp;A as a percentage of sales</w:t>
            </w:r>
          </w:p>
        </w:tc>
        <w:tc>
          <w:tcPr>
            <w:tcW w:w="1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18.2 %</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18.0 %</w:t>
            </w:r>
          </w:p>
        </w:tc>
      </w:tr>
    </w:tbl>
    <w:p>
      <w:pPr>
        <w:spacing w:after="0" w:line="202"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SG&amp;A increased by $16 million for the thirteen weeks ended April 30, 2016 as compared with the corresponding prior-year period. The effect of foreign currency fluctuations for this period was not significant. The SG&amp;A rate increased 20 basis points compared with the prior year, reflecting higher corporate expenses related to the relocation of the corporate headquarters within New York City. Relocation costs totaled $4 million.</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8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April 30, 2016</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7"/>
              </w:rPr>
              <w:t>May 2, 2015</w:t>
            </w:r>
          </w:p>
        </w:tc>
      </w:tr>
      <w:tr>
        <w:trPr>
          <w:trHeight w:val="210"/>
        </w:trPr>
        <w:tc>
          <w:tcPr>
            <w:tcW w:w="3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180" w:type="dxa"/>
            <w:vAlign w:val="bottom"/>
            <w:gridSpan w:val="3"/>
          </w:tcPr>
          <w:p>
            <w:pPr>
              <w:jc w:val="right"/>
              <w:ind w:right="1030"/>
              <w:spacing w:after="0"/>
              <w:rPr>
                <w:sz w:val="20"/>
                <w:szCs w:val="20"/>
                <w:color w:val="auto"/>
              </w:rPr>
            </w:pPr>
            <w:r>
              <w:rPr>
                <w:rFonts w:ascii="Arial" w:cs="Arial" w:eastAsia="Arial" w:hAnsi="Arial"/>
                <w:sz w:val="18"/>
                <w:szCs w:val="18"/>
                <w:color w:val="auto"/>
              </w:rPr>
              <w:t>($ in millions)</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Change</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Change</w:t>
            </w:r>
          </w:p>
        </w:tc>
        <w:tc>
          <w:tcPr>
            <w:tcW w:w="17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11.4 %</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bl>
    <w:p>
      <w:pPr>
        <w:spacing w:after="0" w:line="134"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Depreciation and amortization increased by $4 million for the thirteen weeks ended April 30, 2016 as compared with the corresponding prior-year period. The increase in depreciation and amortization reflected increased capital spending on store remodels, enhancing our digital sites, and other various technologies.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9" w:name="page20"/>
    <w:bookmarkEnd w:id="19"/>
    <w:p>
      <w:pPr>
        <w:ind w:left="100"/>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p>
      <w:pPr>
        <w:ind w:left="5760"/>
        <w:spacing w:after="0"/>
        <w:tabs>
          <w:tab w:leader="none" w:pos="7460" w:val="left"/>
        </w:tabs>
        <w:rPr>
          <w:sz w:val="20"/>
          <w:szCs w:val="20"/>
          <w:color w:val="auto"/>
        </w:rPr>
      </w:pPr>
      <w:r>
        <w:rPr>
          <w:rFonts w:ascii="Arial" w:cs="Arial" w:eastAsia="Arial" w:hAnsi="Arial"/>
          <w:sz w:val="18"/>
          <w:szCs w:val="18"/>
          <w:b w:val="1"/>
          <w:bCs w:val="1"/>
          <w:color w:val="auto"/>
        </w:rPr>
        <w:t>April 30, 2016</w:t>
      </w:r>
      <w:r>
        <w:rPr>
          <w:sz w:val="20"/>
          <w:szCs w:val="20"/>
          <w:color w:val="auto"/>
        </w:rPr>
        <w:tab/>
      </w:r>
      <w:r>
        <w:rPr>
          <w:rFonts w:ascii="Arial" w:cs="Arial" w:eastAsia="Arial" w:hAnsi="Arial"/>
          <w:sz w:val="16"/>
          <w:szCs w:val="16"/>
          <w:b w:val="1"/>
          <w:bCs w:val="1"/>
          <w:color w:val="auto"/>
        </w:rPr>
        <w:t>May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-130810</wp:posOffset>
            </wp:positionV>
            <wp:extent cx="5600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-130810</wp:posOffset>
            </wp:positionV>
            <wp:extent cx="5600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3</w:t>
            </w:r>
          </w:p>
        </w:tc>
      </w:tr>
      <w:tr>
        <w:trPr>
          <w:trHeight w:val="23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2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0"/>
              </w:rPr>
              <w:t>(2)</w:t>
            </w:r>
          </w:p>
        </w:tc>
      </w:tr>
      <w:tr>
        <w:trPr>
          <w:trHeight w:val="21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1</w:t>
            </w: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Net interest expense decreased by $1 million for the thirteen weeks ended April 30, 2016 as compared with the corresponding prior-year period, reflecting increased income due to a combination of higher cash balances and slightly higher average interest rates.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For the thirteen weeks ended April 30, 2016, the Company recorded an income tax provision of $107 million, which represented an effective tax rate of 36.0 percent, compared to the prior-year income tax provision of $106 million, which represented an effective tax rate of 36.5 percent. The Company’s interim provision for income taxes is measured using an annual effective tax rate, adjusted for discrete items that occur within the periods presented.</w:t>
      </w:r>
    </w:p>
    <w:p>
      <w:pPr>
        <w:spacing w:after="0" w:line="17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 regularly assesses the adequacy of the Company’s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for the thirteen weeks ended April 30, 2016 and May 2, 2015 were not significant.</w:t>
      </w:r>
    </w:p>
    <w:p>
      <w:pPr>
        <w:spacing w:after="0" w:line="193"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The effective tax rate for the thirteen weeks ended April 30, 2016 decreased as compared with the corresponding prior-year period, due primarily to a higher proportion of income earned in lower tax jurisdictions.</w:t>
      </w:r>
    </w:p>
    <w:p>
      <w:pPr>
        <w:spacing w:after="0" w:line="147"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Company currently expects its full-year tax rate to be approximately 36.1 percent, excluding the effect of any nonrecurring items that may occur and will depend primarily on the level and mix of income earned in the United States as compared with its international operations.</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25" w:lineRule="exact"/>
        <w:rPr>
          <w:sz w:val="20"/>
          <w:szCs w:val="20"/>
          <w:color w:val="auto"/>
        </w:rPr>
      </w:pPr>
    </w:p>
    <w:p>
      <w:pPr>
        <w:jc w:val="both"/>
        <w:ind w:left="100" w:right="99"/>
        <w:spacing w:after="0" w:line="308" w:lineRule="auto"/>
        <w:rPr>
          <w:sz w:val="20"/>
          <w:szCs w:val="20"/>
          <w:color w:val="auto"/>
        </w:rPr>
      </w:pPr>
      <w:r>
        <w:rPr>
          <w:rFonts w:ascii="Arial" w:cs="Arial" w:eastAsia="Arial" w:hAnsi="Arial"/>
          <w:sz w:val="17"/>
          <w:szCs w:val="17"/>
          <w:color w:val="auto"/>
        </w:rPr>
        <w:t>For the thirteen weeks ended April 30, 2016, net income increased by $7 million, or 3.8 percent as compared with the corresponding prior-year period. Diluted earnings per share increased by 7.8 percent to $1.39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 The following table summarizes results by segment:</w:t>
      </w:r>
    </w:p>
    <w:p>
      <w:pPr>
        <w:spacing w:after="0" w:line="90"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4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6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670"/>
              <w:spacing w:after="0" w:line="191" w:lineRule="exact"/>
              <w:rPr>
                <w:sz w:val="20"/>
                <w:szCs w:val="20"/>
                <w:color w:val="auto"/>
              </w:rPr>
            </w:pPr>
            <w:r>
              <w:rPr>
                <w:rFonts w:ascii="Arial" w:cs="Arial" w:eastAsia="Arial" w:hAnsi="Arial"/>
                <w:sz w:val="18"/>
                <w:szCs w:val="18"/>
                <w:b w:val="1"/>
                <w:bCs w:val="1"/>
                <w:color w:val="auto"/>
                <w:w w:val="90"/>
              </w:rPr>
              <w:t>May 2,</w:t>
            </w:r>
          </w:p>
        </w:tc>
      </w:tr>
      <w:tr>
        <w:trPr>
          <w:trHeight w:val="234"/>
        </w:trPr>
        <w:tc>
          <w:tcPr>
            <w:tcW w:w="44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10"/>
        </w:trPr>
        <w:tc>
          <w:tcPr>
            <w:tcW w:w="4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 in millions)</w:t>
            </w:r>
          </w:p>
        </w:tc>
        <w:tc>
          <w:tcPr>
            <w:tcW w:w="12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Athletic Stores</w:t>
            </w:r>
          </w:p>
        </w:tc>
        <w:tc>
          <w:tcPr>
            <w:tcW w:w="188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1,735</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1,681</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252</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235</w:t>
            </w:r>
          </w:p>
        </w:tc>
      </w:tr>
      <w:tr>
        <w:trPr>
          <w:trHeight w:val="210"/>
        </w:trPr>
        <w:tc>
          <w:tcPr>
            <w:tcW w:w="4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1,987</w:t>
            </w: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1,916</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Athletic Stores</w:t>
            </w:r>
          </w:p>
        </w:tc>
        <w:tc>
          <w:tcPr>
            <w:tcW w:w="1880" w:type="dxa"/>
            <w:vAlign w:val="bottom"/>
          </w:tcPr>
          <w:p>
            <w:pPr>
              <w:jc w:val="right"/>
              <w:ind w:right="9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277</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267</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Direct-to-Customers</w:t>
            </w:r>
          </w:p>
        </w:tc>
        <w:tc>
          <w:tcPr>
            <w:tcW w:w="1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Division profit</w:t>
            </w:r>
          </w:p>
        </w:tc>
        <w:tc>
          <w:tcPr>
            <w:tcW w:w="18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315</w:t>
            </w:r>
          </w:p>
        </w:tc>
        <w:tc>
          <w:tcPr>
            <w:tcW w:w="6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307</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Corporate expense</w:t>
            </w:r>
          </w:p>
        </w:tc>
        <w:tc>
          <w:tcPr>
            <w:tcW w:w="1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Operating profit</w:t>
            </w:r>
          </w:p>
        </w:tc>
        <w:tc>
          <w:tcPr>
            <w:tcW w:w="18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296</w:t>
            </w:r>
          </w:p>
        </w:tc>
        <w:tc>
          <w:tcPr>
            <w:tcW w:w="6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290</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8"/>
                <w:szCs w:val="8"/>
                <w:color w:val="auto"/>
              </w:rPr>
              <w:t>(1)</w:t>
            </w:r>
          </w:p>
        </w:tc>
        <w:tc>
          <w:tcPr>
            <w:tcW w:w="1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Earnings before interest expense and income taxes</w:t>
            </w:r>
          </w:p>
        </w:tc>
        <w:tc>
          <w:tcPr>
            <w:tcW w:w="18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rPr>
              <w:t>298</w:t>
            </w:r>
          </w:p>
        </w:tc>
        <w:tc>
          <w:tcPr>
            <w:tcW w:w="6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291</w:t>
            </w:r>
          </w:p>
        </w:tc>
      </w:tr>
      <w:tr>
        <w:trPr>
          <w:trHeight w:val="216"/>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298</w:t>
            </w: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290</w:t>
            </w:r>
          </w:p>
        </w:tc>
      </w:tr>
    </w:tbl>
    <w:p>
      <w:pPr>
        <w:spacing w:after="0" w:line="103" w:lineRule="exact"/>
        <w:rPr>
          <w:sz w:val="20"/>
          <w:szCs w:val="20"/>
          <w:color w:val="auto"/>
        </w:rPr>
      </w:pPr>
    </w:p>
    <w:p>
      <w:pPr>
        <w:ind w:left="380" w:right="499" w:hanging="275"/>
        <w:spacing w:after="0" w:line="253" w:lineRule="auto"/>
        <w:tabs>
          <w:tab w:leader="none" w:pos="380" w:val="left"/>
        </w:tabs>
        <w:numPr>
          <w:ilvl w:val="0"/>
          <w:numId w:val="6"/>
        </w:numPr>
        <w:rPr>
          <w:rFonts w:ascii="Arial" w:cs="Arial" w:eastAsia="Arial" w:hAnsi="Arial"/>
          <w:sz w:val="10"/>
          <w:szCs w:val="10"/>
          <w:color w:val="auto"/>
        </w:rPr>
      </w:pPr>
      <w:r>
        <w:rPr>
          <w:rFonts w:ascii="Arial" w:cs="Arial" w:eastAsia="Arial" w:hAnsi="Arial"/>
          <w:sz w:val="14"/>
          <w:szCs w:val="14"/>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313"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Athletic Stores</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4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Thirteen weeks ended</w:t>
            </w:r>
          </w:p>
        </w:tc>
        <w:tc>
          <w:tcPr>
            <w:tcW w:w="900" w:type="dxa"/>
            <w:vAlign w:val="bottom"/>
            <w:tcBorders>
              <w:bottom w:val="single" w:sz="8" w:color="auto"/>
            </w:tcBorders>
          </w:tcPr>
          <w:p>
            <w:pPr>
              <w:spacing w:after="0"/>
              <w:rPr>
                <w:sz w:val="20"/>
                <w:szCs w:val="20"/>
                <w:color w:val="auto"/>
              </w:rPr>
            </w:pPr>
          </w:p>
        </w:tc>
      </w:tr>
      <w:tr>
        <w:trPr>
          <w:trHeight w:val="210"/>
        </w:trPr>
        <w:tc>
          <w:tcPr>
            <w:tcW w:w="34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April 30, 2016</w:t>
            </w:r>
          </w:p>
        </w:tc>
        <w:tc>
          <w:tcPr>
            <w:tcW w:w="17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May 2, 2015</w:t>
            </w:r>
          </w:p>
        </w:tc>
      </w:tr>
      <w:tr>
        <w:trPr>
          <w:trHeight w:val="210"/>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in millions)</w:t>
            </w:r>
          </w:p>
        </w:tc>
        <w:tc>
          <w:tcPr>
            <w:tcW w:w="90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1,735</w:t>
            </w:r>
          </w:p>
        </w:tc>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1,681</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 Change</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54</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 Change</w:t>
            </w:r>
          </w:p>
        </w:tc>
        <w:tc>
          <w:tcPr>
            <w:tcW w:w="2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3.2 %</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Division profit</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277</w:t>
            </w:r>
          </w:p>
        </w:tc>
        <w:tc>
          <w:tcPr>
            <w:tcW w:w="8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267</w:t>
            </w:r>
          </w:p>
        </w:tc>
      </w:tr>
      <w:tr>
        <w:trPr>
          <w:trHeight w:val="230"/>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2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16.0 %</w:t>
            </w:r>
          </w:p>
        </w:tc>
        <w:tc>
          <w:tcPr>
            <w:tcW w:w="8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bl>
    <w:p>
      <w:pPr>
        <w:spacing w:after="0" w:line="20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Excluding the effect of foreign currency fluctuations, Athletic Stores segment sales increased by 3.4 percent for the thirteen weeks ended April 30, 2016 as compared with the corresponding prior-year period. Comparable-store sales increased by 2.2 percent for the thirteen weeks ended April 30, 2016.</w:t>
      </w:r>
    </w:p>
    <w:p>
      <w:pPr>
        <w:spacing w:after="0" w:line="181"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Our comparable-store sales growth was led by our international divisions and was largely driven by the performance of Foot Locker Europe and Foot Locker Canada. The footwear sales growth for Foot Locker Europe was driven by lifestyle running and classic court styles. Children’s footwear sales also performed well. Foot Locker Canada experienced strong footwear sales largely driven by men’s basketball styles, which benefited from the excitement and elevated product offerings surrounding the NBA All-Star Game held in Toronto, Ontario.</w:t>
      </w:r>
    </w:p>
    <w:p>
      <w:pPr>
        <w:spacing w:after="0" w:line="173"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These increases were partially offset by comparable-store declines for Runners Point and Sidestep as they continued to face assortment and traffic challenges. Our focus for these banners is to improve and better diversify our product offerings along with providing a more elevated in-store experience. Management believes that these initiatives, along with marketing campaigns targeted to improve traffic to the stores, will position the banners for future growth.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both"/>
        <w:ind w:left="100" w:right="99"/>
        <w:spacing w:after="0" w:line="293" w:lineRule="auto"/>
        <w:rPr>
          <w:sz w:val="20"/>
          <w:szCs w:val="20"/>
          <w:color w:val="auto"/>
        </w:rPr>
      </w:pPr>
      <w:r>
        <w:rPr>
          <w:rFonts w:ascii="Arial" w:cs="Arial" w:eastAsia="Arial" w:hAnsi="Arial"/>
          <w:sz w:val="16"/>
          <w:szCs w:val="16"/>
          <w:color w:val="auto"/>
        </w:rPr>
        <w:t>Domestically, all formats generated comparable-store sales gains for the quarter, with the exception of Footaction, which generated a negative result for the quarter. Champs Sports led the overall domestic comparable-store sales increase, which was driven by footwear. Champs Sports benefited from strong sales from lifestyle running and casual styles. Lifestyle running and classic court styles were the primary drivers of footwear sales across the domestic banners, both in men’s and women’s footwear. This was partially offset by declines in men’s basketball, particularly certain marquee player shoes. The decline in sales of basketball styles was the primary factor for Footaction’s comparable-store decrease.</w:t>
      </w:r>
    </w:p>
    <w:p>
      <w:pPr>
        <w:spacing w:after="0" w:line="16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While Lady Foot Locker/SIX:02’s overall sales decreased during the quarter, the combined banners produced a positive comparable-store sales result. The overall sales decline resulted from the closure of 38 Lady Foot Locker stores partially offset by the opening of 11 SIX:02 stores. The comparable-store gain was primarily attributed to footwear sales growth, as women’s lifestyle, running, and court styles performed well. The gain in footwear was partially offset by a decline in sales of branded apparel. We are continuing to work with our vendors to refine our assortment of women’s apparel to include more athletically-inspired lifestyle assortments.</w:t>
      </w:r>
    </w:p>
    <w:p>
      <w:pPr>
        <w:spacing w:after="0" w:line="193"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Athletic Stores division profit increased 3.7 percent for the thirteen weeks ended April 30, 2016, as compared with the corresponding prior-year period. Division profit, as a percentage of sales increased to 16.0 percent for the thirteen weeks ended April 30, 2016 as compared with 15.9 percent for the corresponding prior-year period. The division profit margin as of April 30, 2016 reflected an improved merchandise margin rate driven primarily by a lower markdown rate.</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Direct-to-Customers</w:t>
      </w:r>
    </w:p>
    <w:p>
      <w:pPr>
        <w:spacing w:after="0" w:line="127"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4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Thirteen weeks ended</w:t>
            </w:r>
          </w:p>
        </w:tc>
      </w:tr>
      <w:tr>
        <w:trPr>
          <w:trHeight w:val="210"/>
        </w:trPr>
        <w:tc>
          <w:tcPr>
            <w:tcW w:w="34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April 30, 2016</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3"/>
              </w:rPr>
              <w:t>May 2, 2015</w:t>
            </w:r>
          </w:p>
        </w:tc>
      </w:tr>
      <w:tr>
        <w:trPr>
          <w:trHeight w:val="210"/>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80" w:type="dxa"/>
            <w:vAlign w:val="bottom"/>
            <w:gridSpan w:val="3"/>
          </w:tcPr>
          <w:p>
            <w:pPr>
              <w:jc w:val="right"/>
              <w:ind w:right="1190"/>
              <w:spacing w:after="0"/>
              <w:rPr>
                <w:sz w:val="20"/>
                <w:szCs w:val="20"/>
                <w:color w:val="auto"/>
              </w:rPr>
            </w:pPr>
            <w:r>
              <w:rPr>
                <w:rFonts w:ascii="Arial" w:cs="Arial" w:eastAsia="Arial" w:hAnsi="Arial"/>
                <w:sz w:val="18"/>
                <w:szCs w:val="18"/>
                <w:b w:val="1"/>
                <w:bCs w:val="1"/>
                <w:color w:val="auto"/>
              </w:rPr>
              <w:t>($ in millions)</w:t>
            </w: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235</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 Change</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 Change</w:t>
            </w:r>
          </w:p>
        </w:tc>
        <w:tc>
          <w:tcPr>
            <w:tcW w:w="2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Division profit</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40</w:t>
            </w:r>
          </w:p>
        </w:tc>
      </w:tr>
      <w:tr>
        <w:trPr>
          <w:trHeight w:val="230"/>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Division profit margin</w:t>
            </w:r>
          </w:p>
        </w:tc>
        <w:tc>
          <w:tcPr>
            <w:tcW w:w="2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15.1 %</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r>
    </w:tbl>
    <w:p>
      <w:pPr>
        <w:spacing w:after="0" w:line="202" w:lineRule="exact"/>
        <w:rPr>
          <w:sz w:val="20"/>
          <w:szCs w:val="20"/>
          <w:color w:val="auto"/>
        </w:rPr>
      </w:pPr>
    </w:p>
    <w:p>
      <w:pPr>
        <w:jc w:val="both"/>
        <w:ind w:left="100" w:right="99"/>
        <w:spacing w:after="0" w:line="302" w:lineRule="auto"/>
        <w:rPr>
          <w:sz w:val="20"/>
          <w:szCs w:val="20"/>
          <w:color w:val="auto"/>
        </w:rPr>
      </w:pPr>
      <w:r>
        <w:rPr>
          <w:rFonts w:ascii="Arial" w:cs="Arial" w:eastAsia="Arial" w:hAnsi="Arial"/>
          <w:sz w:val="16"/>
          <w:szCs w:val="16"/>
          <w:color w:val="auto"/>
        </w:rPr>
        <w:t>Comparable-sales for the Direct-to-Customers segment increased by 7.3 percent for the thirteen weeks ended April 30, 2016. This increase was fueled by the continued growth of ecommerce associated with our store-banner websites, both domestically and internationally. Partially offsetting this increase were declines in our Eastbay and Runners Point businesses, coupled with lower shipping and handling revenue as our customers continue to prefer free shipping offers.</w:t>
      </w:r>
    </w:p>
    <w:p>
      <w:pPr>
        <w:spacing w:after="0" w:line="154"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Footwear continues to be our strongest category and was led by Jordan, women’s casual styles, and children’s footwear, each of which posted strong comparable-sales gains during the quarter. Eastbay’s sales decreased for the thirteen weeks ended April 30, 2016 reflecting a decline in sales of performance-related product.</w:t>
      </w:r>
    </w:p>
    <w:p>
      <w:pPr>
        <w:spacing w:after="0" w:line="181"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Direct-to-Customers division profit for the thirteen weeks ended April 30, 2016 decreased by $2 million as compared with the corresponding prior-year period. Division profit, as a percentage of sales, was 15.1 percent for the thirteen weeks ended April 30, 2016, as compared with 17.0 percent for the corresponding prior-year period. This decline was driven by a lower gross margin rate primarily as a result of lower shipping and handling revenue.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b w:val="1"/>
          <w:bCs w:val="1"/>
          <w:color w:val="auto"/>
        </w:rPr>
        <w:t>Corporate Expense</w:t>
      </w:r>
    </w:p>
    <w:p>
      <w:pPr>
        <w:spacing w:after="0" w:line="131"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334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5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670"/>
              <w:spacing w:after="0" w:line="191" w:lineRule="exact"/>
              <w:rPr>
                <w:sz w:val="20"/>
                <w:szCs w:val="20"/>
                <w:color w:val="auto"/>
              </w:rPr>
            </w:pPr>
            <w:r>
              <w:rPr>
                <w:rFonts w:ascii="Arial" w:cs="Arial" w:eastAsia="Arial" w:hAnsi="Arial"/>
                <w:sz w:val="18"/>
                <w:szCs w:val="18"/>
                <w:b w:val="1"/>
                <w:bCs w:val="1"/>
                <w:color w:val="auto"/>
                <w:w w:val="94"/>
              </w:rPr>
              <w:t>May 2,</w:t>
            </w:r>
          </w:p>
        </w:tc>
      </w:tr>
      <w:tr>
        <w:trPr>
          <w:trHeight w:val="234"/>
        </w:trPr>
        <w:tc>
          <w:tcPr>
            <w:tcW w:w="3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10"/>
        </w:trPr>
        <w:tc>
          <w:tcPr>
            <w:tcW w:w="3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 in millions)</w:t>
            </w:r>
          </w:p>
        </w:tc>
        <w:tc>
          <w:tcPr>
            <w:tcW w:w="1280" w:type="dxa"/>
            <w:vAlign w:val="bottom"/>
          </w:tcPr>
          <w:p>
            <w:pPr>
              <w:spacing w:after="0"/>
              <w:rPr>
                <w:sz w:val="18"/>
                <w:szCs w:val="18"/>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3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3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$3 million for both the thirteen weeks ended April 30, 2016 and May 2, 2015.</w:t>
      </w:r>
    </w:p>
    <w:p>
      <w:pPr>
        <w:spacing w:after="0" w:line="171"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allocation of corporate expense to the operating divisions is adjusted annually based upon an internal study; accordingly, the allocation increased by $2 million for the thirteen weeks ended April 30, 2016, thus reducing corporate expense. Excluding the corporate allocation change as well as depreciation and amortization, corporate expense, as compared with the corresponding prior-year periods, increased by $4 million for the thirteen weeks ended April 30, 2016. The $4 million increase in corporate expense for the thirteen weeks ended April 30, 2016 was primarily related to costs incurred in connection with the relocation of our corporate headquarters within New York City. This relocation was completed during the first quarter.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The Company’s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189" w:lineRule="exact"/>
        <w:rPr>
          <w:sz w:val="20"/>
          <w:szCs w:val="20"/>
          <w:color w:val="auto"/>
        </w:rPr>
      </w:pPr>
    </w:p>
    <w:p>
      <w:pPr>
        <w:jc w:val="both"/>
        <w:ind w:left="100" w:right="99"/>
        <w:spacing w:after="0" w:line="276" w:lineRule="auto"/>
        <w:rPr>
          <w:sz w:val="20"/>
          <w:szCs w:val="20"/>
          <w:color w:val="auto"/>
        </w:rPr>
      </w:pPr>
      <w:r>
        <w:rPr>
          <w:rFonts w:ascii="Arial" w:cs="Arial" w:eastAsia="Arial" w:hAnsi="Arial"/>
          <w:sz w:val="17"/>
          <w:szCs w:val="17"/>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April 30, 2016, approximately $549 million remained available under the Company’s current $1 billion share repurchase program.</w:t>
      </w:r>
    </w:p>
    <w:p>
      <w:pPr>
        <w:spacing w:after="0" w:line="173" w:lineRule="exact"/>
        <w:rPr>
          <w:sz w:val="20"/>
          <w:szCs w:val="20"/>
          <w:color w:val="auto"/>
        </w:rPr>
      </w:pPr>
    </w:p>
    <w:p>
      <w:pPr>
        <w:jc w:val="both"/>
        <w:ind w:left="100" w:right="99"/>
        <w:spacing w:after="0" w:line="290" w:lineRule="auto"/>
        <w:rPr>
          <w:sz w:val="20"/>
          <w:szCs w:val="20"/>
          <w:color w:val="auto"/>
        </w:rPr>
      </w:pPr>
      <w:r>
        <w:rPr>
          <w:rFonts w:ascii="Arial" w:cs="Arial" w:eastAsia="Arial" w:hAnsi="Arial"/>
          <w:sz w:val="16"/>
          <w:szCs w:val="16"/>
          <w:color w:val="auto"/>
        </w:rPr>
        <w:t xml:space="preserve">As discussed further in the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note under “Item 1. Financial Statements,” during the third quarter of 2015 the Company recorded a pre-tax charge of $100 million ($61 million after-tax). In light of the uncertainties involved in this matter, there is no assurance that the ultimate resolution will not differ from the amount currently accrued by the Company. The $100 million charge has been classified as a long-term liability due to the uncertainty involved with the resolution of this litigation, as the appeals process can be lengthy. The pension plan is currently sufficiently funded to absorb a $100 million liability and, accordingly, we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66" w:lineRule="exact"/>
        <w:rPr>
          <w:sz w:val="20"/>
          <w:szCs w:val="20"/>
          <w:color w:val="auto"/>
        </w:rPr>
      </w:pPr>
    </w:p>
    <w:p>
      <w:pPr>
        <w:jc w:val="both"/>
        <w:ind w:left="100" w:right="99"/>
        <w:spacing w:after="0" w:line="273"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6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50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4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10"/>
              <w:spacing w:after="0" w:line="191" w:lineRule="exact"/>
              <w:rPr>
                <w:sz w:val="20"/>
                <w:szCs w:val="20"/>
                <w:color w:val="auto"/>
              </w:rPr>
            </w:pPr>
            <w:r>
              <w:rPr>
                <w:rFonts w:ascii="Arial" w:cs="Arial" w:eastAsia="Arial" w:hAnsi="Arial"/>
                <w:sz w:val="18"/>
                <w:szCs w:val="18"/>
                <w:b w:val="1"/>
                <w:bCs w:val="1"/>
                <w:color w:val="auto"/>
                <w:w w:val="94"/>
              </w:rPr>
              <w:t>May 2,</w:t>
            </w:r>
          </w:p>
        </w:tc>
      </w:tr>
      <w:tr>
        <w:trPr>
          <w:trHeight w:val="234"/>
        </w:trPr>
        <w:tc>
          <w:tcPr>
            <w:tcW w:w="45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500" w:type="dxa"/>
            <w:vAlign w:val="bottom"/>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92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86"/>
              </w:rPr>
              <w:t>212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121" w:lineRule="exact"/>
        <w:rPr>
          <w:sz w:val="20"/>
          <w:szCs w:val="20"/>
          <w:color w:val="auto"/>
        </w:rPr>
      </w:pPr>
    </w:p>
    <w:p>
      <w:pPr>
        <w:jc w:val="both"/>
        <w:ind w:left="100" w:right="99"/>
        <w:spacing w:after="0" w:line="257" w:lineRule="auto"/>
        <w:rPr>
          <w:sz w:val="20"/>
          <w:szCs w:val="20"/>
          <w:color w:val="auto"/>
        </w:rPr>
      </w:pPr>
      <w:r>
        <w:rPr>
          <w:rFonts w:ascii="Arial" w:cs="Arial" w:eastAsia="Arial" w:hAnsi="Arial"/>
          <w:sz w:val="18"/>
          <w:szCs w:val="18"/>
          <w:color w:val="auto"/>
        </w:rPr>
        <w:t>The amount provided by operating activities reflects net income adjusted for non-cash items and working capital changes. Adjustments to net income for non-cash items include depreciation and amortization, share-based compensation expense, and share-based related tax benefits. The decrease from the prior year primarily reflects working capital changes and a $25 million contribution to the U.S. qualified pension plan made during the first quarter of 2016. No contribution was made in the prior-year period.</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6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43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April 30,</w:t>
            </w:r>
          </w:p>
        </w:tc>
        <w:tc>
          <w:tcPr>
            <w:tcW w:w="3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10"/>
              <w:spacing w:after="0" w:line="205" w:lineRule="exact"/>
              <w:rPr>
                <w:sz w:val="20"/>
                <w:szCs w:val="20"/>
                <w:color w:val="auto"/>
              </w:rPr>
            </w:pPr>
            <w:r>
              <w:rPr>
                <w:rFonts w:ascii="Arial" w:cs="Arial" w:eastAsia="Arial" w:hAnsi="Arial"/>
                <w:sz w:val="18"/>
                <w:szCs w:val="18"/>
                <w:b w:val="1"/>
                <w:bCs w:val="1"/>
                <w:color w:val="auto"/>
                <w:w w:val="94"/>
              </w:rPr>
              <w:t>May 2,</w:t>
            </w:r>
          </w:p>
        </w:tc>
      </w:tr>
      <w:tr>
        <w:trPr>
          <w:trHeight w:val="234"/>
        </w:trPr>
        <w:tc>
          <w:tcPr>
            <w:tcW w:w="4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20" w:type="dxa"/>
            <w:vAlign w:val="bottom"/>
          </w:tcPr>
          <w:p>
            <w:pPr>
              <w:spacing w:after="0"/>
              <w:rPr>
                <w:sz w:val="18"/>
                <w:szCs w:val="18"/>
                <w:color w:val="auto"/>
              </w:rPr>
            </w:pPr>
          </w:p>
        </w:tc>
        <w:tc>
          <w:tcPr>
            <w:tcW w:w="358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920" w:type="dxa"/>
            <w:vAlign w:val="bottom"/>
          </w:tcPr>
          <w:p>
            <w:pPr>
              <w:spacing w:after="0"/>
              <w:rPr>
                <w:sz w:val="18"/>
                <w:szCs w:val="18"/>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6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w:t>
            </w:r>
          </w:p>
        </w:tc>
        <w:tc>
          <w:tcPr>
            <w:tcW w:w="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121" w:lineRule="exact"/>
        <w:rPr>
          <w:sz w:val="20"/>
          <w:szCs w:val="20"/>
          <w:color w:val="auto"/>
        </w:rPr>
      </w:pPr>
    </w:p>
    <w:p>
      <w:pPr>
        <w:jc w:val="both"/>
        <w:ind w:left="100" w:right="99"/>
        <w:spacing w:after="0" w:line="297" w:lineRule="auto"/>
        <w:rPr>
          <w:sz w:val="20"/>
          <w:szCs w:val="20"/>
          <w:color w:val="auto"/>
        </w:rPr>
      </w:pPr>
      <w:r>
        <w:rPr>
          <w:rFonts w:ascii="Arial" w:cs="Arial" w:eastAsia="Arial" w:hAnsi="Arial"/>
          <w:sz w:val="16"/>
          <w:szCs w:val="16"/>
          <w:color w:val="auto"/>
        </w:rPr>
        <w:t>Capital expenditures represented a $5 million increase from the prior year, which reflected a higher number of store projects in progress for the current year, as well as increased spending on corporate technology projects. The Company’s full-year forecast for capital expenditures is $292 million, which includes $216 million related to the remodeling or relocation of existing stores and approximately 100 new store openings, as well as $76 million for the development of information systems, websites, infrastructure, and our corporate headquarters relocation within New York City.</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6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434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April 30,</w:t>
            </w:r>
          </w:p>
        </w:tc>
        <w:tc>
          <w:tcPr>
            <w:tcW w:w="4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10"/>
              <w:spacing w:after="0" w:line="191" w:lineRule="exact"/>
              <w:rPr>
                <w:sz w:val="20"/>
                <w:szCs w:val="20"/>
                <w:color w:val="auto"/>
              </w:rPr>
            </w:pPr>
            <w:r>
              <w:rPr>
                <w:rFonts w:ascii="Arial" w:cs="Arial" w:eastAsia="Arial" w:hAnsi="Arial"/>
                <w:sz w:val="18"/>
                <w:szCs w:val="18"/>
                <w:b w:val="1"/>
                <w:bCs w:val="1"/>
                <w:color w:val="auto"/>
                <w:w w:val="94"/>
              </w:rPr>
              <w:t>May 2,</w:t>
            </w:r>
          </w:p>
        </w:tc>
      </w:tr>
      <w:tr>
        <w:trPr>
          <w:trHeight w:val="234"/>
        </w:trPr>
        <w:tc>
          <w:tcPr>
            <w:tcW w:w="4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10"/>
        </w:trPr>
        <w:tc>
          <w:tcPr>
            <w:tcW w:w="4340" w:type="dxa"/>
            <w:vAlign w:val="bottom"/>
          </w:tcPr>
          <w:p>
            <w:pPr>
              <w:spacing w:after="0"/>
              <w:rPr>
                <w:sz w:val="18"/>
                <w:szCs w:val="18"/>
                <w:color w:val="auto"/>
              </w:rPr>
            </w:pPr>
          </w:p>
        </w:tc>
        <w:tc>
          <w:tcPr>
            <w:tcW w:w="356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920" w:type="dxa"/>
            <w:vAlign w:val="bottom"/>
          </w:tcPr>
          <w:p>
            <w:pPr>
              <w:spacing w:after="0"/>
              <w:rPr>
                <w:sz w:val="18"/>
                <w:szCs w:val="18"/>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5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Change</w:t>
            </w:r>
          </w:p>
        </w:tc>
        <w:tc>
          <w:tcPr>
            <w:tcW w:w="2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(15)</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During the thirteen weeks ended April 30, 2016, the Company repurchased 1,371,174 shares of its common stock for $88 million, as compared with 2,300,000 shares repurchased for $129 million in the corresponding prior-year period. The Company declared and paid dividends during the first quarter of 2016 and 2015 of $37 million and $35 million, respectively. This represents quarterly rates of $0.275 and $0.25 per share for 2016 and 2015, respectively. Additionally, the Company received proceeds from the issuance of common stock in connection with employee stock programs of $7 million and $23 million for the thirteen weeks ended April 30, 2016 and May 2, 2015, respectively. In connection with stock option exercises and share-based compensation programs, the Company recorded excess tax benefits of $6 million and $14 million as a financing activity for the thirteen weeks ended April 30, 2016 and May 2, 2015, respectively. The decreased excess tax benefit primarily reflected a lower number of stock option exercises during the first quarter of 2016 as compared with the corresponding prior-year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24" w:name="page25"/>
    <w:bookmarkEnd w:id="24"/>
    <w:p>
      <w:pPr>
        <w:ind w:left="1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January 30, 2016.</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Descriptions of the recently issued accounting principles are included Item 1. “Financial Statements” in Note 1,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 Accounting Policies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jc w:val="both"/>
        <w:ind w:left="100" w:right="99"/>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cybersecurity breaches,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78"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2015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5" w:name="page26"/>
    <w:bookmarkEnd w:id="25"/>
    <w:p>
      <w:pPr>
        <w:ind w:left="10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left="100" w:right="99"/>
        <w:spacing w:after="0" w:line="270"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April 30, 2016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82"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During the quarter ended April 30, 2016,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There were no material changes to the risk factors disclosed in the 2015 Annual Report on Form 10-K.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jc w:val="both"/>
        <w:ind w:left="100" w:right="99"/>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April 30, 2016:</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4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w:t>
            </w:r>
          </w:p>
        </w:tc>
        <w:tc>
          <w:tcPr>
            <w:tcW w:w="36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79"/>
              </w:rPr>
              <w:t>as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Shares that may</w:t>
            </w:r>
          </w:p>
        </w:tc>
      </w:tr>
      <w:tr>
        <w:trPr>
          <w:trHeight w:val="230"/>
        </w:trPr>
        <w:tc>
          <w:tcPr>
            <w:tcW w:w="2460" w:type="dxa"/>
            <w:vAlign w:val="bottom"/>
          </w:tcPr>
          <w:p>
            <w:pPr>
              <w:spacing w:after="0"/>
              <w:rPr>
                <w:sz w:val="19"/>
                <w:szCs w:val="19"/>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360" w:type="dxa"/>
            <w:vAlign w:val="bottom"/>
          </w:tcPr>
          <w:p>
            <w:pPr>
              <w:spacing w:after="0"/>
              <w:rPr>
                <w:sz w:val="19"/>
                <w:szCs w:val="19"/>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246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of Shares</w:t>
            </w:r>
          </w:p>
        </w:tc>
        <w:tc>
          <w:tcPr>
            <w:tcW w:w="36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Paid Per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Purchased</w:t>
            </w:r>
          </w:p>
        </w:tc>
        <w:tc>
          <w:tcPr>
            <w:tcW w:w="15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 xml:space="preserve">Purchased </w:t>
            </w:r>
            <w:r>
              <w:rPr>
                <w:rFonts w:ascii="Arial" w:cs="Arial" w:eastAsia="Arial" w:hAnsi="Arial"/>
                <w:sz w:val="8"/>
                <w:szCs w:val="8"/>
                <w:b w:val="1"/>
                <w:bCs w:val="1"/>
                <w:color w:val="auto"/>
                <w:w w:val="89"/>
              </w:rPr>
              <w:t>(1)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 xml:space="preserve">Share </w:t>
            </w:r>
            <w:r>
              <w:rPr>
                <w:rFonts w:ascii="Arial" w:cs="Arial" w:eastAsia="Arial" w:hAnsi="Arial"/>
                <w:sz w:val="8"/>
                <w:szCs w:val="8"/>
                <w:b w:val="1"/>
                <w:bCs w:val="1"/>
                <w:color w:val="auto"/>
                <w:w w:val="89"/>
              </w:rPr>
              <w:t>(1)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xml:space="preserve">Program </w:t>
            </w:r>
            <w:r>
              <w:rPr>
                <w:rFonts w:ascii="Arial" w:cs="Arial" w:eastAsia="Arial" w:hAnsi="Arial"/>
                <w:sz w:val="8"/>
                <w:szCs w:val="8"/>
                <w:b w:val="1"/>
                <w:bCs w:val="1"/>
                <w:color w:val="auto"/>
                <w:w w:val="94"/>
              </w:rPr>
              <w:t>(2)</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 xml:space="preserve">Program </w:t>
            </w:r>
            <w:r>
              <w:rPr>
                <w:rFonts w:ascii="Arial" w:cs="Arial" w:eastAsia="Arial" w:hAnsi="Arial"/>
                <w:sz w:val="8"/>
                <w:szCs w:val="8"/>
                <w:b w:val="1"/>
                <w:bCs w:val="1"/>
                <w:color w:val="auto"/>
                <w:w w:val="94"/>
              </w:rPr>
              <w:t>(2)</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Jan. 31, 2016 - Feb. 27, 2016</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578,831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65.53</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576,674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599,067,681</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 28, 2016 - Mar. 2, 2016</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682,336</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63.81</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1480" w:type="dxa"/>
            <w:vAlign w:val="bottom"/>
          </w:tcPr>
          <w:p>
            <w:pPr>
              <w:jc w:val="right"/>
              <w:spacing w:after="0"/>
              <w:rPr>
                <w:sz w:val="20"/>
                <w:szCs w:val="20"/>
                <w:color w:val="auto"/>
              </w:rPr>
            </w:pPr>
            <w:r>
              <w:rPr>
                <w:rFonts w:ascii="Arial" w:cs="Arial" w:eastAsia="Arial" w:hAnsi="Arial"/>
                <w:sz w:val="18"/>
                <w:szCs w:val="18"/>
                <w:color w:val="auto"/>
              </w:rPr>
              <w:t>560,891,566</w:t>
            </w:r>
          </w:p>
        </w:tc>
      </w:tr>
      <w:tr>
        <w:trPr>
          <w:trHeight w:val="230"/>
        </w:trPr>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Mar. 3, 2016 - Apr. 30, 2016</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194,500</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61.08</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194,500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549,011,610</w:t>
            </w:r>
          </w:p>
        </w:tc>
      </w:tr>
      <w:tr>
        <w:trPr>
          <w:trHeight w:val="210"/>
        </w:trPr>
        <w:tc>
          <w:tcPr>
            <w:tcW w:w="2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1,455,667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64.13</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1,371,174</w:t>
            </w:r>
          </w:p>
        </w:tc>
        <w:tc>
          <w:tcPr>
            <w:tcW w:w="14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both"/>
        <w:ind w:left="940" w:right="119" w:hanging="621"/>
        <w:spacing w:after="0" w:line="210" w:lineRule="auto"/>
        <w:tabs>
          <w:tab w:leader="none" w:pos="9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columns also reflect shares acquired in satisfaction of the tax withholding obligations of holders of restricted stock awards and units which vested during the quarter, as well as shares repurchased pursuant to Rule 10b5-1 under the Securities Exchange Act of 1934. The calculation of the average price paid per share includes all fees, commissions, and other costs associated with the repurchase of such shares.</w:t>
      </w:r>
    </w:p>
    <w:p>
      <w:pPr>
        <w:spacing w:after="0" w:line="2" w:lineRule="exact"/>
        <w:rPr>
          <w:rFonts w:ascii="Arial" w:cs="Arial" w:eastAsia="Arial" w:hAnsi="Arial"/>
          <w:sz w:val="18"/>
          <w:szCs w:val="18"/>
          <w:color w:val="auto"/>
          <w:vertAlign w:val="superscript"/>
        </w:rPr>
      </w:pPr>
    </w:p>
    <w:p>
      <w:pPr>
        <w:ind w:left="940" w:hanging="621"/>
        <w:spacing w:after="0" w:line="222" w:lineRule="auto"/>
        <w:tabs>
          <w:tab w:leader="none" w:pos="9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On February 17, 2015, the Board of Directors approved a 3-year, $1 billion share repurchase program extending through January 2018.</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ind w:left="760" w:hanging="43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0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100"/>
        <w:spacing w:after="0"/>
        <w:tabs>
          <w:tab w:leader="none" w:pos="4580" w:val="left"/>
        </w:tabs>
        <w:rPr>
          <w:sz w:val="20"/>
          <w:szCs w:val="20"/>
          <w:color w:val="auto"/>
        </w:rPr>
      </w:pPr>
      <w:r>
        <w:rPr>
          <w:rFonts w:ascii="Arial" w:cs="Arial" w:eastAsia="Arial" w:hAnsi="Arial"/>
          <w:sz w:val="18"/>
          <w:szCs w:val="18"/>
          <w:color w:val="auto"/>
        </w:rPr>
        <w:t>Date: June 8, 2016</w:t>
      </w:r>
      <w:r>
        <w:rPr>
          <w:sz w:val="20"/>
          <w:szCs w:val="20"/>
          <w:color w:val="auto"/>
        </w:rPr>
        <w:tab/>
      </w:r>
      <w:r>
        <w:rPr>
          <w:rFonts w:ascii="Arial" w:cs="Arial" w:eastAsia="Arial" w:hAnsi="Arial"/>
          <w:sz w:val="17"/>
          <w:szCs w:val="17"/>
          <w:color w:val="auto"/>
        </w:rPr>
        <w:t>FOOT LOCKER, INC.</w:t>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14605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LAUREN B. PETERS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tbl>
      <w:tblPr>
        <w:tblLayout w:type="fixed"/>
        <w:tblInd w:w="10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0" w:type="dxa"/>
            <w:vAlign w:val="bottom"/>
            <w:gridSpan w:val="3"/>
          </w:tcPr>
          <w:p>
            <w:pPr>
              <w:ind w:left="2500"/>
              <w:spacing w:after="0"/>
              <w:rPr>
                <w:sz w:val="20"/>
                <w:szCs w:val="20"/>
                <w:color w:val="auto"/>
              </w:rPr>
            </w:pPr>
            <w:r>
              <w:rPr>
                <w:rFonts w:ascii="Arial" w:cs="Arial" w:eastAsia="Arial" w:hAnsi="Arial"/>
                <w:sz w:val="18"/>
                <w:szCs w:val="18"/>
                <w:b w:val="1"/>
                <w:bCs w:val="1"/>
                <w:color w:val="auto"/>
              </w:rPr>
              <w:t>FOOT LOCKER, INC.</w:t>
            </w:r>
          </w:p>
        </w:tc>
      </w:tr>
      <w:tr>
        <w:trPr>
          <w:trHeight w:val="234"/>
        </w:trPr>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0" w:type="dxa"/>
            <w:vAlign w:val="bottom"/>
            <w:gridSpan w:val="3"/>
          </w:tcPr>
          <w:p>
            <w:pPr>
              <w:ind w:left="2480"/>
              <w:spacing w:after="0"/>
              <w:rPr>
                <w:sz w:val="20"/>
                <w:szCs w:val="20"/>
                <w:color w:val="auto"/>
              </w:rPr>
            </w:pPr>
            <w:r>
              <w:rPr>
                <w:rFonts w:ascii="Arial" w:cs="Arial" w:eastAsia="Arial" w:hAnsi="Arial"/>
                <w:sz w:val="18"/>
                <w:szCs w:val="18"/>
                <w:b w:val="1"/>
                <w:bCs w:val="1"/>
                <w:color w:val="auto"/>
              </w:rPr>
              <w:t>INDEX OF EXHIBITS</w:t>
            </w:r>
          </w:p>
        </w:tc>
      </w:tr>
      <w:tr>
        <w:trPr>
          <w:trHeight w:val="621"/>
        </w:trPr>
        <w:tc>
          <w:tcPr>
            <w:tcW w:w="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Exhibit No.</w:t>
            </w:r>
          </w:p>
        </w:tc>
        <w:tc>
          <w:tcPr>
            <w:tcW w:w="350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02"/>
        </w:trPr>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8"/>
              </w:rPr>
              <w:t>10.1†</w:t>
            </w:r>
          </w:p>
        </w:tc>
        <w:tc>
          <w:tcPr>
            <w:tcW w:w="78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Form of Restricted Stock Unit Award Agreement for RSU portion of long-term incentive compensation</w:t>
            </w:r>
          </w:p>
        </w:tc>
      </w:tr>
      <w:tr>
        <w:trPr>
          <w:trHeight w:val="216"/>
        </w:trPr>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awards (incorporated herein by reference to Exhibit 10.1 to the Current Report on Form 8-K dated March</w:t>
            </w:r>
          </w:p>
        </w:tc>
      </w:tr>
      <w:tr>
        <w:trPr>
          <w:trHeight w:val="230"/>
        </w:trPr>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23, 2016 filed on March 29, 2016).</w:t>
            </w:r>
          </w:p>
        </w:tc>
      </w:tr>
      <w:tr>
        <w:trPr>
          <w:trHeight w:val="202"/>
        </w:trPr>
        <w:tc>
          <w:tcPr>
            <w:tcW w:w="80" w:type="dxa"/>
            <w:vAlign w:val="bottom"/>
          </w:tcPr>
          <w:p>
            <w:pPr>
              <w:spacing w:after="0"/>
              <w:rPr>
                <w:sz w:val="17"/>
                <w:szCs w:val="17"/>
                <w:color w:val="auto"/>
              </w:rPr>
            </w:pPr>
          </w:p>
        </w:tc>
        <w:tc>
          <w:tcPr>
            <w:tcW w:w="94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8"/>
              </w:rPr>
              <w:t>10.2†</w:t>
            </w:r>
          </w:p>
        </w:tc>
        <w:tc>
          <w:tcPr>
            <w:tcW w:w="78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1"/>
              </w:rPr>
              <w:t>Form of Restricted Stock Unit Award Agreement for long-term incentive RSU awards (incorporated herein</w:t>
            </w:r>
          </w:p>
        </w:tc>
      </w:tr>
      <w:tr>
        <w:trPr>
          <w:trHeight w:val="216"/>
        </w:trPr>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w w:val="93"/>
              </w:rPr>
              <w:t>by reference to Exhibit 10.2 to the Current Report on Form 8-K dated March 23, 2016 filed on March 29,</w:t>
            </w:r>
          </w:p>
        </w:tc>
      </w:tr>
      <w:tr>
        <w:trPr>
          <w:trHeight w:val="230"/>
        </w:trPr>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2016).</w:t>
            </w:r>
          </w:p>
        </w:tc>
        <w:tc>
          <w:tcPr>
            <w:tcW w:w="8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02"/>
        </w:trPr>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8"/>
              </w:rPr>
              <w:t>10.3†</w:t>
            </w:r>
          </w:p>
        </w:tc>
        <w:tc>
          <w:tcPr>
            <w:tcW w:w="78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Long-Term Incentive Compensation Plan, as Amended and Restated (incorporated herein by reference to</w:t>
            </w:r>
          </w:p>
        </w:tc>
      </w:tr>
      <w:tr>
        <w:trPr>
          <w:trHeight w:val="230"/>
        </w:trPr>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Exhibit 10.3 to the Current Report on Form 8-K dated March 23, 2016 filed on March 29, 2016).</w:t>
            </w:r>
          </w:p>
        </w:tc>
      </w:tr>
      <w:tr>
        <w:trPr>
          <w:trHeight w:val="202"/>
        </w:trPr>
        <w:tc>
          <w:tcPr>
            <w:tcW w:w="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10.4</w:t>
            </w:r>
          </w:p>
        </w:tc>
        <w:tc>
          <w:tcPr>
            <w:tcW w:w="60" w:type="dxa"/>
            <w:vAlign w:val="bottom"/>
          </w:tcPr>
          <w:p>
            <w:pPr>
              <w:spacing w:after="0"/>
              <w:rPr>
                <w:sz w:val="17"/>
                <w:szCs w:val="17"/>
                <w:color w:val="auto"/>
              </w:rPr>
            </w:pPr>
          </w:p>
        </w:tc>
        <w:tc>
          <w:tcPr>
            <w:tcW w:w="78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7"/>
              </w:rPr>
              <w:t>Credit Agreement, dated as of May 19, 2016, among Foot Locker, Inc., a New York corporation, the</w:t>
            </w:r>
          </w:p>
        </w:tc>
      </w:tr>
      <w:tr>
        <w:trPr>
          <w:trHeight w:val="216"/>
        </w:trPr>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w w:val="90"/>
              </w:rPr>
              <w:t>guarantors party thereto, the lenders party thereto and Wells Fargo, National Association, as agent, letter of</w:t>
            </w:r>
          </w:p>
        </w:tc>
      </w:tr>
      <w:tr>
        <w:trPr>
          <w:trHeight w:val="216"/>
        </w:trPr>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w w:val="92"/>
              </w:rPr>
              <w:t>credit issuer and swing line lender (incorporated herein by reference to Exhibit 10.1 to the Current Report</w:t>
            </w:r>
          </w:p>
        </w:tc>
      </w:tr>
      <w:tr>
        <w:trPr>
          <w:trHeight w:val="230"/>
        </w:trPr>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on Form 8-K dated May 19, 2016 filed on May 19, 2016).</w:t>
            </w:r>
          </w:p>
        </w:tc>
      </w:tr>
      <w:tr>
        <w:trPr>
          <w:trHeight w:val="216"/>
        </w:trPr>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960" w:type="dxa"/>
            <w:vAlign w:val="bottom"/>
            <w:gridSpan w:val="2"/>
          </w:tcPr>
          <w:p>
            <w:pPr>
              <w:jc w:val="center"/>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Accountants’ Acknowledgement.</w:t>
            </w:r>
          </w:p>
        </w:tc>
      </w:tr>
      <w:tr>
        <w:trPr>
          <w:trHeight w:val="202"/>
        </w:trPr>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31.1*</w:t>
            </w:r>
          </w:p>
        </w:tc>
        <w:tc>
          <w:tcPr>
            <w:tcW w:w="60" w:type="dxa"/>
            <w:vAlign w:val="bottom"/>
            <w:shd w:val="clear" w:color="auto" w:fill="CCEEFF"/>
          </w:tcPr>
          <w:p>
            <w:pPr>
              <w:spacing w:after="0"/>
              <w:rPr>
                <w:sz w:val="17"/>
                <w:szCs w:val="17"/>
                <w:color w:val="auto"/>
              </w:rPr>
            </w:pPr>
          </w:p>
        </w:tc>
        <w:tc>
          <w:tcPr>
            <w:tcW w:w="78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Certification of Chief Executive Officer Pursuant to Rule 13a-14(a) or 15d-14(a), as adopted pursuant to</w:t>
            </w:r>
          </w:p>
        </w:tc>
      </w:tr>
      <w:tr>
        <w:trPr>
          <w:trHeight w:val="230"/>
        </w:trPr>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7"/>
                <w:szCs w:val="17"/>
                <w:color w:val="auto"/>
              </w:rPr>
            </w:pPr>
          </w:p>
        </w:tc>
        <w:tc>
          <w:tcPr>
            <w:tcW w:w="780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4"/>
              </w:rPr>
              <w:t>Certification of Chief Financial Officer Pursuant to Rule 13a-14(a) or 15d-14(a), as adopted pursuant to</w:t>
            </w:r>
          </w:p>
        </w:tc>
      </w:tr>
      <w:tr>
        <w:trPr>
          <w:trHeight w:val="230"/>
        </w:trPr>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Section 302 of the Sarbanes-Oxley Act of 2002.</w:t>
            </w:r>
          </w:p>
        </w:tc>
      </w:tr>
      <w:tr>
        <w:trPr>
          <w:trHeight w:val="202"/>
        </w:trPr>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78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Certification of Chief Executive Officer and Chief Financial Officer Pursuant to 18 U.S.C. Section 1350,</w:t>
            </w:r>
          </w:p>
        </w:tc>
      </w:tr>
      <w:tr>
        <w:trPr>
          <w:trHeight w:val="230"/>
        </w:trPr>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as adopted pursuant to Section 906 of the Sarbanes-Oxley Act of 2002.</w:t>
            </w:r>
          </w:p>
        </w:tc>
      </w:tr>
      <w:tr>
        <w:trPr>
          <w:trHeight w:val="216"/>
        </w:trPr>
        <w:tc>
          <w:tcPr>
            <w:tcW w:w="960" w:type="dxa"/>
            <w:vAlign w:val="bottom"/>
            <w:gridSpan w:val="2"/>
          </w:tcPr>
          <w:p>
            <w:pPr>
              <w:jc w:val="center"/>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216"/>
        </w:trPr>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4"/>
              </w:rPr>
              <w:t>101.INS*</w:t>
            </w: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XBRL Instance Document.</w:t>
            </w:r>
          </w:p>
        </w:tc>
      </w:tr>
      <w:tr>
        <w:trPr>
          <w:trHeight w:val="216"/>
        </w:trPr>
        <w:tc>
          <w:tcPr>
            <w:tcW w:w="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101.SCH*</w:t>
            </w: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8"/>
              </w:rPr>
              <w:t>101.CAL*</w:t>
            </w: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101.DEF*</w:t>
            </w: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101.LAB*</w:t>
            </w:r>
          </w:p>
        </w:tc>
        <w:tc>
          <w:tcPr>
            <w:tcW w:w="7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0" w:type="dxa"/>
            <w:vAlign w:val="bottom"/>
          </w:tcPr>
          <w:p>
            <w:pPr>
              <w:spacing w:after="0"/>
              <w:rPr>
                <w:sz w:val="20"/>
                <w:szCs w:val="20"/>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101.PRE*</w:t>
            </w: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87" w:lineRule="exact"/>
        <w:rPr>
          <w:sz w:val="20"/>
          <w:szCs w:val="20"/>
          <w:color w:val="auto"/>
        </w:rPr>
      </w:pPr>
    </w:p>
    <w:p>
      <w:pPr>
        <w:ind w:left="1200" w:hanging="62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ind w:left="8120"/>
        <w:spacing w:after="0"/>
        <w:rPr>
          <w:sz w:val="20"/>
          <w:szCs w:val="20"/>
          <w:color w:val="auto"/>
        </w:rPr>
      </w:pPr>
      <w:r>
        <w:rPr>
          <w:rFonts w:ascii="Arial" w:cs="Arial" w:eastAsia="Arial" w:hAnsi="Arial"/>
          <w:sz w:val="17"/>
          <w:szCs w:val="17"/>
          <w:b w:val="1"/>
          <w:bCs w:val="1"/>
          <w:color w:val="auto"/>
        </w:rPr>
        <w:t>Exhibit 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0" w:lineRule="exact"/>
        <w:rPr>
          <w:sz w:val="20"/>
          <w:szCs w:val="20"/>
          <w:color w:val="auto"/>
        </w:rPr>
      </w:pP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0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89"/>
              </w:rPr>
              <w:t>Thirteen weeks ended</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April 30,</w:t>
            </w:r>
          </w:p>
        </w:tc>
        <w:tc>
          <w:tcPr>
            <w:tcW w:w="180" w:type="dxa"/>
            <w:vAlign w:val="bottom"/>
          </w:tcPr>
          <w:p>
            <w:pPr>
              <w:spacing w:after="0"/>
              <w:rPr>
                <w:sz w:val="16"/>
                <w:szCs w:val="16"/>
                <w:color w:val="auto"/>
              </w:rPr>
            </w:pPr>
          </w:p>
        </w:tc>
        <w:tc>
          <w:tcPr>
            <w:tcW w:w="7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8"/>
              </w:rPr>
              <w:t>May 2,</w:t>
            </w:r>
          </w:p>
        </w:tc>
        <w:tc>
          <w:tcPr>
            <w:tcW w:w="22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30,</w:t>
            </w:r>
          </w:p>
        </w:tc>
        <w:tc>
          <w:tcPr>
            <w:tcW w:w="14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31,</w:t>
            </w:r>
          </w:p>
        </w:tc>
        <w:tc>
          <w:tcPr>
            <w:tcW w:w="160" w:type="dxa"/>
            <w:vAlign w:val="bottom"/>
          </w:tcPr>
          <w:p>
            <w:pPr>
              <w:spacing w:after="0"/>
              <w:rPr>
                <w:sz w:val="16"/>
                <w:szCs w:val="16"/>
                <w:color w:val="auto"/>
              </w:rPr>
            </w:pPr>
          </w:p>
        </w:tc>
        <w:tc>
          <w:tcPr>
            <w:tcW w:w="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Feb. 1,</w:t>
            </w:r>
          </w:p>
        </w:tc>
        <w:tc>
          <w:tcPr>
            <w:tcW w:w="18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1"/>
              </w:rPr>
              <w:t>Feb. 2,</w:t>
            </w:r>
          </w:p>
        </w:tc>
        <w:tc>
          <w:tcPr>
            <w:tcW w:w="16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Jan. 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184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6"/>
              </w:rPr>
              <w:t>Interest expense, excluding capitalized</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Portion of rents deemed representative of</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 interest factor (1/3)</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Gross interest expense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Portion of rents deemed representative of</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 interest factor (1/3)</w:t>
            </w: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RATIO OF EARNINGS TO FIXED</w:t>
            </w:r>
          </w:p>
        </w:tc>
        <w:tc>
          <w:tcPr>
            <w:tcW w:w="1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8"/>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Foot Locker, Inc.:</w:t>
      </w:r>
    </w:p>
    <w:p>
      <w:pPr>
        <w:spacing w:after="0" w:line="251" w:lineRule="exact"/>
        <w:rPr>
          <w:sz w:val="20"/>
          <w:szCs w:val="20"/>
          <w:color w:val="auto"/>
        </w:rPr>
      </w:pPr>
    </w:p>
    <w:p>
      <w:pPr>
        <w:ind w:left="360" w:right="99"/>
        <w:spacing w:after="0" w:line="293" w:lineRule="auto"/>
        <w:rPr>
          <w:sz w:val="20"/>
          <w:szCs w:val="20"/>
          <w:color w:val="auto"/>
        </w:rPr>
      </w:pPr>
      <w:r>
        <w:rPr>
          <w:rFonts w:ascii="Arial" w:cs="Arial" w:eastAsia="Arial" w:hAnsi="Arial"/>
          <w:sz w:val="18"/>
          <w:szCs w:val="18"/>
          <w:color w:val="auto"/>
        </w:rPr>
        <w:t>We hereby acknowledge our awareness of the use of our report dated June 8, 2016 related to our review of interim financial information in the following Registration Statements:</w:t>
      </w:r>
    </w:p>
    <w:p>
      <w:pPr>
        <w:spacing w:after="0" w:line="183" w:lineRule="exact"/>
        <w:rPr>
          <w:sz w:val="20"/>
          <w:szCs w:val="20"/>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680" w:hanging="179"/>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600" w:hanging="99"/>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ind w:left="360" w:right="99"/>
        <w:spacing w:after="0" w:line="312" w:lineRule="auto"/>
        <w:rPr>
          <w:sz w:val="20"/>
          <w:szCs w:val="20"/>
          <w:color w:val="auto"/>
        </w:rPr>
      </w:pPr>
      <w:r>
        <w:rPr>
          <w:rFonts w:ascii="Arial" w:cs="Arial" w:eastAsia="Arial" w:hAnsi="Arial"/>
          <w:sz w:val="16"/>
          <w:szCs w:val="16"/>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A. Johnson, certify that:</w:t>
      </w:r>
    </w:p>
    <w:p>
      <w:pPr>
        <w:spacing w:after="0" w:line="239" w:lineRule="exact"/>
        <w:rPr>
          <w:sz w:val="20"/>
          <w:szCs w:val="20"/>
          <w:color w:val="auto"/>
        </w:rPr>
      </w:pPr>
    </w:p>
    <w:p>
      <w:pPr>
        <w:ind w:left="1000" w:hanging="652"/>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333" w:lineRule="exact"/>
        <w:rPr>
          <w:rFonts w:ascii="Arial" w:cs="Arial" w:eastAsia="Arial" w:hAnsi="Arial"/>
          <w:sz w:val="18"/>
          <w:szCs w:val="18"/>
          <w:color w:val="auto"/>
        </w:rPr>
      </w:pPr>
    </w:p>
    <w:p>
      <w:pPr>
        <w:jc w:val="both"/>
        <w:ind w:left="1000" w:right="239" w:hanging="652"/>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Arial" w:cs="Arial" w:eastAsia="Arial" w:hAnsi="Arial"/>
          <w:sz w:val="17"/>
          <w:szCs w:val="17"/>
          <w:color w:val="auto"/>
        </w:rPr>
      </w:pPr>
    </w:p>
    <w:p>
      <w:pPr>
        <w:jc w:val="both"/>
        <w:ind w:left="1000" w:right="239" w:hanging="652"/>
        <w:spacing w:after="0" w:line="264"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Arial" w:cs="Arial" w:eastAsia="Arial" w:hAnsi="Arial"/>
          <w:sz w:val="18"/>
          <w:szCs w:val="18"/>
          <w:color w:val="auto"/>
        </w:rPr>
      </w:pPr>
    </w:p>
    <w:p>
      <w:pPr>
        <w:jc w:val="both"/>
        <w:ind w:left="1000" w:right="259" w:hanging="652"/>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jc w:val="both"/>
        <w:ind w:left="1640" w:right="259" w:hanging="644"/>
        <w:spacing w:after="0" w:line="279" w:lineRule="auto"/>
        <w:tabs>
          <w:tab w:leader="none" w:pos="16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3" w:lineRule="exact"/>
        <w:rPr>
          <w:rFonts w:ascii="Arial" w:cs="Arial" w:eastAsia="Arial" w:hAnsi="Arial"/>
          <w:sz w:val="17"/>
          <w:szCs w:val="17"/>
          <w:color w:val="auto"/>
        </w:rPr>
      </w:pPr>
    </w:p>
    <w:p>
      <w:pPr>
        <w:jc w:val="both"/>
        <w:ind w:left="1640" w:right="239" w:hanging="644"/>
        <w:spacing w:after="0" w:line="279" w:lineRule="auto"/>
        <w:tabs>
          <w:tab w:leader="none" w:pos="16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9" w:lineRule="exact"/>
        <w:rPr>
          <w:rFonts w:ascii="Arial" w:cs="Arial" w:eastAsia="Arial" w:hAnsi="Arial"/>
          <w:sz w:val="17"/>
          <w:szCs w:val="17"/>
          <w:color w:val="auto"/>
        </w:rPr>
      </w:pPr>
    </w:p>
    <w:p>
      <w:pPr>
        <w:jc w:val="both"/>
        <w:ind w:left="1640" w:right="259" w:hanging="644"/>
        <w:spacing w:after="0" w:line="286" w:lineRule="auto"/>
        <w:tabs>
          <w:tab w:leader="none" w:pos="16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0" w:lineRule="exact"/>
        <w:rPr>
          <w:rFonts w:ascii="Arial" w:cs="Arial" w:eastAsia="Arial" w:hAnsi="Arial"/>
          <w:sz w:val="17"/>
          <w:szCs w:val="17"/>
          <w:color w:val="auto"/>
        </w:rPr>
      </w:pPr>
    </w:p>
    <w:p>
      <w:pPr>
        <w:jc w:val="both"/>
        <w:ind w:left="1640" w:right="239" w:hanging="644"/>
        <w:spacing w:after="0" w:line="279" w:lineRule="auto"/>
        <w:tabs>
          <w:tab w:leader="none" w:pos="16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9" w:lineRule="exact"/>
        <w:rPr>
          <w:rFonts w:ascii="Arial" w:cs="Arial" w:eastAsia="Arial" w:hAnsi="Arial"/>
          <w:sz w:val="17"/>
          <w:szCs w:val="17"/>
          <w:color w:val="auto"/>
        </w:rPr>
      </w:pPr>
    </w:p>
    <w:p>
      <w:pPr>
        <w:jc w:val="both"/>
        <w:ind w:left="1000" w:right="259" w:hanging="652"/>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3" w:lineRule="exact"/>
        <w:rPr>
          <w:rFonts w:ascii="Arial" w:cs="Arial" w:eastAsia="Arial" w:hAnsi="Arial"/>
          <w:sz w:val="17"/>
          <w:szCs w:val="17"/>
          <w:color w:val="auto"/>
        </w:rPr>
      </w:pPr>
    </w:p>
    <w:p>
      <w:pPr>
        <w:jc w:val="both"/>
        <w:ind w:left="1640" w:right="239" w:hanging="644"/>
        <w:spacing w:after="0" w:line="264"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31" w:name="page32"/>
    <w:bookmarkEnd w:id="31"/>
    <w:p>
      <w:pPr>
        <w:ind w:left="1640" w:right="239" w:hanging="644"/>
        <w:spacing w:after="0" w:line="277"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8, 2016</w:t>
      </w:r>
    </w:p>
    <w:p>
      <w:pPr>
        <w:spacing w:after="0" w:line="5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14605</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Lauren B. Peters, certify that:</w:t>
      </w:r>
    </w:p>
    <w:p>
      <w:pPr>
        <w:spacing w:after="0" w:line="239" w:lineRule="exact"/>
        <w:rPr>
          <w:sz w:val="20"/>
          <w:szCs w:val="20"/>
          <w:color w:val="auto"/>
        </w:rPr>
      </w:pPr>
    </w:p>
    <w:p>
      <w:pPr>
        <w:ind w:left="1000" w:hanging="65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387" w:lineRule="exact"/>
        <w:rPr>
          <w:rFonts w:ascii="Arial" w:cs="Arial" w:eastAsia="Arial" w:hAnsi="Arial"/>
          <w:sz w:val="18"/>
          <w:szCs w:val="18"/>
          <w:color w:val="auto"/>
        </w:rPr>
      </w:pPr>
    </w:p>
    <w:p>
      <w:pPr>
        <w:jc w:val="both"/>
        <w:ind w:left="1000" w:right="499" w:hanging="652"/>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9" w:lineRule="exact"/>
        <w:rPr>
          <w:rFonts w:ascii="Arial" w:cs="Arial" w:eastAsia="Arial" w:hAnsi="Arial"/>
          <w:sz w:val="17"/>
          <w:szCs w:val="17"/>
          <w:color w:val="auto"/>
        </w:rPr>
      </w:pPr>
    </w:p>
    <w:p>
      <w:pPr>
        <w:jc w:val="both"/>
        <w:ind w:left="1000" w:right="499" w:hanging="652"/>
        <w:spacing w:after="0" w:line="26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Arial" w:cs="Arial" w:eastAsia="Arial" w:hAnsi="Arial"/>
          <w:sz w:val="18"/>
          <w:szCs w:val="18"/>
          <w:color w:val="auto"/>
        </w:rPr>
      </w:pPr>
    </w:p>
    <w:p>
      <w:pPr>
        <w:jc w:val="both"/>
        <w:ind w:left="1000" w:right="479" w:hanging="652"/>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18"/>
          <w:szCs w:val="18"/>
          <w:color w:val="auto"/>
        </w:rPr>
      </w:pPr>
    </w:p>
    <w:p>
      <w:pPr>
        <w:jc w:val="both"/>
        <w:ind w:left="1640" w:right="499" w:hanging="644"/>
        <w:spacing w:after="0" w:line="302" w:lineRule="auto"/>
        <w:tabs>
          <w:tab w:leader="none" w:pos="1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5" w:lineRule="exact"/>
        <w:rPr>
          <w:rFonts w:ascii="Arial" w:cs="Arial" w:eastAsia="Arial" w:hAnsi="Arial"/>
          <w:sz w:val="16"/>
          <w:szCs w:val="16"/>
          <w:color w:val="auto"/>
        </w:rPr>
      </w:pPr>
    </w:p>
    <w:p>
      <w:pPr>
        <w:jc w:val="both"/>
        <w:ind w:left="1640" w:right="499" w:hanging="644"/>
        <w:spacing w:after="0" w:line="279" w:lineRule="auto"/>
        <w:tabs>
          <w:tab w:leader="none" w:pos="1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jc w:val="both"/>
        <w:ind w:left="1640" w:right="499" w:hanging="644"/>
        <w:spacing w:after="0" w:line="312" w:lineRule="auto"/>
        <w:tabs>
          <w:tab w:leader="none" w:pos="1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1" w:lineRule="exact"/>
        <w:rPr>
          <w:rFonts w:ascii="Arial" w:cs="Arial" w:eastAsia="Arial" w:hAnsi="Arial"/>
          <w:sz w:val="16"/>
          <w:szCs w:val="16"/>
          <w:color w:val="auto"/>
        </w:rPr>
      </w:pPr>
    </w:p>
    <w:p>
      <w:pPr>
        <w:jc w:val="both"/>
        <w:ind w:left="1640" w:right="499" w:hanging="644"/>
        <w:spacing w:after="0" w:line="302" w:lineRule="auto"/>
        <w:tabs>
          <w:tab w:leader="none" w:pos="1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6"/>
          <w:szCs w:val="16"/>
          <w:color w:val="auto"/>
        </w:rPr>
      </w:pPr>
    </w:p>
    <w:p>
      <w:pPr>
        <w:jc w:val="both"/>
        <w:ind w:left="1000" w:right="499" w:hanging="652"/>
        <w:spacing w:after="0" w:line="286"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3" w:lineRule="exact"/>
        <w:rPr>
          <w:rFonts w:ascii="Arial" w:cs="Arial" w:eastAsia="Arial" w:hAnsi="Arial"/>
          <w:sz w:val="17"/>
          <w:szCs w:val="17"/>
          <w:color w:val="auto"/>
        </w:rPr>
      </w:pPr>
    </w:p>
    <w:p>
      <w:pPr>
        <w:jc w:val="both"/>
        <w:ind w:left="1640" w:right="499" w:hanging="644"/>
        <w:spacing w:after="0" w:line="286" w:lineRule="auto"/>
        <w:tabs>
          <w:tab w:leader="none" w:pos="1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3" w:name="page34"/>
    <w:bookmarkEnd w:id="33"/>
    <w:p>
      <w:pPr>
        <w:ind w:left="1640" w:right="479" w:hanging="644"/>
        <w:spacing w:after="0" w:line="277" w:lineRule="auto"/>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8, 2016</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14605</wp:posOffset>
            </wp:positionV>
            <wp:extent cx="13893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360" w:right="99"/>
        <w:spacing w:after="0" w:line="257"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April 30, 2016,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202" w:lineRule="exact"/>
        <w:rPr>
          <w:sz w:val="20"/>
          <w:szCs w:val="20"/>
          <w:color w:val="auto"/>
        </w:rPr>
      </w:pPr>
    </w:p>
    <w:p>
      <w:pPr>
        <w:ind w:left="920" w:right="279" w:hanging="346"/>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20" w:right="379" w:hanging="346"/>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Dated: June 8, 2016</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14605</wp:posOffset>
            </wp:positionV>
            <wp:extent cx="11233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Richard A. Johnson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Executive</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Officer</w:t>
      </w:r>
    </w:p>
    <w:p>
      <w:pPr>
        <w:spacing w:after="0" w:line="26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14605</wp:posOffset>
            </wp:positionV>
            <wp:extent cx="11233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Lauren B. Peters</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jc w:val="both"/>
        <w:ind w:left="360" w:right="99"/>
        <w:spacing w:after="0" w:line="279"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35" w:name="page36"/>
    <w:bookmarkEnd w:id="35"/>
    <w:p>
      <w:pPr>
        <w:jc w:val="right"/>
        <w:ind w:right="99"/>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Foot Locker, Inc.:</w:t>
      </w:r>
    </w:p>
    <w:p>
      <w:pPr>
        <w:spacing w:after="0" w:line="319" w:lineRule="exact"/>
        <w:rPr>
          <w:sz w:val="20"/>
          <w:szCs w:val="20"/>
          <w:color w:val="auto"/>
        </w:rPr>
      </w:pPr>
    </w:p>
    <w:p>
      <w:pPr>
        <w:jc w:val="both"/>
        <w:ind w:left="100" w:right="99"/>
        <w:spacing w:after="0" w:line="279"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April 30, 2016 and May 2, 2015, and the related condensed consolidated statements of operations, comprehensive income, and cash flows for the thirteen week periods ended April 30, 2016 and May 2, 2015. These condensed consolidated financial statements are the responsibility of the Company’s management.</w:t>
      </w:r>
    </w:p>
    <w:p>
      <w:pPr>
        <w:spacing w:after="0" w:line="104"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jc w:val="both"/>
        <w:ind w:left="100" w:right="99"/>
        <w:spacing w:after="0" w:line="342" w:lineRule="auto"/>
        <w:rPr>
          <w:sz w:val="20"/>
          <w:szCs w:val="20"/>
          <w:color w:val="auto"/>
        </w:rPr>
      </w:pPr>
      <w:r>
        <w:rPr>
          <w:rFonts w:ascii="Arial" w:cs="Arial" w:eastAsia="Arial" w:hAnsi="Arial"/>
          <w:sz w:val="16"/>
          <w:szCs w:val="16"/>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56"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Foot Locker, Inc. and subsidiaries as of January 30, 2016, and the related consolidated statements of operations, comprehensive income, shareholders’ equity, and cash flows for the year then ended (not presented herein); and in our report dated March 24, 2016 we expressed an unqualified opinion on those consolidated financial statements. In our opinion, the information set forth in the accompanying condensed consolidated balance sheet as of January 30, 2016, is fairly stated, in all material respects, in relation to the consolidated balance sheet from which it has been derived.</w:t>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8, 2016</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225425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7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decimal"/>
      <w:start w:val="3"/>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2019-12-29T10:54:50Z</dcterms:created>
  <dcterms:modified xsi:type="dcterms:W3CDTF">2019-12-29T10:54:50Z</dcterms:modified>
</cp:coreProperties>
</file>